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F0977">
      <w:pPr>
        <w:jc w:val="center"/>
        <w:rPr>
          <w:rFonts w:hint="eastAsia"/>
          <w:b/>
          <w:bCs/>
          <w:sz w:val="30"/>
          <w:szCs w:val="30"/>
          <w:lang w:val="en-US" w:eastAsia="zh-CN"/>
        </w:rPr>
      </w:pPr>
      <w:r>
        <w:rPr>
          <w:rFonts w:hint="eastAsia"/>
          <w:b/>
          <w:bCs/>
          <w:sz w:val="30"/>
          <w:szCs w:val="30"/>
          <w:lang w:val="en-US" w:eastAsia="zh-CN"/>
        </w:rPr>
        <w:t>用户需求书</w:t>
      </w:r>
    </w:p>
    <w:p w14:paraId="060CC4A9">
      <w:pPr>
        <w:spacing w:line="360" w:lineRule="auto"/>
        <w:rPr>
          <w:rFonts w:hint="default" w:ascii="宋体" w:hAnsi="宋体" w:eastAsia="宋体" w:cs="宋体"/>
          <w:b/>
          <w:bCs w:val="0"/>
          <w:color w:val="auto"/>
          <w:sz w:val="21"/>
          <w:szCs w:val="21"/>
          <w:lang w:val="en-US" w:eastAsia="zh-CN" w:bidi="zh-TW"/>
        </w:rPr>
      </w:pPr>
      <w:r>
        <w:rPr>
          <w:rFonts w:hint="eastAsia" w:ascii="宋体" w:hAnsi="宋体" w:eastAsia="宋体" w:cs="宋体"/>
          <w:b/>
          <w:bCs w:val="0"/>
          <w:color w:val="auto"/>
          <w:sz w:val="21"/>
          <w:szCs w:val="21"/>
          <w:lang w:val="zh-TW" w:eastAsia="zh-TW" w:bidi="zh-TW"/>
        </w:rPr>
        <w:t>一、项目</w:t>
      </w:r>
      <w:r>
        <w:rPr>
          <w:rFonts w:hint="eastAsia" w:ascii="宋体" w:hAnsi="宋体" w:eastAsia="宋体" w:cs="宋体"/>
          <w:b/>
          <w:bCs w:val="0"/>
          <w:color w:val="auto"/>
          <w:sz w:val="21"/>
          <w:szCs w:val="21"/>
          <w:lang w:val="en-US" w:eastAsia="zh-CN" w:bidi="zh-TW"/>
        </w:rPr>
        <w:t>内容</w:t>
      </w:r>
    </w:p>
    <w:p w14:paraId="3C8B01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zh-TW"/>
        </w:rPr>
      </w:pPr>
      <w:r>
        <w:rPr>
          <w:rFonts w:hint="eastAsia" w:ascii="宋体" w:hAnsi="宋体" w:eastAsia="宋体" w:cs="宋体"/>
          <w:color w:val="auto"/>
          <w:sz w:val="21"/>
          <w:szCs w:val="21"/>
          <w:highlight w:val="none"/>
          <w:lang w:val="zh-TW" w:eastAsia="zh-CN" w:bidi="zh-TW"/>
        </w:rPr>
        <w:t>项目名称：</w:t>
      </w:r>
      <w:r>
        <w:rPr>
          <w:rFonts w:hint="eastAsia" w:ascii="宋体" w:hAnsi="宋体" w:cs="宋体"/>
          <w:sz w:val="21"/>
          <w:szCs w:val="21"/>
          <w:shd w:val="clear" w:color="auto" w:fill="FFFFFF"/>
        </w:rPr>
        <w:t>中山市小榄人民医院</w:t>
      </w:r>
      <w:r>
        <w:rPr>
          <w:rFonts w:hint="eastAsia" w:ascii="宋体" w:hAnsi="宋体" w:cs="宋体"/>
          <w:sz w:val="21"/>
          <w:szCs w:val="21"/>
          <w:shd w:val="clear" w:color="auto" w:fill="FFFFFF"/>
          <w:lang w:val="en-US" w:eastAsia="zh-CN"/>
        </w:rPr>
        <w:t>2026年度消防安全评估及消防设施检测</w:t>
      </w:r>
      <w:bookmarkStart w:id="0" w:name="_GoBack"/>
      <w:bookmarkEnd w:id="0"/>
      <w:r>
        <w:rPr>
          <w:rFonts w:hint="eastAsia" w:ascii="宋体" w:hAnsi="宋体" w:cs="宋体"/>
          <w:sz w:val="21"/>
          <w:szCs w:val="21"/>
          <w:shd w:val="clear" w:color="auto" w:fill="FFFFFF"/>
        </w:rPr>
        <w:t>服务项目</w:t>
      </w:r>
    </w:p>
    <w:p w14:paraId="0D4FD213">
      <w:pPr>
        <w:spacing w:line="360" w:lineRule="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szCs w:val="21"/>
          <w:highlight w:val="none"/>
          <w:lang w:val="en-US" w:eastAsia="zh-CN"/>
        </w:rPr>
        <w:t>二</w:t>
      </w:r>
      <w:r>
        <w:rPr>
          <w:rFonts w:hint="eastAsia" w:ascii="宋体" w:hAnsi="宋体"/>
          <w:b/>
          <w:szCs w:val="21"/>
          <w:highlight w:val="none"/>
        </w:rPr>
        <w:t>、响应供应商资格条件</w:t>
      </w:r>
    </w:p>
    <w:p w14:paraId="6BF929C0">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1、响应</w:t>
      </w:r>
      <w:r>
        <w:rPr>
          <w:rFonts w:hint="eastAsia" w:ascii="宋体" w:hAnsi="宋体" w:cs="宋体"/>
          <w:color w:val="auto"/>
          <w:szCs w:val="21"/>
          <w:highlight w:val="none"/>
        </w:rPr>
        <w:t>供应商具有独立承担民事责任能力的在中华人民共和国境内注册的法人或其他组织营业执照，经营范围含</w:t>
      </w:r>
      <w:r>
        <w:rPr>
          <w:rFonts w:hint="eastAsia" w:ascii="宋体" w:hAnsi="宋体" w:cs="宋体"/>
          <w:color w:val="auto"/>
          <w:szCs w:val="21"/>
          <w:highlight w:val="none"/>
          <w:lang w:val="en-US" w:eastAsia="zh-CN"/>
        </w:rPr>
        <w:t>消防检测、评估</w:t>
      </w:r>
      <w:r>
        <w:rPr>
          <w:rFonts w:hint="eastAsia" w:ascii="宋体" w:hAnsi="宋体" w:cs="宋体"/>
          <w:color w:val="auto"/>
          <w:szCs w:val="21"/>
          <w:highlight w:val="none"/>
        </w:rPr>
        <w:t>相关内容</w:t>
      </w:r>
      <w:r>
        <w:rPr>
          <w:rFonts w:hint="eastAsia" w:ascii="宋体" w:hAnsi="宋体" w:cs="宋体"/>
          <w:color w:val="auto"/>
          <w:szCs w:val="21"/>
          <w:highlight w:val="none"/>
          <w:lang w:eastAsia="zh-CN"/>
        </w:rPr>
        <w:t>；</w:t>
      </w:r>
    </w:p>
    <w:p w14:paraId="538FB850">
      <w:pPr>
        <w:spacing w:line="360" w:lineRule="auto"/>
        <w:ind w:firstLine="420" w:firstLineChars="200"/>
        <w:rPr>
          <w:rFonts w:ascii="宋体" w:hAnsi="宋体"/>
          <w:strike/>
          <w:color w:val="auto"/>
          <w:szCs w:val="21"/>
        </w:rPr>
      </w:pPr>
      <w:r>
        <w:rPr>
          <w:rFonts w:hint="eastAsia" w:ascii="宋体" w:hAnsi="宋体"/>
          <w:color w:val="auto"/>
          <w:szCs w:val="21"/>
          <w:lang w:val="en-US" w:eastAsia="zh-CN"/>
        </w:rPr>
        <w:t>2</w:t>
      </w:r>
      <w:r>
        <w:rPr>
          <w:rFonts w:hint="eastAsia" w:ascii="宋体" w:hAnsi="宋体"/>
          <w:color w:val="auto"/>
          <w:szCs w:val="21"/>
        </w:rPr>
        <w:t>、符合从业条件的消防服务机构应将企业和人员信息录入广东省“三库一平台管理信息服务系统”。应在“广东社会消防技术服务平台”进行报备，有资质出具相关的评估报告。（具有专业的检测评估队伍，提供一级注册消防工程师2人，消防设施操作证2人）</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提供查询结果截图并加盖公章</w:t>
      </w:r>
      <w:r>
        <w:rPr>
          <w:rFonts w:hint="eastAsia" w:ascii="宋体" w:hAnsi="宋体"/>
          <w:b w:val="0"/>
          <w:bCs w:val="0"/>
          <w:color w:val="auto"/>
          <w:szCs w:val="21"/>
          <w:highlight w:val="none"/>
          <w:lang w:eastAsia="zh-CN"/>
        </w:rPr>
        <w:t>）。</w:t>
      </w:r>
    </w:p>
    <w:p w14:paraId="1313A14E">
      <w:pPr>
        <w:spacing w:line="360" w:lineRule="auto"/>
        <w:ind w:firstLine="420" w:firstLineChars="200"/>
        <w:rPr>
          <w:rFonts w:hint="default" w:ascii="宋体" w:hAnsi="宋体"/>
          <w:color w:val="auto"/>
          <w:szCs w:val="21"/>
          <w:lang w:val="en-US" w:eastAsia="zh-CN"/>
        </w:rPr>
      </w:pPr>
      <w:r>
        <w:rPr>
          <w:rFonts w:hint="eastAsia" w:ascii="宋体" w:hAnsi="宋体"/>
          <w:b w:val="0"/>
          <w:bCs w:val="0"/>
          <w:color w:val="auto"/>
          <w:szCs w:val="21"/>
          <w:highlight w:val="none"/>
          <w:lang w:val="en-US" w:eastAsia="zh-CN"/>
        </w:rPr>
        <w:t>3、报名单位</w:t>
      </w:r>
      <w:r>
        <w:rPr>
          <w:rFonts w:hint="eastAsia" w:ascii="宋体" w:hAnsi="宋体"/>
          <w:b w:val="0"/>
          <w:bCs w:val="0"/>
          <w:color w:val="auto"/>
          <w:szCs w:val="21"/>
          <w:highlight w:val="none"/>
        </w:rPr>
        <w:t>需办理中山市建设工程企业管理和诚信平台的消防检测类别登记，报名单位需满足中山市住房和城乡建设局《关于加强我市建设工程消防技术服务机构管理工作的通知》（中建通〔2020〕73号）及《关于加强我市建设工程消防技术服务机构管理工作的补充通知》中的要求</w:t>
      </w:r>
      <w:r>
        <w:rPr>
          <w:rFonts w:hint="eastAsia" w:ascii="宋体" w:hAnsi="宋体"/>
          <w:b w:val="0"/>
          <w:bCs w:val="0"/>
          <w:color w:val="auto"/>
          <w:szCs w:val="21"/>
          <w:highlight w:val="none"/>
          <w:lang w:eastAsia="zh-CN"/>
        </w:rPr>
        <w:t>。</w:t>
      </w:r>
      <w:r>
        <w:rPr>
          <w:rFonts w:hint="eastAsia" w:ascii="宋体" w:hAnsi="宋体"/>
          <w:color w:val="auto"/>
          <w:szCs w:val="21"/>
          <w:highlight w:val="none"/>
          <w:lang w:val="en-US" w:eastAsia="zh-CN"/>
        </w:rPr>
        <w:t>在中山</w:t>
      </w:r>
      <w:r>
        <w:rPr>
          <w:rFonts w:hint="eastAsia" w:ascii="宋体" w:hAnsi="宋体"/>
          <w:color w:val="auto"/>
          <w:szCs w:val="21"/>
          <w:highlight w:val="none"/>
        </w:rPr>
        <w:t>市建设工程企业管理诚信平台</w:t>
      </w:r>
      <w:r>
        <w:rPr>
          <w:rFonts w:hint="eastAsia" w:ascii="宋体" w:hAnsi="宋体"/>
          <w:color w:val="auto"/>
          <w:szCs w:val="21"/>
          <w:highlight w:val="none"/>
          <w:lang w:val="en-US" w:eastAsia="zh-CN"/>
        </w:rPr>
        <w:t>查询出现不良企业行为的不得参与。（提供查询结果截图并加盖公章）。</w:t>
      </w:r>
    </w:p>
    <w:p w14:paraId="1406AEC7">
      <w:pPr>
        <w:pStyle w:val="14"/>
        <w:adjustRightInd w:val="0"/>
        <w:snapToGrid w:val="0"/>
        <w:spacing w:line="360" w:lineRule="auto"/>
        <w:ind w:firstLine="0" w:firstLineChars="0"/>
        <w:rPr>
          <w:rFonts w:hint="eastAsia" w:ascii="宋体" w:hAnsi="宋体" w:eastAsiaTheme="minorEastAsia" w:cstheme="minorBidi"/>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4、</w:t>
      </w:r>
      <w:r>
        <w:rPr>
          <w:rFonts w:hint="eastAsia" w:ascii="宋体" w:hAnsi="宋体" w:eastAsiaTheme="minorEastAsia" w:cstheme="minorBidi"/>
          <w:color w:val="auto"/>
          <w:szCs w:val="21"/>
        </w:rPr>
        <w:t>正在为中山市小榄人民医院提供消防设施维保服务合同期内的相关公司不得参与。</w:t>
      </w:r>
    </w:p>
    <w:p w14:paraId="697CC9A4">
      <w:pPr>
        <w:adjustRightInd w:val="0"/>
        <w:snapToGrid w:val="0"/>
        <w:spacing w:line="360" w:lineRule="auto"/>
        <w:rPr>
          <w:rFonts w:ascii="宋体" w:hAnsi="宋体" w:cs="宋体"/>
          <w:color w:val="auto"/>
          <w:highlight w:val="none"/>
        </w:rPr>
      </w:pPr>
      <w:r>
        <w:rPr>
          <w:rFonts w:hint="eastAsia" w:hAnsi="宋体"/>
          <w:b/>
          <w:lang w:val="en-US" w:eastAsia="zh-CN"/>
        </w:rPr>
        <w:t>三</w:t>
      </w:r>
      <w:r>
        <w:rPr>
          <w:rFonts w:hint="eastAsia" w:hAnsi="宋体"/>
          <w:b/>
        </w:rPr>
        <w:t>、项目基本概况</w:t>
      </w:r>
    </w:p>
    <w:p w14:paraId="19CAA075">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小榄人民医院是一所集医疗、保健、教学为一体的综合性三甲医院，建筑面积约</w:t>
      </w:r>
      <w:r>
        <w:rPr>
          <w:rFonts w:hint="eastAsia" w:ascii="宋体" w:hAnsi="宋体"/>
          <w:color w:val="auto"/>
          <w:szCs w:val="21"/>
          <w:highlight w:val="none"/>
          <w:lang w:val="en-US" w:eastAsia="zh-CN"/>
        </w:rPr>
        <w:t>21.7</w:t>
      </w:r>
      <w:r>
        <w:rPr>
          <w:rFonts w:hint="eastAsia" w:ascii="宋体" w:hAnsi="宋体"/>
          <w:color w:val="auto"/>
          <w:szCs w:val="21"/>
          <w:highlight w:val="none"/>
        </w:rPr>
        <w:t>万平方米。医院的消防设施配备较齐全，全院的</w:t>
      </w:r>
      <w:r>
        <w:rPr>
          <w:rFonts w:hint="eastAsia" w:ascii="宋体" w:hAnsi="宋体"/>
          <w:color w:val="auto"/>
          <w:highlight w:val="none"/>
        </w:rPr>
        <w:t>消防设施配置有：消火栓系统、自动喷水灭火系统、消防自动报警系统及中央监控系统（含美国原厂新普利斯4100U火灾自动报警控制器4台</w:t>
      </w:r>
      <w:r>
        <w:rPr>
          <w:rFonts w:hint="eastAsia" w:ascii="宋体" w:hAnsi="宋体"/>
          <w:color w:val="auto"/>
          <w:szCs w:val="21"/>
          <w:highlight w:val="none"/>
        </w:rPr>
        <w:t>；各类型探测器约</w:t>
      </w:r>
      <w:r>
        <w:rPr>
          <w:rFonts w:hint="eastAsia" w:ascii="宋体" w:hAnsi="宋体"/>
          <w:color w:val="auto"/>
          <w:szCs w:val="21"/>
          <w:highlight w:val="none"/>
          <w:lang w:val="en-US" w:eastAsia="zh-CN"/>
        </w:rPr>
        <w:t>7</w:t>
      </w:r>
      <w:r>
        <w:rPr>
          <w:rFonts w:hint="eastAsia" w:ascii="宋体" w:hAnsi="宋体"/>
          <w:color w:val="auto"/>
          <w:szCs w:val="21"/>
          <w:highlight w:val="none"/>
        </w:rPr>
        <w:t>000个，</w:t>
      </w:r>
      <w:r>
        <w:rPr>
          <w:rFonts w:hint="eastAsia" w:ascii="宋体" w:hAnsi="宋体"/>
          <w:color w:val="auto"/>
          <w:szCs w:val="21"/>
          <w:highlight w:val="none"/>
          <w:lang w:val="en-US" w:eastAsia="zh-CN"/>
        </w:rPr>
        <w:t>内科楼</w:t>
      </w:r>
      <w:r>
        <w:rPr>
          <w:rFonts w:hint="eastAsia" w:ascii="宋体" w:hAnsi="宋体"/>
          <w:color w:val="auto"/>
          <w:szCs w:val="21"/>
          <w:highlight w:val="none"/>
        </w:rPr>
        <w:t>一套泛海三江消防系统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停车楼</w:t>
      </w:r>
      <w:r>
        <w:rPr>
          <w:rFonts w:hint="eastAsia" w:ascii="宋体" w:hAnsi="宋体"/>
          <w:color w:val="auto"/>
          <w:szCs w:val="21"/>
          <w:highlight w:val="none"/>
        </w:rPr>
        <w:t>一套</w:t>
      </w:r>
      <w:r>
        <w:rPr>
          <w:rFonts w:hint="eastAsia" w:ascii="宋体" w:hAnsi="宋体"/>
          <w:color w:val="auto"/>
          <w:szCs w:val="21"/>
          <w:highlight w:val="none"/>
          <w:lang w:val="en-US" w:eastAsia="zh-CN"/>
        </w:rPr>
        <w:t>泰和安科技</w:t>
      </w:r>
      <w:r>
        <w:rPr>
          <w:rFonts w:hint="eastAsia" w:ascii="宋体" w:hAnsi="宋体"/>
          <w:color w:val="auto"/>
          <w:szCs w:val="21"/>
          <w:highlight w:val="none"/>
        </w:rPr>
        <w:t>消防系统）</w:t>
      </w:r>
      <w:r>
        <w:rPr>
          <w:rFonts w:hint="eastAsia" w:ascii="宋体" w:hAnsi="宋体"/>
          <w:color w:val="auto"/>
          <w:highlight w:val="none"/>
        </w:rPr>
        <w:t>；消防水泵及水箱、防排烟系统、消防联动系统（如事故广播、警铃系统等）、应急照明及疏散指示系统、气体自动灭火系统、消防门及防火卷帘及辅肋消防灭火设施等。</w:t>
      </w:r>
    </w:p>
    <w:p w14:paraId="2EBBD742">
      <w:pPr>
        <w:snapToGrid w:val="0"/>
        <w:spacing w:line="360" w:lineRule="auto"/>
        <w:rPr>
          <w:rFonts w:ascii="宋体" w:hAnsi="宋体"/>
          <w:b/>
        </w:rPr>
      </w:pPr>
      <w:r>
        <w:rPr>
          <w:rFonts w:hint="eastAsia" w:ascii="宋体" w:hAnsi="宋体"/>
          <w:b/>
          <w:lang w:val="en-US" w:eastAsia="zh-CN"/>
        </w:rPr>
        <w:t>四</w:t>
      </w:r>
      <w:r>
        <w:rPr>
          <w:rFonts w:hint="eastAsia" w:ascii="宋体" w:hAnsi="宋体"/>
          <w:b/>
        </w:rPr>
        <w:t>、服务</w:t>
      </w:r>
      <w:r>
        <w:rPr>
          <w:rFonts w:hint="eastAsia" w:ascii="宋体" w:hAnsi="宋体"/>
          <w:b/>
          <w:lang w:val="en-US" w:eastAsia="zh-CN"/>
        </w:rPr>
        <w:t>标准</w:t>
      </w:r>
    </w:p>
    <w:p w14:paraId="7454FC7D">
      <w:pPr>
        <w:numPr>
          <w:ilvl w:val="0"/>
          <w:numId w:val="0"/>
        </w:numPr>
        <w:spacing w:line="360" w:lineRule="auto"/>
        <w:ind w:firstLine="420" w:firstLineChars="200"/>
        <w:rPr>
          <w:rFonts w:hint="eastAsia" w:hAnsi="宋体" w:cs="宋体"/>
        </w:rPr>
      </w:pPr>
      <w:r>
        <w:rPr>
          <w:rFonts w:hint="eastAsia" w:hAnsi="宋体" w:cs="宋体"/>
        </w:rPr>
        <w:t>按照以下相关国家法律法规、检测标准等对中山市小榄人民医院内红线区域内（中山市小榄镇菊城大道中65号）的全部消防设备进行</w:t>
      </w:r>
      <w:r>
        <w:rPr>
          <w:rFonts w:hint="eastAsia" w:hAnsi="宋体" w:cs="宋体"/>
          <w:lang w:val="en-US" w:eastAsia="zh-CN"/>
        </w:rPr>
        <w:t>年度消防安全评估、消防设施</w:t>
      </w:r>
      <w:r>
        <w:rPr>
          <w:rFonts w:hint="eastAsia" w:hAnsi="宋体" w:cs="宋体"/>
        </w:rPr>
        <w:t>检测，包括</w:t>
      </w:r>
      <w:r>
        <w:rPr>
          <w:rFonts w:hint="eastAsia" w:hAnsi="宋体" w:cs="宋体"/>
          <w:lang w:val="en-US" w:eastAsia="zh-CN"/>
        </w:rPr>
        <w:t>且不仅限于</w:t>
      </w:r>
      <w:r>
        <w:rPr>
          <w:rFonts w:hint="eastAsia" w:hAnsi="宋体" w:cs="宋体"/>
        </w:rPr>
        <w:t>：</w:t>
      </w:r>
    </w:p>
    <w:p w14:paraId="6EA11AFD">
      <w:pPr>
        <w:numPr>
          <w:ilvl w:val="0"/>
          <w:numId w:val="0"/>
        </w:numPr>
        <w:spacing w:line="460" w:lineRule="exact"/>
        <w:ind w:left="284" w:leftChars="0"/>
        <w:rPr>
          <w:rFonts w:hAnsi="宋体" w:cs="宋体"/>
        </w:rPr>
      </w:pPr>
      <w:r>
        <w:rPr>
          <w:rFonts w:hint="eastAsia" w:hAnsi="宋体" w:cs="宋体"/>
          <w:lang w:val="en-US" w:eastAsia="zh-CN"/>
        </w:rPr>
        <w:t>1、</w:t>
      </w:r>
      <w:r>
        <w:rPr>
          <w:rFonts w:hint="eastAsia" w:hAnsi="宋体" w:cs="宋体"/>
        </w:rPr>
        <w:t>《中华人民共和国消防法》；</w:t>
      </w:r>
    </w:p>
    <w:p w14:paraId="240BA364">
      <w:pPr>
        <w:numPr>
          <w:ilvl w:val="0"/>
          <w:numId w:val="0"/>
        </w:numPr>
        <w:spacing w:line="460" w:lineRule="exact"/>
        <w:ind w:left="993" w:leftChars="0" w:hanging="709" w:firstLineChars="0"/>
        <w:rPr>
          <w:rFonts w:hAnsi="宋体" w:cs="宋体"/>
        </w:rPr>
      </w:pPr>
      <w:r>
        <w:rPr>
          <w:rFonts w:hint="eastAsia" w:hAnsi="宋体" w:cs="宋体"/>
          <w:kern w:val="2"/>
          <w:sz w:val="21"/>
          <w:szCs w:val="24"/>
          <w:lang w:val="en-US" w:eastAsia="zh-CN" w:bidi="ar-SA"/>
        </w:rPr>
        <w:t>2、</w:t>
      </w:r>
      <w:r>
        <w:rPr>
          <w:rFonts w:hint="eastAsia" w:hAnsi="宋体" w:cs="宋体"/>
        </w:rPr>
        <w:t>《</w:t>
      </w:r>
      <w:r>
        <w:rPr>
          <w:rFonts w:hAnsi="宋体" w:cs="宋体"/>
        </w:rPr>
        <w:t>中华人民共和国消防法实施细则</w:t>
      </w:r>
      <w:r>
        <w:rPr>
          <w:rFonts w:hint="eastAsia" w:hAnsi="宋体" w:cs="宋体"/>
        </w:rPr>
        <w:t>》；</w:t>
      </w:r>
    </w:p>
    <w:p w14:paraId="25C44AD6">
      <w:pPr>
        <w:numPr>
          <w:ilvl w:val="0"/>
          <w:numId w:val="0"/>
        </w:numPr>
        <w:spacing w:line="460" w:lineRule="exact"/>
        <w:ind w:left="993" w:leftChars="0" w:hanging="709" w:firstLineChars="0"/>
        <w:rPr>
          <w:rFonts w:hAnsi="宋体" w:cs="宋体"/>
        </w:rPr>
      </w:pPr>
      <w:r>
        <w:rPr>
          <w:rFonts w:hint="eastAsia" w:hAnsi="宋体" w:cs="宋体"/>
          <w:lang w:val="en-US" w:eastAsia="zh-CN"/>
        </w:rPr>
        <w:t>3、</w:t>
      </w:r>
      <w:r>
        <w:rPr>
          <w:rFonts w:hint="eastAsia" w:hAnsi="宋体" w:cs="宋体"/>
        </w:rPr>
        <w:t>《建筑灭火器配置设计规范》GB50140-2005；</w:t>
      </w:r>
    </w:p>
    <w:p w14:paraId="1B643B12">
      <w:pPr>
        <w:numPr>
          <w:ilvl w:val="0"/>
          <w:numId w:val="0"/>
        </w:numPr>
        <w:spacing w:line="460" w:lineRule="exact"/>
        <w:ind w:left="993" w:leftChars="0" w:hanging="709" w:firstLineChars="0"/>
        <w:rPr>
          <w:rFonts w:hAnsi="宋体" w:cs="宋体"/>
        </w:rPr>
      </w:pPr>
      <w:r>
        <w:rPr>
          <w:rFonts w:hint="eastAsia" w:hAnsi="宋体" w:cs="宋体"/>
          <w:lang w:val="en-US" w:eastAsia="zh-CN"/>
        </w:rPr>
        <w:t>4、</w:t>
      </w:r>
      <w:r>
        <w:rPr>
          <w:rFonts w:hint="eastAsia" w:hAnsi="宋体" w:cs="宋体"/>
        </w:rPr>
        <w:t>《建筑电气工程施工质量验规范》GB50303-2002；</w:t>
      </w:r>
    </w:p>
    <w:p w14:paraId="6812567C">
      <w:pPr>
        <w:numPr>
          <w:ilvl w:val="0"/>
          <w:numId w:val="0"/>
        </w:numPr>
        <w:spacing w:line="460" w:lineRule="exact"/>
        <w:ind w:left="993" w:leftChars="0" w:hanging="709" w:firstLineChars="0"/>
        <w:rPr>
          <w:rFonts w:hAnsi="宋体" w:cs="宋体"/>
        </w:rPr>
      </w:pPr>
      <w:r>
        <w:rPr>
          <w:rFonts w:hint="eastAsia" w:hAnsi="宋体" w:cs="宋体"/>
          <w:lang w:val="en-US" w:eastAsia="zh-CN"/>
        </w:rPr>
        <w:t>5、</w:t>
      </w:r>
      <w:r>
        <w:rPr>
          <w:rFonts w:hint="eastAsia" w:hAnsi="宋体" w:cs="宋体"/>
        </w:rPr>
        <w:t>《消防给水及消火栓系统技术规范》GB50974-2014；</w:t>
      </w:r>
    </w:p>
    <w:p w14:paraId="5DA252A4">
      <w:pPr>
        <w:numPr>
          <w:ilvl w:val="0"/>
          <w:numId w:val="0"/>
        </w:numPr>
        <w:spacing w:line="460" w:lineRule="exact"/>
        <w:ind w:left="993" w:leftChars="0" w:hanging="709" w:firstLineChars="0"/>
        <w:rPr>
          <w:rFonts w:hAnsi="宋体" w:cs="宋体"/>
        </w:rPr>
      </w:pPr>
      <w:r>
        <w:rPr>
          <w:rFonts w:hint="eastAsia" w:hAnsi="宋体" w:cs="宋体"/>
          <w:lang w:val="en-US" w:eastAsia="zh-CN"/>
        </w:rPr>
        <w:t>6、</w:t>
      </w:r>
      <w:r>
        <w:rPr>
          <w:rFonts w:hint="eastAsia" w:hAnsi="宋体" w:cs="宋体"/>
        </w:rPr>
        <w:t>《火灾自动报警系统施工及验收规范》GB50166-2007；</w:t>
      </w:r>
    </w:p>
    <w:p w14:paraId="6825F638">
      <w:pPr>
        <w:numPr>
          <w:ilvl w:val="0"/>
          <w:numId w:val="0"/>
        </w:numPr>
        <w:spacing w:line="460" w:lineRule="exact"/>
        <w:ind w:left="993" w:leftChars="0" w:hanging="709" w:firstLineChars="0"/>
        <w:rPr>
          <w:rFonts w:hAnsi="宋体" w:cs="宋体"/>
        </w:rPr>
      </w:pPr>
      <w:r>
        <w:rPr>
          <w:rFonts w:hint="eastAsia" w:hAnsi="宋体" w:cs="宋体"/>
          <w:lang w:val="en-US" w:eastAsia="zh-CN"/>
        </w:rPr>
        <w:t>7、</w:t>
      </w:r>
      <w:r>
        <w:rPr>
          <w:rFonts w:hint="eastAsia" w:hAnsi="宋体" w:cs="宋体"/>
        </w:rPr>
        <w:t>《自动喷水灭火系统施工及验收规范》GB50261-2005；</w:t>
      </w:r>
    </w:p>
    <w:p w14:paraId="04DEB62E">
      <w:pPr>
        <w:numPr>
          <w:ilvl w:val="0"/>
          <w:numId w:val="0"/>
        </w:numPr>
        <w:spacing w:line="460" w:lineRule="exact"/>
        <w:ind w:left="993" w:leftChars="0" w:hanging="709" w:firstLineChars="0"/>
        <w:rPr>
          <w:rFonts w:hAnsi="宋体" w:cs="宋体"/>
        </w:rPr>
      </w:pPr>
      <w:r>
        <w:rPr>
          <w:rFonts w:hint="eastAsia" w:hAnsi="宋体" w:cs="宋体"/>
          <w:lang w:val="en-US" w:eastAsia="zh-CN"/>
        </w:rPr>
        <w:t>8、</w:t>
      </w:r>
      <w:r>
        <w:rPr>
          <w:rFonts w:hint="eastAsia" w:hAnsi="宋体" w:cs="宋体"/>
        </w:rPr>
        <w:t>《建筑给水排水及采暖工程施工质量验收规范》GB50242-2002；</w:t>
      </w:r>
    </w:p>
    <w:p w14:paraId="5163174D">
      <w:pPr>
        <w:numPr>
          <w:ilvl w:val="0"/>
          <w:numId w:val="0"/>
        </w:numPr>
        <w:spacing w:line="460" w:lineRule="exact"/>
        <w:ind w:left="993" w:leftChars="0" w:hanging="709" w:firstLineChars="0"/>
        <w:rPr>
          <w:rFonts w:hAnsi="宋体" w:cs="宋体"/>
        </w:rPr>
      </w:pPr>
      <w:r>
        <w:rPr>
          <w:rFonts w:hint="eastAsia" w:hAnsi="宋体" w:cs="宋体"/>
          <w:lang w:val="en-US" w:eastAsia="zh-CN"/>
        </w:rPr>
        <w:t>9、</w:t>
      </w:r>
      <w:r>
        <w:rPr>
          <w:rFonts w:hint="eastAsia" w:hAnsi="宋体" w:cs="宋体"/>
        </w:rPr>
        <w:t>《人员密集场所消防安全管理》（GA654-2006）；</w:t>
      </w:r>
    </w:p>
    <w:p w14:paraId="31AAE23F">
      <w:pPr>
        <w:numPr>
          <w:ilvl w:val="0"/>
          <w:numId w:val="0"/>
        </w:numPr>
        <w:spacing w:line="460" w:lineRule="exact"/>
        <w:ind w:left="993" w:leftChars="0" w:hanging="709" w:firstLineChars="0"/>
        <w:rPr>
          <w:rFonts w:hAnsi="宋体" w:cs="宋体"/>
        </w:rPr>
      </w:pPr>
      <w:r>
        <w:rPr>
          <w:rFonts w:hint="eastAsia" w:hAnsi="宋体" w:cs="宋体"/>
          <w:lang w:val="en-US" w:eastAsia="zh-CN"/>
        </w:rPr>
        <w:t>10、</w:t>
      </w:r>
      <w:r>
        <w:rPr>
          <w:rFonts w:hint="eastAsia" w:hAnsi="宋体" w:cs="宋体"/>
        </w:rPr>
        <w:t>《防火门》（GB12955-2008）；</w:t>
      </w:r>
    </w:p>
    <w:p w14:paraId="647A7709">
      <w:pPr>
        <w:numPr>
          <w:ilvl w:val="0"/>
          <w:numId w:val="0"/>
        </w:numPr>
        <w:spacing w:line="460" w:lineRule="exact"/>
        <w:ind w:left="993" w:leftChars="0" w:hanging="709" w:firstLineChars="0"/>
        <w:rPr>
          <w:rFonts w:hAnsi="宋体" w:cs="宋体"/>
        </w:rPr>
      </w:pPr>
      <w:r>
        <w:rPr>
          <w:rFonts w:hint="eastAsia" w:hAnsi="宋体" w:cs="宋体"/>
          <w:lang w:val="en-US" w:eastAsia="zh-CN"/>
        </w:rPr>
        <w:t>11、</w:t>
      </w:r>
      <w:r>
        <w:rPr>
          <w:rFonts w:hint="eastAsia" w:hAnsi="宋体" w:cs="宋体"/>
        </w:rPr>
        <w:t>《通风与空调工程施工验收规范》GB50243-2002；</w:t>
      </w:r>
    </w:p>
    <w:p w14:paraId="6795F7B3">
      <w:pPr>
        <w:numPr>
          <w:ilvl w:val="0"/>
          <w:numId w:val="0"/>
        </w:numPr>
        <w:spacing w:line="460" w:lineRule="exact"/>
        <w:ind w:left="993" w:leftChars="0" w:hanging="709" w:firstLineChars="0"/>
        <w:rPr>
          <w:rFonts w:hAnsi="宋体" w:cs="宋体"/>
        </w:rPr>
      </w:pPr>
      <w:r>
        <w:rPr>
          <w:rFonts w:hint="eastAsia" w:hAnsi="宋体" w:cs="宋体"/>
          <w:lang w:val="en-US" w:eastAsia="zh-CN"/>
        </w:rPr>
        <w:t>12、</w:t>
      </w:r>
      <w:r>
        <w:rPr>
          <w:rFonts w:hint="eastAsia" w:hAnsi="宋体" w:cs="宋体"/>
        </w:rPr>
        <w:t>《建筑防火及消防设施检测技术规程》 (DBJ/T15-110-2015)；</w:t>
      </w:r>
    </w:p>
    <w:p w14:paraId="574524B5">
      <w:pPr>
        <w:numPr>
          <w:ilvl w:val="0"/>
          <w:numId w:val="0"/>
        </w:numPr>
        <w:spacing w:line="460" w:lineRule="exact"/>
        <w:ind w:left="993" w:leftChars="0" w:hanging="709" w:firstLineChars="0"/>
        <w:rPr>
          <w:rFonts w:hAnsi="宋体" w:cs="宋体"/>
        </w:rPr>
      </w:pPr>
      <w:r>
        <w:rPr>
          <w:rFonts w:hint="eastAsia" w:hAnsi="宋体" w:cs="宋体"/>
          <w:lang w:val="en-US" w:eastAsia="zh-CN"/>
        </w:rPr>
        <w:t>13、</w:t>
      </w:r>
      <w:r>
        <w:rPr>
          <w:rFonts w:hint="eastAsia" w:hAnsi="宋体" w:cs="宋体"/>
        </w:rPr>
        <w:t>《医疗机构消防安全管理九项规定</w:t>
      </w:r>
      <w:r>
        <w:rPr>
          <w:rFonts w:hint="eastAsia" w:ascii="宋体" w:hAnsi="宋体"/>
        </w:rPr>
        <w:t>（2020版）</w:t>
      </w:r>
      <w:r>
        <w:rPr>
          <w:rFonts w:hint="eastAsia" w:hAnsi="宋体" w:cs="宋体"/>
        </w:rPr>
        <w:t>》；</w:t>
      </w:r>
    </w:p>
    <w:p w14:paraId="638B9B88">
      <w:pPr>
        <w:numPr>
          <w:ilvl w:val="0"/>
          <w:numId w:val="0"/>
        </w:numPr>
        <w:spacing w:line="460" w:lineRule="exact"/>
        <w:ind w:left="993" w:leftChars="0" w:hanging="709" w:firstLineChars="0"/>
        <w:rPr>
          <w:rFonts w:hAnsi="宋体" w:cs="宋体"/>
        </w:rPr>
      </w:pPr>
      <w:r>
        <w:rPr>
          <w:rFonts w:hint="eastAsia" w:hAnsi="宋体" w:cs="宋体"/>
          <w:lang w:val="en-US" w:eastAsia="zh-CN"/>
        </w:rPr>
        <w:t>14、</w:t>
      </w:r>
      <w:r>
        <w:rPr>
          <w:rFonts w:hAnsi="宋体" w:cs="宋体"/>
        </w:rPr>
        <w:t>《消防监督检查规定</w:t>
      </w:r>
      <w:r>
        <w:rPr>
          <w:rFonts w:hint="eastAsia" w:hAnsi="宋体" w:cs="宋体"/>
        </w:rPr>
        <w:t>》；</w:t>
      </w:r>
    </w:p>
    <w:p w14:paraId="13945A4A">
      <w:pPr>
        <w:numPr>
          <w:ilvl w:val="0"/>
          <w:numId w:val="0"/>
        </w:numPr>
        <w:spacing w:line="460" w:lineRule="exact"/>
        <w:ind w:left="993" w:leftChars="0" w:hanging="709" w:firstLineChars="0"/>
        <w:rPr>
          <w:rFonts w:hAnsi="宋体" w:cs="宋体"/>
        </w:rPr>
      </w:pPr>
      <w:r>
        <w:rPr>
          <w:rFonts w:hint="eastAsia" w:hAnsi="宋体" w:cs="宋体"/>
          <w:lang w:val="en-US" w:eastAsia="zh-CN"/>
        </w:rPr>
        <w:t>15、</w:t>
      </w:r>
      <w:r>
        <w:rPr>
          <w:rFonts w:hint="eastAsia" w:hAnsi="宋体" w:cs="宋体"/>
        </w:rPr>
        <w:t>《</w:t>
      </w:r>
      <w:r>
        <w:rPr>
          <w:rFonts w:hAnsi="宋体" w:cs="宋体"/>
        </w:rPr>
        <w:t xml:space="preserve">WS308-2009 </w:t>
      </w:r>
      <w:r>
        <w:rPr>
          <w:rFonts w:hint="eastAsia" w:hAnsi="宋体" w:cs="宋体"/>
        </w:rPr>
        <w:t>医疗机构消防安全管理》；</w:t>
      </w:r>
    </w:p>
    <w:p w14:paraId="0ED7254E">
      <w:pPr>
        <w:numPr>
          <w:ilvl w:val="0"/>
          <w:numId w:val="0"/>
        </w:numPr>
        <w:spacing w:line="460" w:lineRule="exact"/>
        <w:ind w:left="993" w:leftChars="0" w:hanging="709" w:firstLineChars="0"/>
        <w:rPr>
          <w:rFonts w:hAnsi="宋体" w:cs="宋体"/>
        </w:rPr>
      </w:pPr>
      <w:r>
        <w:rPr>
          <w:rFonts w:hint="eastAsia" w:hAnsi="宋体" w:cs="宋体"/>
          <w:lang w:val="en-US" w:eastAsia="zh-CN"/>
        </w:rPr>
        <w:t>16、</w:t>
      </w:r>
      <w:r>
        <w:rPr>
          <w:rFonts w:hint="eastAsia" w:hAnsi="宋体" w:cs="宋体"/>
        </w:rPr>
        <w:t>《火灾自动系统施工及验收规范》；</w:t>
      </w:r>
    </w:p>
    <w:p w14:paraId="3F747703">
      <w:pPr>
        <w:numPr>
          <w:ilvl w:val="0"/>
          <w:numId w:val="0"/>
        </w:numPr>
        <w:spacing w:line="460" w:lineRule="exact"/>
        <w:ind w:left="993" w:leftChars="0" w:hanging="709" w:firstLineChars="0"/>
        <w:rPr>
          <w:rFonts w:hAnsi="宋体" w:cs="宋体"/>
        </w:rPr>
      </w:pPr>
      <w:r>
        <w:rPr>
          <w:rFonts w:hint="eastAsia" w:hAnsi="宋体" w:cs="宋体"/>
          <w:lang w:val="en-US" w:eastAsia="zh-CN"/>
        </w:rPr>
        <w:t>17、</w:t>
      </w:r>
      <w:r>
        <w:rPr>
          <w:rFonts w:hint="eastAsia" w:hAnsi="宋体" w:cs="宋体"/>
        </w:rPr>
        <w:t>《</w:t>
      </w:r>
      <w:r>
        <w:fldChar w:fldCharType="begin"/>
      </w:r>
      <w:r>
        <w:instrText xml:space="preserve"> HYPERLINK "http://baike.baidu.com/view/8279241.htm" \t "_blank" </w:instrText>
      </w:r>
      <w:r>
        <w:fldChar w:fldCharType="separate"/>
      </w:r>
      <w:r>
        <w:rPr>
          <w:rFonts w:hint="eastAsia" w:hAnsi="宋体" w:cs="宋体"/>
        </w:rPr>
        <w:t>自动喷水灭火系统施工及验收规范</w:t>
      </w:r>
      <w:r>
        <w:rPr>
          <w:rFonts w:hint="eastAsia" w:hAnsi="宋体" w:cs="宋体"/>
        </w:rPr>
        <w:fldChar w:fldCharType="end"/>
      </w:r>
      <w:r>
        <w:rPr>
          <w:rFonts w:hint="eastAsia" w:hAnsi="宋体" w:cs="宋体"/>
        </w:rPr>
        <w:t>》；</w:t>
      </w:r>
    </w:p>
    <w:p w14:paraId="560C6756">
      <w:pPr>
        <w:numPr>
          <w:ilvl w:val="0"/>
          <w:numId w:val="0"/>
        </w:numPr>
        <w:spacing w:line="460" w:lineRule="exact"/>
        <w:ind w:left="993" w:leftChars="0" w:hanging="709" w:firstLineChars="0"/>
        <w:rPr>
          <w:rFonts w:hAnsi="宋体" w:cs="宋体"/>
        </w:rPr>
      </w:pPr>
      <w:r>
        <w:rPr>
          <w:rFonts w:hint="eastAsia" w:hAnsi="宋体" w:cs="宋体"/>
          <w:lang w:val="en-US" w:eastAsia="zh-CN"/>
        </w:rPr>
        <w:t>18、</w:t>
      </w:r>
      <w:r>
        <w:rPr>
          <w:rFonts w:hint="eastAsia" w:hAnsi="宋体" w:cs="宋体"/>
        </w:rPr>
        <w:t>《建筑自动消防设施及消防控制室规范化管理标准》；</w:t>
      </w:r>
    </w:p>
    <w:p w14:paraId="66A89955">
      <w:pPr>
        <w:numPr>
          <w:ilvl w:val="0"/>
          <w:numId w:val="0"/>
        </w:numPr>
        <w:spacing w:line="460" w:lineRule="exact"/>
        <w:ind w:left="993" w:leftChars="0" w:hanging="709" w:firstLineChars="0"/>
        <w:rPr>
          <w:rFonts w:hAnsi="宋体" w:cs="宋体"/>
        </w:rPr>
      </w:pPr>
      <w:r>
        <w:rPr>
          <w:rFonts w:hint="eastAsia" w:hAnsi="宋体" w:cs="宋体"/>
          <w:lang w:val="en-US" w:eastAsia="zh-CN"/>
        </w:rPr>
        <w:t>19、</w:t>
      </w:r>
      <w:r>
        <w:rPr>
          <w:rFonts w:hint="eastAsia" w:hAnsi="宋体" w:cs="宋体"/>
        </w:rPr>
        <w:t>《广东省公安厅关于依法开展消防设施维护保养检测技术服务工作的通知》。</w:t>
      </w:r>
    </w:p>
    <w:p w14:paraId="06FB1747">
      <w:pPr>
        <w:snapToGrid w:val="0"/>
        <w:spacing w:line="360" w:lineRule="auto"/>
        <w:rPr>
          <w:rFonts w:ascii="宋体" w:hAnsi="宋体"/>
          <w:b/>
          <w:color w:val="auto"/>
        </w:rPr>
      </w:pPr>
      <w:r>
        <w:rPr>
          <w:rFonts w:hint="eastAsia" w:ascii="宋体" w:hAnsi="宋体"/>
          <w:b/>
          <w:color w:val="auto"/>
          <w:lang w:val="en-US" w:eastAsia="zh-CN"/>
        </w:rPr>
        <w:t>五</w:t>
      </w:r>
      <w:r>
        <w:rPr>
          <w:rFonts w:hint="eastAsia" w:ascii="宋体" w:hAnsi="宋体"/>
          <w:b/>
          <w:color w:val="auto"/>
        </w:rPr>
        <w:t>、服务内容：</w:t>
      </w:r>
    </w:p>
    <w:p w14:paraId="6A8D7119">
      <w:pPr>
        <w:snapToGrid w:val="0"/>
        <w:spacing w:line="360" w:lineRule="auto"/>
        <w:ind w:firstLine="424" w:firstLineChars="201"/>
        <w:rPr>
          <w:rFonts w:hint="default" w:ascii="宋体" w:hAnsi="宋体" w:eastAsiaTheme="minorEastAsia"/>
          <w:b/>
          <w:bCs/>
          <w:color w:val="auto"/>
          <w:szCs w:val="21"/>
          <w:lang w:val="en-US" w:eastAsia="zh-CN"/>
        </w:rPr>
      </w:pPr>
      <w:r>
        <w:rPr>
          <w:rFonts w:hint="eastAsia" w:ascii="宋体" w:hAnsi="宋体"/>
          <w:b/>
          <w:bCs/>
          <w:color w:val="auto"/>
          <w:szCs w:val="21"/>
          <w:lang w:eastAsia="zh-CN"/>
        </w:rPr>
        <w:t>（</w:t>
      </w:r>
      <w:r>
        <w:rPr>
          <w:rFonts w:hint="eastAsia" w:ascii="宋体" w:hAnsi="宋体"/>
          <w:b/>
          <w:bCs/>
          <w:color w:val="auto"/>
          <w:szCs w:val="21"/>
          <w:lang w:val="en-US" w:eastAsia="zh-CN"/>
        </w:rPr>
        <w:t>一</w:t>
      </w:r>
      <w:r>
        <w:rPr>
          <w:rFonts w:hint="eastAsia" w:ascii="宋体" w:hAnsi="宋体"/>
          <w:b/>
          <w:bCs/>
          <w:color w:val="auto"/>
          <w:szCs w:val="21"/>
          <w:lang w:eastAsia="zh-CN"/>
        </w:rPr>
        <w:t>）</w:t>
      </w:r>
      <w:r>
        <w:rPr>
          <w:rFonts w:ascii="Segoe UI" w:hAnsi="Segoe UI" w:eastAsia="Segoe UI" w:cs="Segoe UI"/>
          <w:b/>
          <w:bCs/>
          <w:i w:val="0"/>
          <w:iCs w:val="0"/>
          <w:caps w:val="0"/>
          <w:spacing w:val="0"/>
          <w:sz w:val="21"/>
          <w:szCs w:val="21"/>
          <w:shd w:val="clear" w:fill="FEFEFE"/>
        </w:rPr>
        <w:t>消防</w:t>
      </w:r>
      <w:r>
        <w:rPr>
          <w:rFonts w:hint="eastAsia" w:ascii="Segoe UI" w:hAnsi="Segoe UI" w:eastAsia="宋体" w:cs="Segoe UI"/>
          <w:b/>
          <w:bCs/>
          <w:i w:val="0"/>
          <w:iCs w:val="0"/>
          <w:caps w:val="0"/>
          <w:spacing w:val="0"/>
          <w:sz w:val="21"/>
          <w:szCs w:val="21"/>
          <w:shd w:val="clear" w:fill="FEFEFE"/>
          <w:lang w:val="en-US" w:eastAsia="zh-CN"/>
        </w:rPr>
        <w:t>安全</w:t>
      </w:r>
      <w:r>
        <w:rPr>
          <w:rFonts w:ascii="Segoe UI" w:hAnsi="Segoe UI" w:eastAsia="Segoe UI" w:cs="Segoe UI"/>
          <w:b/>
          <w:bCs/>
          <w:i w:val="0"/>
          <w:iCs w:val="0"/>
          <w:caps w:val="0"/>
          <w:spacing w:val="0"/>
          <w:sz w:val="21"/>
          <w:szCs w:val="21"/>
          <w:shd w:val="clear" w:fill="FEFEFE"/>
        </w:rPr>
        <w:t>第三方</w:t>
      </w:r>
      <w:r>
        <w:rPr>
          <w:rFonts w:hint="eastAsia" w:ascii="Segoe UI" w:hAnsi="Segoe UI" w:eastAsia="宋体" w:cs="Segoe UI"/>
          <w:b/>
          <w:bCs/>
          <w:i w:val="0"/>
          <w:iCs w:val="0"/>
          <w:caps w:val="0"/>
          <w:spacing w:val="0"/>
          <w:sz w:val="21"/>
          <w:szCs w:val="21"/>
          <w:shd w:val="clear" w:fill="FEFEFE"/>
          <w:lang w:val="en-US" w:eastAsia="zh-CN"/>
        </w:rPr>
        <w:t>评估服务</w:t>
      </w:r>
    </w:p>
    <w:p w14:paraId="5DBA7FBB">
      <w:pPr>
        <w:snapToGrid w:val="0"/>
        <w:spacing w:line="360" w:lineRule="auto"/>
        <w:ind w:firstLine="422" w:firstLineChars="201"/>
        <w:rPr>
          <w:rFonts w:ascii="宋体" w:hAnsi="宋体" w:eastAsia="宋体" w:cs="Times New Roman"/>
          <w:color w:val="auto"/>
          <w:szCs w:val="21"/>
        </w:rPr>
      </w:pPr>
      <w:r>
        <w:rPr>
          <w:rFonts w:hint="eastAsia" w:ascii="宋体" w:hAnsi="宋体"/>
          <w:color w:val="auto"/>
          <w:szCs w:val="21"/>
        </w:rPr>
        <w:t>1、成交供应商</w:t>
      </w:r>
      <w:r>
        <w:rPr>
          <w:rFonts w:hint="eastAsia" w:ascii="宋体" w:hAnsi="宋体" w:eastAsia="宋体" w:cs="Times New Roman"/>
          <w:color w:val="auto"/>
          <w:szCs w:val="21"/>
        </w:rPr>
        <w:t>必须按</w:t>
      </w:r>
      <w:r>
        <w:rPr>
          <w:rFonts w:hint="eastAsia" w:ascii="宋体" w:hAnsi="宋体"/>
          <w:color w:val="auto"/>
          <w:szCs w:val="21"/>
        </w:rPr>
        <w:t>采购人</w:t>
      </w:r>
      <w:r>
        <w:rPr>
          <w:rFonts w:hint="eastAsia" w:ascii="宋体" w:hAnsi="宋体" w:eastAsia="宋体" w:cs="Times New Roman"/>
          <w:color w:val="auto"/>
          <w:szCs w:val="21"/>
        </w:rPr>
        <w:t>要求对医院内红线区域内（中山市小榄镇菊城大道中65号）的全部消防设备进行</w:t>
      </w:r>
      <w:r>
        <w:rPr>
          <w:rFonts w:hint="eastAsia" w:ascii="宋体" w:hAnsi="宋体"/>
          <w:color w:val="auto"/>
          <w:szCs w:val="21"/>
        </w:rPr>
        <w:t>评估检测</w:t>
      </w:r>
      <w:r>
        <w:rPr>
          <w:rFonts w:hint="eastAsia" w:ascii="宋体" w:hAnsi="宋体" w:eastAsia="宋体" w:cs="Times New Roman"/>
          <w:color w:val="auto"/>
          <w:szCs w:val="21"/>
        </w:rPr>
        <w:t>，并如实</w:t>
      </w:r>
      <w:r>
        <w:rPr>
          <w:rFonts w:hint="eastAsia" w:ascii="宋体" w:hAnsi="宋体"/>
          <w:color w:val="auto"/>
          <w:szCs w:val="21"/>
        </w:rPr>
        <w:t>记录</w:t>
      </w:r>
      <w:r>
        <w:rPr>
          <w:rFonts w:hint="eastAsia" w:ascii="宋体" w:hAnsi="宋体" w:eastAsia="宋体" w:cs="Times New Roman"/>
          <w:color w:val="auto"/>
          <w:szCs w:val="21"/>
        </w:rPr>
        <w:t>结果，一旦发现遗漏、弄虚作假的情况，所导致的一切后果及责任由</w:t>
      </w:r>
      <w:r>
        <w:rPr>
          <w:rFonts w:hint="eastAsia" w:ascii="宋体" w:hAnsi="宋体"/>
          <w:color w:val="auto"/>
          <w:szCs w:val="21"/>
        </w:rPr>
        <w:t>成交供应商</w:t>
      </w:r>
      <w:r>
        <w:rPr>
          <w:rFonts w:hint="eastAsia" w:ascii="宋体" w:hAnsi="宋体" w:eastAsia="宋体" w:cs="Times New Roman"/>
          <w:color w:val="auto"/>
          <w:szCs w:val="21"/>
        </w:rPr>
        <w:t>自行承担。</w:t>
      </w:r>
    </w:p>
    <w:p w14:paraId="254C13D2">
      <w:pPr>
        <w:snapToGrid w:val="0"/>
        <w:spacing w:line="360" w:lineRule="auto"/>
        <w:ind w:firstLine="420" w:firstLineChars="200"/>
        <w:rPr>
          <w:rFonts w:ascii="宋体" w:hAnsi="宋体" w:eastAsia="宋体" w:cs="Times New Roman"/>
          <w:color w:val="auto"/>
          <w:szCs w:val="21"/>
        </w:rPr>
      </w:pPr>
      <w:r>
        <w:rPr>
          <w:rFonts w:hint="eastAsia" w:ascii="宋体" w:hAnsi="宋体"/>
          <w:color w:val="auto"/>
          <w:szCs w:val="21"/>
        </w:rPr>
        <w:t>2、成交供应商</w:t>
      </w:r>
      <w:r>
        <w:rPr>
          <w:rFonts w:hint="eastAsia" w:ascii="宋体" w:hAnsi="宋体" w:eastAsia="宋体" w:cs="Times New Roman"/>
          <w:color w:val="auto"/>
          <w:szCs w:val="21"/>
        </w:rPr>
        <w:t>在开展</w:t>
      </w:r>
      <w:r>
        <w:rPr>
          <w:rFonts w:hint="eastAsia" w:ascii="宋体" w:hAnsi="宋体"/>
          <w:color w:val="auto"/>
          <w:szCs w:val="21"/>
        </w:rPr>
        <w:t>评估</w:t>
      </w:r>
      <w:r>
        <w:rPr>
          <w:rFonts w:hint="eastAsia" w:ascii="宋体" w:hAnsi="宋体" w:eastAsia="宋体" w:cs="Times New Roman"/>
          <w:color w:val="auto"/>
          <w:szCs w:val="21"/>
        </w:rPr>
        <w:t>工作时，必须配备专职安全员，建立健全安全制度，项目负责人必须到现场巡查和监管，做好工作人员的安全措施，确保现场、员工和第三者的安全，如工作中发生人员伤亡事故的，</w:t>
      </w:r>
      <w:r>
        <w:rPr>
          <w:rFonts w:hint="eastAsia" w:ascii="宋体" w:hAnsi="宋体"/>
          <w:color w:val="auto"/>
          <w:szCs w:val="21"/>
        </w:rPr>
        <w:t>成交供应商</w:t>
      </w:r>
      <w:r>
        <w:rPr>
          <w:rFonts w:hint="eastAsia" w:ascii="宋体" w:hAnsi="宋体" w:eastAsia="宋体" w:cs="Times New Roman"/>
          <w:color w:val="auto"/>
          <w:szCs w:val="21"/>
        </w:rPr>
        <w:t>承担全部责任。</w:t>
      </w:r>
    </w:p>
    <w:p w14:paraId="2AA933E8">
      <w:pPr>
        <w:snapToGrid w:val="0"/>
        <w:spacing w:line="360" w:lineRule="auto"/>
        <w:ind w:firstLine="420" w:firstLineChars="200"/>
        <w:rPr>
          <w:rFonts w:ascii="宋体" w:hAnsi="宋体" w:eastAsia="宋体" w:cs="Times New Roman"/>
          <w:color w:val="auto"/>
          <w:szCs w:val="21"/>
        </w:rPr>
      </w:pPr>
      <w:r>
        <w:rPr>
          <w:rFonts w:hint="eastAsia" w:ascii="宋体" w:hAnsi="宋体"/>
          <w:color w:val="auto"/>
          <w:szCs w:val="21"/>
        </w:rPr>
        <w:t>3、成交供应商</w:t>
      </w:r>
      <w:r>
        <w:rPr>
          <w:rFonts w:hint="eastAsia" w:ascii="宋体" w:hAnsi="宋体" w:eastAsia="宋体" w:cs="Times New Roman"/>
          <w:color w:val="auto"/>
          <w:szCs w:val="21"/>
        </w:rPr>
        <w:t>应为所派工作人员办理医疗及工伤社会保险，并根据需要为从事高度危险工作的人员配置安全设施及购买人身意外伤害保险。</w:t>
      </w:r>
      <w:r>
        <w:rPr>
          <w:rFonts w:hint="eastAsia" w:ascii="宋体" w:hAnsi="宋体"/>
          <w:color w:val="auto"/>
          <w:szCs w:val="21"/>
        </w:rPr>
        <w:t>成交供应商</w:t>
      </w:r>
      <w:r>
        <w:rPr>
          <w:rFonts w:hint="eastAsia" w:ascii="宋体" w:hAnsi="宋体" w:eastAsia="宋体" w:cs="Times New Roman"/>
          <w:color w:val="auto"/>
          <w:szCs w:val="21"/>
        </w:rPr>
        <w:t>及其人员在开展工作过程中发生的所有意外和责任均由</w:t>
      </w:r>
      <w:r>
        <w:rPr>
          <w:rFonts w:hint="eastAsia" w:ascii="宋体" w:hAnsi="宋体"/>
          <w:color w:val="auto"/>
          <w:szCs w:val="21"/>
        </w:rPr>
        <w:t>成交供应商</w:t>
      </w:r>
      <w:r>
        <w:rPr>
          <w:rFonts w:hint="eastAsia" w:ascii="宋体" w:hAnsi="宋体" w:eastAsia="宋体" w:cs="Times New Roman"/>
          <w:color w:val="auto"/>
          <w:szCs w:val="21"/>
        </w:rPr>
        <w:t>负责。</w:t>
      </w:r>
    </w:p>
    <w:p w14:paraId="5D5D69DE">
      <w:pPr>
        <w:snapToGrid w:val="0"/>
        <w:spacing w:line="360" w:lineRule="auto"/>
        <w:ind w:firstLine="422" w:firstLineChars="201"/>
        <w:rPr>
          <w:rFonts w:ascii="宋体" w:hAnsi="宋体" w:eastAsia="宋体" w:cs="Times New Roman"/>
          <w:color w:val="auto"/>
          <w:szCs w:val="21"/>
        </w:rPr>
      </w:pPr>
      <w:r>
        <w:rPr>
          <w:rFonts w:hint="eastAsia" w:ascii="宋体" w:hAnsi="宋体"/>
          <w:color w:val="auto"/>
          <w:szCs w:val="21"/>
        </w:rPr>
        <w:t>4、</w:t>
      </w:r>
      <w:r>
        <w:rPr>
          <w:rFonts w:hint="eastAsia" w:ascii="宋体" w:hAnsi="宋体" w:eastAsia="宋体" w:cs="Times New Roman"/>
          <w:color w:val="auto"/>
          <w:szCs w:val="21"/>
        </w:rPr>
        <w:t>本项目涉及的保密数据和资料包括测量控制资料、地形图资料、作业过程资料和</w:t>
      </w:r>
      <w:r>
        <w:rPr>
          <w:rFonts w:hint="eastAsia" w:ascii="宋体" w:hAnsi="宋体"/>
          <w:color w:val="auto"/>
          <w:szCs w:val="21"/>
        </w:rPr>
        <w:t>采购人</w:t>
      </w:r>
      <w:r>
        <w:rPr>
          <w:rFonts w:hint="eastAsia" w:ascii="宋体" w:hAnsi="宋体" w:eastAsia="宋体" w:cs="Times New Roman"/>
          <w:color w:val="auto"/>
          <w:szCs w:val="21"/>
        </w:rPr>
        <w:t>在项目过程中确认的需要保密的其他信息及资料，仅限于</w:t>
      </w:r>
      <w:r>
        <w:rPr>
          <w:rFonts w:hint="eastAsia" w:ascii="宋体" w:hAnsi="宋体"/>
          <w:color w:val="auto"/>
          <w:szCs w:val="21"/>
        </w:rPr>
        <w:t>成交供应商在本项目在服务</w:t>
      </w:r>
      <w:r>
        <w:rPr>
          <w:rFonts w:hint="eastAsia" w:ascii="宋体" w:hAnsi="宋体" w:eastAsia="宋体" w:cs="Times New Roman"/>
          <w:color w:val="auto"/>
          <w:szCs w:val="21"/>
        </w:rPr>
        <w:t>期内部使用，只能用于本项目，不得用于其它用途，不得向第三方提供。因</w:t>
      </w:r>
      <w:r>
        <w:rPr>
          <w:rFonts w:hint="eastAsia" w:ascii="宋体" w:hAnsi="宋体"/>
          <w:color w:val="auto"/>
          <w:szCs w:val="21"/>
        </w:rPr>
        <w:t>成交供应商</w:t>
      </w:r>
      <w:r>
        <w:rPr>
          <w:rFonts w:hint="eastAsia" w:ascii="宋体" w:hAnsi="宋体" w:eastAsia="宋体" w:cs="Times New Roman"/>
          <w:color w:val="auto"/>
          <w:szCs w:val="21"/>
        </w:rPr>
        <w:t>原因造成泄密事故的，由</w:t>
      </w:r>
      <w:r>
        <w:rPr>
          <w:rFonts w:hint="eastAsia" w:ascii="宋体" w:hAnsi="宋体"/>
          <w:color w:val="auto"/>
          <w:szCs w:val="21"/>
        </w:rPr>
        <w:t>成交供应商</w:t>
      </w:r>
      <w:r>
        <w:rPr>
          <w:rFonts w:hint="eastAsia" w:ascii="宋体" w:hAnsi="宋体" w:eastAsia="宋体" w:cs="Times New Roman"/>
          <w:color w:val="auto"/>
          <w:szCs w:val="21"/>
        </w:rPr>
        <w:t>承担所有责任。</w:t>
      </w:r>
    </w:p>
    <w:p w14:paraId="22B9D153">
      <w:pPr>
        <w:snapToGrid w:val="0"/>
        <w:spacing w:line="360" w:lineRule="auto"/>
        <w:ind w:firstLine="422" w:firstLineChars="201"/>
        <w:rPr>
          <w:rFonts w:ascii="宋体" w:hAnsi="宋体" w:eastAsia="宋体" w:cs="Times New Roman"/>
          <w:color w:val="auto"/>
          <w:szCs w:val="21"/>
        </w:rPr>
      </w:pPr>
      <w:r>
        <w:rPr>
          <w:rFonts w:hint="eastAsia" w:ascii="宋体" w:hAnsi="宋体"/>
          <w:color w:val="auto"/>
          <w:szCs w:val="21"/>
        </w:rPr>
        <w:t>5、成交供应商</w:t>
      </w:r>
      <w:r>
        <w:rPr>
          <w:rFonts w:hint="eastAsia" w:ascii="宋体" w:hAnsi="宋体" w:eastAsia="宋体" w:cs="Times New Roman"/>
          <w:color w:val="auto"/>
          <w:szCs w:val="21"/>
        </w:rPr>
        <w:t>按要求完成对</w:t>
      </w:r>
      <w:r>
        <w:rPr>
          <w:rFonts w:hint="eastAsia" w:ascii="宋体" w:hAnsi="宋体"/>
          <w:color w:val="auto"/>
          <w:szCs w:val="21"/>
        </w:rPr>
        <w:t>项目范围内的消防系统检查评估后，应根据检查结果如实提交评估报告给采购人，</w:t>
      </w:r>
      <w:r>
        <w:rPr>
          <w:rFonts w:hint="eastAsia" w:ascii="宋体" w:hAnsi="宋体" w:eastAsia="宋体" w:cs="Times New Roman"/>
          <w:color w:val="auto"/>
          <w:szCs w:val="21"/>
        </w:rPr>
        <w:t>一式</w:t>
      </w:r>
      <w:r>
        <w:rPr>
          <w:rFonts w:hint="eastAsia" w:ascii="宋体" w:hAnsi="宋体"/>
          <w:color w:val="auto"/>
          <w:szCs w:val="21"/>
        </w:rPr>
        <w:t>叁份</w:t>
      </w:r>
      <w:r>
        <w:rPr>
          <w:rFonts w:hint="eastAsia" w:ascii="宋体" w:hAnsi="宋体"/>
          <w:color w:val="auto"/>
          <w:szCs w:val="21"/>
          <w:lang w:eastAsia="zh-CN"/>
        </w:rPr>
        <w:t>，</w:t>
      </w:r>
      <w:r>
        <w:rPr>
          <w:rFonts w:hint="eastAsia" w:ascii="宋体" w:hAnsi="宋体"/>
          <w:color w:val="auto"/>
          <w:szCs w:val="21"/>
          <w:lang w:val="en-US" w:eastAsia="zh-CN"/>
        </w:rPr>
        <w:t>报告</w:t>
      </w:r>
      <w:r>
        <w:rPr>
          <w:rFonts w:ascii="Helvetica" w:hAnsi="Helvetica" w:eastAsia="Helvetica" w:cs="Helvetica"/>
          <w:i w:val="0"/>
          <w:iCs w:val="0"/>
          <w:caps w:val="0"/>
          <w:color w:val="auto"/>
          <w:spacing w:val="0"/>
          <w:sz w:val="21"/>
          <w:szCs w:val="21"/>
          <w:shd w:val="clear" w:fill="FFFFFF"/>
        </w:rPr>
        <w:t>应上传到检测监管系统并获取防伪二维码标识</w:t>
      </w:r>
      <w:r>
        <w:rPr>
          <w:rFonts w:hint="eastAsia" w:ascii="宋体" w:hAnsi="宋体" w:eastAsia="宋体" w:cs="Times New Roman"/>
          <w:color w:val="auto"/>
          <w:szCs w:val="21"/>
        </w:rPr>
        <w:t>。</w:t>
      </w:r>
    </w:p>
    <w:p w14:paraId="33BBA590">
      <w:pPr>
        <w:snapToGrid w:val="0"/>
        <w:spacing w:line="360" w:lineRule="auto"/>
        <w:ind w:firstLine="420" w:firstLineChars="200"/>
        <w:rPr>
          <w:rFonts w:hint="eastAsia" w:ascii="宋体" w:hAnsi="宋体" w:eastAsia="宋体" w:cs="Times New Roman"/>
          <w:color w:val="auto"/>
          <w:szCs w:val="21"/>
        </w:rPr>
      </w:pPr>
      <w:r>
        <w:rPr>
          <w:rFonts w:hint="eastAsia" w:ascii="宋体" w:hAnsi="宋体"/>
          <w:color w:val="auto"/>
          <w:szCs w:val="21"/>
        </w:rPr>
        <w:t>6、成交供应商</w:t>
      </w:r>
      <w:r>
        <w:rPr>
          <w:rFonts w:hint="eastAsia" w:ascii="宋体" w:hAnsi="宋体" w:eastAsia="宋体" w:cs="Times New Roman"/>
          <w:color w:val="auto"/>
          <w:szCs w:val="21"/>
        </w:rPr>
        <w:t>出具给</w:t>
      </w:r>
      <w:r>
        <w:rPr>
          <w:rFonts w:hint="eastAsia" w:ascii="宋体" w:hAnsi="宋体"/>
          <w:color w:val="auto"/>
          <w:szCs w:val="21"/>
        </w:rPr>
        <w:t>采购人</w:t>
      </w:r>
      <w:r>
        <w:rPr>
          <w:rFonts w:hint="eastAsia" w:ascii="宋体" w:hAnsi="宋体" w:eastAsia="宋体" w:cs="Times New Roman"/>
          <w:color w:val="auto"/>
          <w:szCs w:val="21"/>
        </w:rPr>
        <w:t>的</w:t>
      </w:r>
      <w:r>
        <w:rPr>
          <w:rFonts w:hint="eastAsia" w:ascii="宋体" w:hAnsi="宋体"/>
          <w:color w:val="auto"/>
          <w:szCs w:val="21"/>
        </w:rPr>
        <w:t>评估报告</w:t>
      </w:r>
      <w:r>
        <w:rPr>
          <w:rFonts w:hint="eastAsia" w:ascii="宋体" w:hAnsi="宋体" w:eastAsia="宋体" w:cs="Times New Roman"/>
          <w:color w:val="auto"/>
          <w:szCs w:val="21"/>
        </w:rPr>
        <w:t>必须加盖</w:t>
      </w:r>
      <w:r>
        <w:rPr>
          <w:rFonts w:hint="eastAsia" w:ascii="宋体" w:hAnsi="宋体"/>
          <w:color w:val="auto"/>
          <w:szCs w:val="21"/>
        </w:rPr>
        <w:t>成交供应商</w:t>
      </w:r>
      <w:r>
        <w:rPr>
          <w:rFonts w:hint="eastAsia" w:ascii="宋体" w:hAnsi="宋体" w:eastAsia="宋体" w:cs="Times New Roman"/>
          <w:color w:val="auto"/>
          <w:szCs w:val="21"/>
        </w:rPr>
        <w:t>公章，不得使用</w:t>
      </w:r>
      <w:r>
        <w:rPr>
          <w:rFonts w:hint="eastAsia" w:ascii="宋体" w:hAnsi="宋体"/>
          <w:color w:val="auto"/>
          <w:szCs w:val="21"/>
        </w:rPr>
        <w:t>成交供应商</w:t>
      </w:r>
      <w:r>
        <w:rPr>
          <w:rFonts w:hint="eastAsia" w:ascii="宋体" w:hAnsi="宋体" w:eastAsia="宋体" w:cs="Times New Roman"/>
          <w:color w:val="auto"/>
          <w:szCs w:val="21"/>
        </w:rPr>
        <w:t>“分公司”、“办事处”、“代理点”、“业务章”、“合同章”等章代替</w:t>
      </w:r>
      <w:r>
        <w:rPr>
          <w:rFonts w:hint="eastAsia" w:ascii="宋体" w:hAnsi="宋体"/>
          <w:color w:val="auto"/>
          <w:szCs w:val="21"/>
        </w:rPr>
        <w:t xml:space="preserve"> </w:t>
      </w:r>
      <w:r>
        <w:rPr>
          <w:rFonts w:hint="eastAsia" w:ascii="宋体" w:hAnsi="宋体" w:eastAsia="宋体" w:cs="Times New Roman"/>
          <w:color w:val="auto"/>
          <w:szCs w:val="21"/>
        </w:rPr>
        <w:t>“公章”， “公章”必须与</w:t>
      </w:r>
      <w:r>
        <w:rPr>
          <w:rFonts w:hint="eastAsia" w:ascii="宋体" w:hAnsi="宋体"/>
          <w:color w:val="auto"/>
          <w:szCs w:val="21"/>
        </w:rPr>
        <w:t>成交供应商</w:t>
      </w:r>
      <w:r>
        <w:rPr>
          <w:rFonts w:hint="eastAsia" w:ascii="宋体" w:hAnsi="宋体" w:eastAsia="宋体" w:cs="Times New Roman"/>
          <w:color w:val="auto"/>
          <w:szCs w:val="21"/>
        </w:rPr>
        <w:t>名称一致。</w:t>
      </w:r>
    </w:p>
    <w:p w14:paraId="34EE2AFB">
      <w:pPr>
        <w:snapToGrid w:val="0"/>
        <w:spacing w:line="360" w:lineRule="auto"/>
        <w:ind w:firstLine="424" w:firstLineChars="201"/>
        <w:rPr>
          <w:rFonts w:hint="default" w:ascii="宋体" w:hAnsi="宋体" w:eastAsiaTheme="minorEastAsia"/>
          <w:b/>
          <w:bCs/>
          <w:color w:val="auto"/>
          <w:szCs w:val="21"/>
          <w:lang w:val="en-US" w:eastAsia="zh-CN"/>
        </w:rPr>
      </w:pPr>
      <w:r>
        <w:rPr>
          <w:rFonts w:hint="eastAsia" w:ascii="宋体" w:hAnsi="宋体"/>
          <w:b/>
          <w:bCs/>
          <w:color w:val="auto"/>
          <w:szCs w:val="21"/>
          <w:lang w:eastAsia="zh-CN"/>
        </w:rPr>
        <w:t>（</w:t>
      </w:r>
      <w:r>
        <w:rPr>
          <w:rFonts w:hint="eastAsia" w:ascii="宋体" w:hAnsi="宋体"/>
          <w:b/>
          <w:bCs/>
          <w:color w:val="auto"/>
          <w:szCs w:val="21"/>
          <w:lang w:val="en-US" w:eastAsia="zh-CN"/>
        </w:rPr>
        <w:t>二</w:t>
      </w:r>
      <w:r>
        <w:rPr>
          <w:rFonts w:hint="eastAsia" w:ascii="宋体" w:hAnsi="宋体"/>
          <w:b/>
          <w:bCs/>
          <w:color w:val="auto"/>
          <w:szCs w:val="21"/>
          <w:lang w:eastAsia="zh-CN"/>
        </w:rPr>
        <w:t>）</w:t>
      </w:r>
      <w:r>
        <w:rPr>
          <w:rFonts w:ascii="Segoe UI" w:hAnsi="Segoe UI" w:eastAsia="Segoe UI" w:cs="Segoe UI"/>
          <w:b/>
          <w:bCs/>
          <w:i w:val="0"/>
          <w:iCs w:val="0"/>
          <w:caps w:val="0"/>
          <w:spacing w:val="0"/>
          <w:sz w:val="21"/>
          <w:szCs w:val="21"/>
          <w:shd w:val="clear" w:fill="FEFEFE"/>
        </w:rPr>
        <w:t>消防</w:t>
      </w:r>
      <w:r>
        <w:rPr>
          <w:rFonts w:hint="eastAsia" w:ascii="Segoe UI" w:hAnsi="Segoe UI" w:eastAsia="宋体" w:cs="Segoe UI"/>
          <w:b/>
          <w:bCs/>
          <w:i w:val="0"/>
          <w:iCs w:val="0"/>
          <w:caps w:val="0"/>
          <w:spacing w:val="0"/>
          <w:sz w:val="21"/>
          <w:szCs w:val="21"/>
          <w:shd w:val="clear" w:fill="FEFEFE"/>
          <w:lang w:val="en-US" w:eastAsia="zh-CN"/>
        </w:rPr>
        <w:t>设施</w:t>
      </w:r>
      <w:r>
        <w:rPr>
          <w:rFonts w:ascii="Segoe UI" w:hAnsi="Segoe UI" w:eastAsia="Segoe UI" w:cs="Segoe UI"/>
          <w:b/>
          <w:bCs/>
          <w:i w:val="0"/>
          <w:iCs w:val="0"/>
          <w:caps w:val="0"/>
          <w:spacing w:val="0"/>
          <w:sz w:val="21"/>
          <w:szCs w:val="21"/>
          <w:shd w:val="clear" w:fill="FEFEFE"/>
        </w:rPr>
        <w:t>第三方检测</w:t>
      </w:r>
      <w:r>
        <w:rPr>
          <w:rFonts w:hint="eastAsia" w:ascii="Segoe UI" w:hAnsi="Segoe UI" w:eastAsia="宋体" w:cs="Segoe UI"/>
          <w:b/>
          <w:bCs/>
          <w:i w:val="0"/>
          <w:iCs w:val="0"/>
          <w:caps w:val="0"/>
          <w:spacing w:val="0"/>
          <w:sz w:val="21"/>
          <w:szCs w:val="21"/>
          <w:shd w:val="clear" w:fill="FEFEFE"/>
          <w:lang w:val="en-US" w:eastAsia="zh-CN"/>
        </w:rPr>
        <w:t>服务</w:t>
      </w:r>
    </w:p>
    <w:p w14:paraId="59284C1A">
      <w:pPr>
        <w:numPr>
          <w:ilvl w:val="0"/>
          <w:numId w:val="0"/>
        </w:numPr>
        <w:snapToGrid w:val="0"/>
        <w:spacing w:line="360" w:lineRule="auto"/>
        <w:ind w:firstLine="422" w:firstLineChars="200"/>
        <w:rPr>
          <w:rFonts w:hint="eastAsia" w:ascii="宋体" w:hAnsi="宋体" w:eastAsiaTheme="minorEastAsia"/>
          <w:b/>
          <w:color w:val="000000" w:themeColor="text1"/>
          <w:highlight w:val="none"/>
          <w:lang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检测内容（包括但不限于）</w:t>
      </w:r>
      <w:r>
        <w:rPr>
          <w:rFonts w:hint="eastAsia" w:ascii="宋体" w:hAnsi="宋体"/>
          <w:b/>
          <w:color w:val="000000" w:themeColor="text1"/>
          <w:highlight w:val="none"/>
          <w:lang w:eastAsia="zh-CN"/>
          <w14:textFill>
            <w14:solidFill>
              <w14:schemeClr w14:val="tx1"/>
            </w14:solidFill>
          </w14:textFill>
        </w:rPr>
        <w:t>：</w:t>
      </w:r>
    </w:p>
    <w:p w14:paraId="15E62F88">
      <w:pPr>
        <w:numPr>
          <w:ilvl w:val="0"/>
          <w:numId w:val="0"/>
        </w:numPr>
        <w:snapToGrid w:val="0"/>
        <w:spacing w:line="360" w:lineRule="auto"/>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消防给水系统；</w:t>
      </w:r>
    </w:p>
    <w:p w14:paraId="0E636505">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消火栓系统；</w:t>
      </w:r>
    </w:p>
    <w:p w14:paraId="55BFE402">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火灾自动报警系统；</w:t>
      </w:r>
    </w:p>
    <w:p w14:paraId="480235E6">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自动喷水灭火系统；</w:t>
      </w:r>
    </w:p>
    <w:p w14:paraId="541F98C2">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机械加压送风及排烟系统；</w:t>
      </w:r>
    </w:p>
    <w:p w14:paraId="427D8CE8">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应急广播系统；</w:t>
      </w:r>
    </w:p>
    <w:p w14:paraId="05B52313">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应急照明及疏散系统；</w:t>
      </w:r>
    </w:p>
    <w:p w14:paraId="51EE2B0C">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防火门、窗、防火卷帘设施；</w:t>
      </w:r>
    </w:p>
    <w:p w14:paraId="2EB91DDF">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消防专用电话；</w:t>
      </w:r>
    </w:p>
    <w:p w14:paraId="6C8A1B46">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rPr>
        <w:t>建筑灭火器；</w:t>
      </w:r>
    </w:p>
    <w:p w14:paraId="6D434D4E">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val="en-US" w:eastAsia="zh-CN"/>
        </w:rPr>
        <w:t>（11）</w:t>
      </w:r>
      <w:r>
        <w:rPr>
          <w:rFonts w:hint="eastAsia" w:ascii="宋体" w:hAnsi="宋体" w:cs="宋体"/>
          <w:szCs w:val="21"/>
        </w:rPr>
        <w:t>消防控制室；</w:t>
      </w:r>
    </w:p>
    <w:p w14:paraId="014D7A17">
      <w:pPr>
        <w:widowControl w:val="0"/>
        <w:numPr>
          <w:ilvl w:val="0"/>
          <w:numId w:val="0"/>
        </w:numPr>
        <w:spacing w:line="360" w:lineRule="auto"/>
        <w:ind w:firstLine="420" w:firstLineChars="200"/>
        <w:jc w:val="both"/>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lang w:eastAsia="zh-CN"/>
        </w:rPr>
        <w:t>）</w:t>
      </w:r>
      <w:r>
        <w:rPr>
          <w:rFonts w:hint="eastAsia" w:ascii="宋体" w:hAnsi="宋体" w:cs="宋体"/>
          <w:szCs w:val="21"/>
        </w:rPr>
        <w:t>各类与消防安全有关的设备。</w:t>
      </w:r>
    </w:p>
    <w:p w14:paraId="765EE7AC">
      <w:pPr>
        <w:snapToGrid w:val="0"/>
        <w:spacing w:line="360" w:lineRule="auto"/>
        <w:ind w:firstLine="422" w:firstLineChars="200"/>
        <w:rPr>
          <w:rFonts w:hint="default" w:ascii="宋体" w:hAnsi="宋体" w:eastAsiaTheme="minorEastAsia"/>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检测具体要求</w:t>
      </w:r>
      <w:r>
        <w:rPr>
          <w:rFonts w:hint="eastAsia" w:ascii="宋体" w:hAnsi="宋体"/>
          <w:b/>
          <w:color w:val="000000" w:themeColor="text1"/>
          <w:highlight w:val="none"/>
          <w:lang w:val="en-US" w:eastAsia="zh-CN"/>
          <w14:textFill>
            <w14:solidFill>
              <w14:schemeClr w14:val="tx1"/>
            </w14:solidFill>
          </w14:textFill>
        </w:rPr>
        <w:t>及清单：</w:t>
      </w:r>
    </w:p>
    <w:tbl>
      <w:tblPr>
        <w:tblStyle w:val="11"/>
        <w:tblW w:w="8491" w:type="dxa"/>
        <w:jc w:val="center"/>
        <w:tblLayout w:type="fixed"/>
        <w:tblCellMar>
          <w:top w:w="0" w:type="dxa"/>
          <w:left w:w="108" w:type="dxa"/>
          <w:bottom w:w="0" w:type="dxa"/>
          <w:right w:w="108" w:type="dxa"/>
        </w:tblCellMar>
      </w:tblPr>
      <w:tblGrid>
        <w:gridCol w:w="423"/>
        <w:gridCol w:w="832"/>
        <w:gridCol w:w="450"/>
        <w:gridCol w:w="6786"/>
      </w:tblGrid>
      <w:tr w14:paraId="480222C0">
        <w:tblPrEx>
          <w:tblCellMar>
            <w:top w:w="0" w:type="dxa"/>
            <w:left w:w="108" w:type="dxa"/>
            <w:bottom w:w="0" w:type="dxa"/>
            <w:right w:w="108" w:type="dxa"/>
          </w:tblCellMar>
        </w:tblPrEx>
        <w:trPr>
          <w:trHeight w:val="57" w:hRule="atLeast"/>
          <w:jc w:val="center"/>
        </w:trPr>
        <w:tc>
          <w:tcPr>
            <w:tcW w:w="8491" w:type="dxa"/>
            <w:gridSpan w:val="4"/>
            <w:tcBorders>
              <w:top w:val="single" w:color="auto" w:sz="4" w:space="0"/>
              <w:left w:val="single" w:color="auto" w:sz="4" w:space="0"/>
              <w:bottom w:val="single" w:color="auto" w:sz="4" w:space="0"/>
              <w:right w:val="single" w:color="auto" w:sz="4" w:space="0"/>
            </w:tcBorders>
            <w:vAlign w:val="center"/>
          </w:tcPr>
          <w:p w14:paraId="73922BB6">
            <w:pPr>
              <w:pStyle w:val="16"/>
              <w:widowControl/>
              <w:jc w:val="center"/>
              <w:rPr>
                <w:rFonts w:ascii="宋体" w:hAnsi="宋体" w:cs="Times New Roman"/>
                <w:b/>
                <w:bCs/>
                <w:kern w:val="0"/>
              </w:rPr>
            </w:pPr>
            <w:r>
              <w:rPr>
                <w:rFonts w:ascii="宋体" w:hAnsi="宋体" w:cs="仿宋_GB2312"/>
                <w:b/>
                <w:bCs/>
                <w:kern w:val="0"/>
              </w:rPr>
              <w:t xml:space="preserve">     </w:t>
            </w:r>
            <w:r>
              <w:rPr>
                <w:rFonts w:hint="eastAsia" w:ascii="宋体" w:hAnsi="宋体" w:cs="仿宋_GB2312"/>
                <w:b/>
                <w:bCs/>
                <w:kern w:val="0"/>
              </w:rPr>
              <w:t>消防检测项目清单</w:t>
            </w:r>
          </w:p>
        </w:tc>
      </w:tr>
      <w:tr w14:paraId="1975C2A6">
        <w:tblPrEx>
          <w:tblCellMar>
            <w:top w:w="0" w:type="dxa"/>
            <w:left w:w="108" w:type="dxa"/>
            <w:bottom w:w="0" w:type="dxa"/>
            <w:right w:w="108" w:type="dxa"/>
          </w:tblCellMar>
        </w:tblPrEx>
        <w:trPr>
          <w:trHeight w:val="57" w:hRule="atLeast"/>
          <w:jc w:val="center"/>
        </w:trPr>
        <w:tc>
          <w:tcPr>
            <w:tcW w:w="1255" w:type="dxa"/>
            <w:gridSpan w:val="2"/>
            <w:tcBorders>
              <w:top w:val="single" w:color="auto" w:sz="4" w:space="0"/>
              <w:left w:val="single" w:color="auto" w:sz="4" w:space="0"/>
              <w:bottom w:val="single" w:color="auto" w:sz="4" w:space="0"/>
              <w:right w:val="single" w:color="000000" w:sz="4" w:space="0"/>
            </w:tcBorders>
            <w:vAlign w:val="center"/>
          </w:tcPr>
          <w:p w14:paraId="41F61608">
            <w:pPr>
              <w:pStyle w:val="16"/>
              <w:widowControl/>
              <w:jc w:val="center"/>
              <w:rPr>
                <w:rFonts w:ascii="宋体" w:hAnsi="宋体" w:cs="Times New Roman"/>
                <w:b/>
                <w:bCs/>
                <w:kern w:val="0"/>
              </w:rPr>
            </w:pPr>
            <w:r>
              <w:rPr>
                <w:rFonts w:hint="eastAsia" w:ascii="宋体" w:hAnsi="宋体" w:cs="仿宋_GB2312"/>
                <w:b/>
                <w:bCs/>
                <w:kern w:val="0"/>
              </w:rPr>
              <w:t>项目</w:t>
            </w:r>
          </w:p>
        </w:tc>
        <w:tc>
          <w:tcPr>
            <w:tcW w:w="7236" w:type="dxa"/>
            <w:gridSpan w:val="2"/>
            <w:tcBorders>
              <w:top w:val="single" w:color="auto" w:sz="4" w:space="0"/>
              <w:left w:val="nil"/>
              <w:bottom w:val="single" w:color="auto" w:sz="4" w:space="0"/>
              <w:right w:val="single" w:color="000000" w:sz="4" w:space="0"/>
            </w:tcBorders>
            <w:vAlign w:val="center"/>
          </w:tcPr>
          <w:p w14:paraId="67D848B0">
            <w:pPr>
              <w:pStyle w:val="16"/>
              <w:widowControl/>
              <w:jc w:val="center"/>
              <w:rPr>
                <w:rFonts w:ascii="宋体" w:hAnsi="宋体" w:cs="Times New Roman"/>
                <w:b/>
                <w:bCs/>
                <w:kern w:val="0"/>
              </w:rPr>
            </w:pPr>
            <w:r>
              <w:rPr>
                <w:rFonts w:hint="eastAsia" w:ascii="宋体" w:hAnsi="宋体" w:cs="仿宋_GB2312"/>
                <w:b/>
                <w:bCs/>
                <w:kern w:val="0"/>
              </w:rPr>
              <w:t>明细清单</w:t>
            </w:r>
          </w:p>
        </w:tc>
      </w:tr>
      <w:tr w14:paraId="03025877">
        <w:tblPrEx>
          <w:tblCellMar>
            <w:top w:w="0" w:type="dxa"/>
            <w:left w:w="108" w:type="dxa"/>
            <w:bottom w:w="0" w:type="dxa"/>
            <w:right w:w="108" w:type="dxa"/>
          </w:tblCellMar>
        </w:tblPrEx>
        <w:trPr>
          <w:trHeight w:val="57" w:hRule="atLeast"/>
          <w:jc w:val="center"/>
        </w:trPr>
        <w:tc>
          <w:tcPr>
            <w:tcW w:w="423" w:type="dxa"/>
            <w:vMerge w:val="restart"/>
            <w:tcBorders>
              <w:top w:val="nil"/>
              <w:left w:val="single" w:color="auto" w:sz="4" w:space="0"/>
              <w:bottom w:val="single" w:color="000000" w:sz="4" w:space="0"/>
              <w:right w:val="single" w:color="auto" w:sz="4" w:space="0"/>
            </w:tcBorders>
            <w:vAlign w:val="center"/>
          </w:tcPr>
          <w:p w14:paraId="49A9FC92">
            <w:pPr>
              <w:pStyle w:val="16"/>
              <w:widowControl/>
              <w:jc w:val="center"/>
              <w:rPr>
                <w:rFonts w:ascii="宋体" w:hAnsi="宋体" w:cs="Times New Roman"/>
                <w:kern w:val="0"/>
              </w:rPr>
            </w:pPr>
            <w:r>
              <w:rPr>
                <w:rFonts w:hint="eastAsia" w:ascii="宋体" w:hAnsi="宋体" w:cs="仿宋_GB2312"/>
                <w:kern w:val="0"/>
              </w:rPr>
              <w:t>一</w:t>
            </w:r>
          </w:p>
        </w:tc>
        <w:tc>
          <w:tcPr>
            <w:tcW w:w="832" w:type="dxa"/>
            <w:vMerge w:val="restart"/>
            <w:tcBorders>
              <w:top w:val="nil"/>
              <w:left w:val="single" w:color="auto" w:sz="4" w:space="0"/>
              <w:bottom w:val="single" w:color="auto" w:sz="4" w:space="0"/>
              <w:right w:val="single" w:color="auto" w:sz="4" w:space="0"/>
            </w:tcBorders>
            <w:vAlign w:val="center"/>
          </w:tcPr>
          <w:p w14:paraId="44B90948">
            <w:pPr>
              <w:pStyle w:val="16"/>
              <w:widowControl/>
              <w:jc w:val="center"/>
              <w:rPr>
                <w:rFonts w:ascii="宋体" w:hAnsi="宋体" w:cs="Times New Roman"/>
                <w:kern w:val="0"/>
              </w:rPr>
            </w:pPr>
            <w:r>
              <w:rPr>
                <w:rFonts w:hint="eastAsia" w:ascii="宋体" w:hAnsi="宋体" w:cs="仿宋_GB2312"/>
                <w:kern w:val="0"/>
              </w:rPr>
              <w:t>自动报警系统</w:t>
            </w:r>
          </w:p>
        </w:tc>
        <w:tc>
          <w:tcPr>
            <w:tcW w:w="450" w:type="dxa"/>
            <w:tcBorders>
              <w:top w:val="nil"/>
              <w:left w:val="nil"/>
              <w:bottom w:val="single" w:color="auto" w:sz="4" w:space="0"/>
              <w:right w:val="single" w:color="auto" w:sz="4" w:space="0"/>
            </w:tcBorders>
            <w:vAlign w:val="center"/>
          </w:tcPr>
          <w:p w14:paraId="6143CEFB">
            <w:pPr>
              <w:pStyle w:val="16"/>
              <w:widowControl/>
              <w:jc w:val="center"/>
              <w:rPr>
                <w:rFonts w:ascii="宋体" w:hAnsi="宋体" w:cs="仿宋_GB2312"/>
                <w:kern w:val="0"/>
              </w:rPr>
            </w:pPr>
            <w:r>
              <w:rPr>
                <w:rFonts w:ascii="宋体" w:hAnsi="宋体" w:cs="仿宋_GB2312"/>
                <w:kern w:val="0"/>
              </w:rPr>
              <w:t>1</w:t>
            </w:r>
          </w:p>
        </w:tc>
        <w:tc>
          <w:tcPr>
            <w:tcW w:w="6786" w:type="dxa"/>
            <w:tcBorders>
              <w:top w:val="nil"/>
              <w:left w:val="nil"/>
              <w:bottom w:val="single" w:color="auto" w:sz="4" w:space="0"/>
              <w:right w:val="single" w:color="auto" w:sz="4" w:space="0"/>
            </w:tcBorders>
            <w:vAlign w:val="center"/>
          </w:tcPr>
          <w:p w14:paraId="163C3899">
            <w:pPr>
              <w:pStyle w:val="16"/>
              <w:widowControl/>
              <w:rPr>
                <w:rFonts w:ascii="宋体" w:hAnsi="宋体" w:cs="Times New Roman"/>
                <w:kern w:val="0"/>
              </w:rPr>
            </w:pPr>
            <w:r>
              <w:rPr>
                <w:rFonts w:hint="eastAsia" w:ascii="宋体" w:hAnsi="宋体" w:cs="仿宋_GB2312"/>
                <w:kern w:val="0"/>
              </w:rPr>
              <w:t>火灾报警控制设备</w:t>
            </w:r>
            <w:r>
              <w:rPr>
                <w:rFonts w:ascii="宋体" w:hAnsi="宋体" w:cs="仿宋_GB2312"/>
                <w:kern w:val="0"/>
              </w:rPr>
              <w:t xml:space="preserve"> </w:t>
            </w:r>
            <w:r>
              <w:rPr>
                <w:rFonts w:hint="eastAsia" w:ascii="宋体" w:hAnsi="宋体" w:cs="仿宋_GB2312"/>
                <w:kern w:val="0"/>
              </w:rPr>
              <w:t>（安装、配线、供电、自检、记忆、显示、打印、故障报警、消音、复位、主备电源转换、火警优先）</w:t>
            </w:r>
          </w:p>
        </w:tc>
      </w:tr>
      <w:tr w14:paraId="3466EF09">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1ED9817C">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3848795B">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682AF923">
            <w:pPr>
              <w:pStyle w:val="16"/>
              <w:widowControl/>
              <w:jc w:val="center"/>
              <w:rPr>
                <w:rFonts w:ascii="宋体" w:hAnsi="宋体" w:cs="仿宋_GB2312"/>
                <w:kern w:val="0"/>
              </w:rPr>
            </w:pPr>
            <w:r>
              <w:rPr>
                <w:rFonts w:ascii="宋体" w:hAnsi="宋体" w:cs="仿宋_GB2312"/>
                <w:kern w:val="0"/>
              </w:rPr>
              <w:t>2</w:t>
            </w:r>
          </w:p>
        </w:tc>
        <w:tc>
          <w:tcPr>
            <w:tcW w:w="6786" w:type="dxa"/>
            <w:tcBorders>
              <w:top w:val="nil"/>
              <w:left w:val="nil"/>
              <w:bottom w:val="single" w:color="auto" w:sz="4" w:space="0"/>
              <w:right w:val="single" w:color="auto" w:sz="4" w:space="0"/>
            </w:tcBorders>
            <w:vAlign w:val="center"/>
          </w:tcPr>
          <w:p w14:paraId="64C4F2AA">
            <w:pPr>
              <w:pStyle w:val="16"/>
              <w:widowControl/>
              <w:rPr>
                <w:rFonts w:ascii="宋体" w:hAnsi="宋体" w:cs="Times New Roman"/>
                <w:kern w:val="0"/>
              </w:rPr>
            </w:pPr>
            <w:r>
              <w:rPr>
                <w:rFonts w:hint="eastAsia" w:ascii="宋体" w:hAnsi="宋体" w:cs="仿宋_GB2312"/>
                <w:kern w:val="0"/>
              </w:rPr>
              <w:t>联动柜控制器（自动、手动控制功能、反馈信号、主备电自动切换、功能标志）</w:t>
            </w:r>
          </w:p>
        </w:tc>
      </w:tr>
      <w:tr w14:paraId="16599068">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1635CBB4">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5CF79024">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E09E6F7">
            <w:pPr>
              <w:pStyle w:val="16"/>
              <w:widowControl/>
              <w:jc w:val="center"/>
              <w:rPr>
                <w:rFonts w:ascii="宋体" w:hAnsi="宋体" w:cs="仿宋_GB2312"/>
                <w:kern w:val="0"/>
              </w:rPr>
            </w:pPr>
            <w:r>
              <w:rPr>
                <w:rFonts w:ascii="宋体" w:hAnsi="宋体" w:cs="仿宋_GB2312"/>
                <w:kern w:val="0"/>
              </w:rPr>
              <w:t>3</w:t>
            </w:r>
          </w:p>
        </w:tc>
        <w:tc>
          <w:tcPr>
            <w:tcW w:w="6786" w:type="dxa"/>
            <w:tcBorders>
              <w:top w:val="nil"/>
              <w:left w:val="nil"/>
              <w:bottom w:val="single" w:color="auto" w:sz="4" w:space="0"/>
              <w:right w:val="single" w:color="auto" w:sz="4" w:space="0"/>
            </w:tcBorders>
            <w:vAlign w:val="center"/>
          </w:tcPr>
          <w:p w14:paraId="3F8290CA">
            <w:pPr>
              <w:pStyle w:val="16"/>
              <w:widowControl/>
              <w:rPr>
                <w:rFonts w:ascii="宋体" w:hAnsi="宋体" w:cs="Times New Roman"/>
                <w:kern w:val="0"/>
              </w:rPr>
            </w:pPr>
            <w:r>
              <w:rPr>
                <w:rFonts w:hint="eastAsia" w:ascii="宋体" w:hAnsi="宋体" w:cs="仿宋_GB2312"/>
                <w:kern w:val="0"/>
              </w:rPr>
              <w:t>联动设备点</w:t>
            </w:r>
          </w:p>
        </w:tc>
      </w:tr>
      <w:tr w14:paraId="5B5BFB56">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57D4B882">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5F74E3A8">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3127233D">
            <w:pPr>
              <w:pStyle w:val="16"/>
              <w:widowControl/>
              <w:jc w:val="center"/>
              <w:rPr>
                <w:rFonts w:ascii="宋体" w:hAnsi="宋体" w:cs="仿宋_GB2312"/>
                <w:kern w:val="0"/>
              </w:rPr>
            </w:pPr>
            <w:r>
              <w:rPr>
                <w:rFonts w:ascii="宋体" w:hAnsi="宋体" w:cs="仿宋_GB2312"/>
                <w:kern w:val="0"/>
              </w:rPr>
              <w:t>4</w:t>
            </w:r>
          </w:p>
        </w:tc>
        <w:tc>
          <w:tcPr>
            <w:tcW w:w="6786" w:type="dxa"/>
            <w:tcBorders>
              <w:top w:val="nil"/>
              <w:left w:val="nil"/>
              <w:bottom w:val="single" w:color="auto" w:sz="4" w:space="0"/>
              <w:right w:val="single" w:color="auto" w:sz="4" w:space="0"/>
            </w:tcBorders>
            <w:vAlign w:val="center"/>
          </w:tcPr>
          <w:p w14:paraId="1FB5C640">
            <w:pPr>
              <w:pStyle w:val="16"/>
              <w:widowControl/>
              <w:rPr>
                <w:rFonts w:ascii="宋体" w:hAnsi="宋体" w:cs="Times New Roman"/>
                <w:kern w:val="0"/>
              </w:rPr>
            </w:pPr>
            <w:r>
              <w:rPr>
                <w:rFonts w:hint="eastAsia" w:ascii="宋体" w:hAnsi="宋体" w:cs="仿宋_GB2312"/>
                <w:kern w:val="0"/>
              </w:rPr>
              <w:t>手动报警按钮（警铃、报警、反馈及联动）</w:t>
            </w:r>
          </w:p>
        </w:tc>
      </w:tr>
      <w:tr w14:paraId="5676E38B">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3C080AF0">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6F7721D4">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8976607">
            <w:pPr>
              <w:pStyle w:val="16"/>
              <w:widowControl/>
              <w:jc w:val="center"/>
              <w:rPr>
                <w:rFonts w:ascii="宋体" w:hAnsi="宋体" w:cs="仿宋_GB2312"/>
                <w:kern w:val="0"/>
              </w:rPr>
            </w:pPr>
            <w:r>
              <w:rPr>
                <w:rFonts w:ascii="宋体" w:hAnsi="宋体" w:cs="仿宋_GB2312"/>
                <w:kern w:val="0"/>
              </w:rPr>
              <w:t>5</w:t>
            </w:r>
          </w:p>
        </w:tc>
        <w:tc>
          <w:tcPr>
            <w:tcW w:w="6786" w:type="dxa"/>
            <w:tcBorders>
              <w:top w:val="nil"/>
              <w:left w:val="nil"/>
              <w:bottom w:val="single" w:color="auto" w:sz="4" w:space="0"/>
              <w:right w:val="single" w:color="auto" w:sz="4" w:space="0"/>
            </w:tcBorders>
            <w:vAlign w:val="center"/>
          </w:tcPr>
          <w:p w14:paraId="31D03885">
            <w:pPr>
              <w:pStyle w:val="16"/>
              <w:widowControl/>
              <w:rPr>
                <w:rFonts w:ascii="宋体" w:hAnsi="宋体" w:cs="Times New Roman"/>
                <w:kern w:val="0"/>
              </w:rPr>
            </w:pPr>
            <w:r>
              <w:rPr>
                <w:rFonts w:hint="eastAsia" w:ascii="宋体" w:hAnsi="宋体" w:cs="仿宋_GB2312"/>
                <w:kern w:val="0"/>
              </w:rPr>
              <w:t>电话插孔与电话机配备</w:t>
            </w:r>
          </w:p>
        </w:tc>
      </w:tr>
      <w:tr w14:paraId="668D0EAF">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3C7078E6">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52445622">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B2C7645">
            <w:pPr>
              <w:pStyle w:val="16"/>
              <w:widowControl/>
              <w:jc w:val="center"/>
              <w:rPr>
                <w:rFonts w:ascii="宋体" w:hAnsi="宋体" w:cs="仿宋_GB2312"/>
                <w:kern w:val="0"/>
              </w:rPr>
            </w:pPr>
            <w:r>
              <w:rPr>
                <w:rFonts w:ascii="宋体" w:hAnsi="宋体" w:cs="仿宋_GB2312"/>
                <w:kern w:val="0"/>
              </w:rPr>
              <w:t>6</w:t>
            </w:r>
          </w:p>
        </w:tc>
        <w:tc>
          <w:tcPr>
            <w:tcW w:w="6786" w:type="dxa"/>
            <w:tcBorders>
              <w:top w:val="nil"/>
              <w:left w:val="nil"/>
              <w:bottom w:val="single" w:color="auto" w:sz="4" w:space="0"/>
              <w:right w:val="single" w:color="auto" w:sz="4" w:space="0"/>
            </w:tcBorders>
            <w:vAlign w:val="center"/>
          </w:tcPr>
          <w:p w14:paraId="51A70B0E">
            <w:pPr>
              <w:pStyle w:val="16"/>
              <w:widowControl/>
              <w:rPr>
                <w:rFonts w:ascii="宋体" w:hAnsi="宋体" w:cs="Times New Roman"/>
                <w:kern w:val="0"/>
              </w:rPr>
            </w:pPr>
            <w:r>
              <w:rPr>
                <w:rFonts w:hint="eastAsia" w:ascii="宋体" w:hAnsi="宋体" w:cs="仿宋_GB2312"/>
                <w:kern w:val="0"/>
              </w:rPr>
              <w:t>电梯手动、自动迫降</w:t>
            </w:r>
          </w:p>
        </w:tc>
      </w:tr>
      <w:tr w14:paraId="44BE8AC8">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06EC3EF4">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270B030F">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438A23B3">
            <w:pPr>
              <w:pStyle w:val="16"/>
              <w:widowControl/>
              <w:jc w:val="center"/>
              <w:rPr>
                <w:rFonts w:ascii="宋体" w:hAnsi="宋体" w:cs="仿宋_GB2312"/>
                <w:kern w:val="0"/>
              </w:rPr>
            </w:pPr>
            <w:r>
              <w:rPr>
                <w:rFonts w:ascii="宋体" w:hAnsi="宋体" w:cs="仿宋_GB2312"/>
                <w:kern w:val="0"/>
              </w:rPr>
              <w:t>7</w:t>
            </w:r>
          </w:p>
        </w:tc>
        <w:tc>
          <w:tcPr>
            <w:tcW w:w="6786" w:type="dxa"/>
            <w:tcBorders>
              <w:top w:val="nil"/>
              <w:left w:val="nil"/>
              <w:bottom w:val="single" w:color="auto" w:sz="4" w:space="0"/>
              <w:right w:val="single" w:color="auto" w:sz="4" w:space="0"/>
            </w:tcBorders>
            <w:vAlign w:val="center"/>
          </w:tcPr>
          <w:p w14:paraId="37D5F5FE">
            <w:pPr>
              <w:pStyle w:val="16"/>
              <w:widowControl/>
              <w:rPr>
                <w:rFonts w:ascii="宋体" w:hAnsi="宋体" w:cs="Times New Roman"/>
                <w:kern w:val="0"/>
              </w:rPr>
            </w:pPr>
            <w:r>
              <w:rPr>
                <w:rFonts w:hint="eastAsia" w:ascii="宋体" w:hAnsi="宋体" w:cs="仿宋_GB2312"/>
                <w:kern w:val="0"/>
              </w:rPr>
              <w:t>除住宅建筑外其它建筑布线（线、管、盒配置与规范，明敷管防火处理）</w:t>
            </w:r>
          </w:p>
        </w:tc>
      </w:tr>
      <w:tr w14:paraId="4A5C9812">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4B0C2437">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4667E3CA">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38E4BF7C">
            <w:pPr>
              <w:pStyle w:val="16"/>
              <w:widowControl/>
              <w:jc w:val="center"/>
              <w:rPr>
                <w:rFonts w:ascii="宋体" w:hAnsi="宋体" w:cs="仿宋_GB2312"/>
                <w:kern w:val="0"/>
              </w:rPr>
            </w:pPr>
            <w:r>
              <w:rPr>
                <w:rFonts w:ascii="宋体" w:hAnsi="宋体" w:cs="仿宋_GB2312"/>
                <w:kern w:val="0"/>
              </w:rPr>
              <w:t>8</w:t>
            </w:r>
          </w:p>
        </w:tc>
        <w:tc>
          <w:tcPr>
            <w:tcW w:w="6786" w:type="dxa"/>
            <w:tcBorders>
              <w:top w:val="nil"/>
              <w:left w:val="nil"/>
              <w:bottom w:val="single" w:color="auto" w:sz="4" w:space="0"/>
              <w:right w:val="single" w:color="auto" w:sz="4" w:space="0"/>
            </w:tcBorders>
            <w:vAlign w:val="center"/>
          </w:tcPr>
          <w:p w14:paraId="5A79C614">
            <w:pPr>
              <w:pStyle w:val="16"/>
              <w:widowControl/>
              <w:rPr>
                <w:rFonts w:ascii="宋体" w:hAnsi="宋体" w:cs="Times New Roman"/>
                <w:kern w:val="0"/>
              </w:rPr>
            </w:pPr>
            <w:r>
              <w:rPr>
                <w:rFonts w:hint="eastAsia" w:ascii="宋体" w:hAnsi="宋体" w:cs="仿宋_GB2312"/>
                <w:kern w:val="0"/>
              </w:rPr>
              <w:t>火灾探测器（安装、分布、离梁、墙、风口距离、报警功能、编码、信号反馈）</w:t>
            </w:r>
          </w:p>
        </w:tc>
      </w:tr>
      <w:tr w14:paraId="4FB68572">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65933747">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239FBD22">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5196BCA1">
            <w:pPr>
              <w:pStyle w:val="16"/>
              <w:widowControl/>
              <w:jc w:val="center"/>
              <w:rPr>
                <w:rFonts w:ascii="宋体" w:hAnsi="宋体" w:cs="仿宋_GB2312"/>
                <w:kern w:val="0"/>
              </w:rPr>
            </w:pPr>
            <w:r>
              <w:rPr>
                <w:rFonts w:ascii="宋体" w:hAnsi="宋体" w:cs="仿宋_GB2312"/>
                <w:kern w:val="0"/>
              </w:rPr>
              <w:t>9</w:t>
            </w:r>
          </w:p>
        </w:tc>
        <w:tc>
          <w:tcPr>
            <w:tcW w:w="6786" w:type="dxa"/>
            <w:tcBorders>
              <w:top w:val="nil"/>
              <w:left w:val="nil"/>
              <w:bottom w:val="single" w:color="auto" w:sz="4" w:space="0"/>
              <w:right w:val="single" w:color="auto" w:sz="4" w:space="0"/>
            </w:tcBorders>
            <w:vAlign w:val="center"/>
          </w:tcPr>
          <w:p w14:paraId="7DAEFEB6">
            <w:pPr>
              <w:pStyle w:val="16"/>
              <w:widowControl/>
              <w:rPr>
                <w:rFonts w:ascii="宋体" w:hAnsi="宋体" w:cs="Times New Roman"/>
                <w:kern w:val="0"/>
              </w:rPr>
            </w:pPr>
            <w:r>
              <w:rPr>
                <w:rFonts w:hint="eastAsia" w:ascii="宋体" w:hAnsi="宋体"/>
              </w:rPr>
              <w:t>检测消防水泵主备电源自动切换装置是否正常</w:t>
            </w:r>
          </w:p>
        </w:tc>
      </w:tr>
      <w:tr w14:paraId="29597FAE">
        <w:tblPrEx>
          <w:tblCellMar>
            <w:top w:w="0" w:type="dxa"/>
            <w:left w:w="108" w:type="dxa"/>
            <w:bottom w:w="0" w:type="dxa"/>
            <w:right w:w="108" w:type="dxa"/>
          </w:tblCellMar>
        </w:tblPrEx>
        <w:trPr>
          <w:trHeight w:val="90" w:hRule="atLeast"/>
          <w:jc w:val="center"/>
        </w:trPr>
        <w:tc>
          <w:tcPr>
            <w:tcW w:w="423" w:type="dxa"/>
            <w:vMerge w:val="restart"/>
            <w:tcBorders>
              <w:top w:val="nil"/>
              <w:left w:val="single" w:color="auto" w:sz="4" w:space="0"/>
              <w:right w:val="single" w:color="auto" w:sz="4" w:space="0"/>
            </w:tcBorders>
            <w:vAlign w:val="center"/>
          </w:tcPr>
          <w:p w14:paraId="46559065">
            <w:pPr>
              <w:pStyle w:val="16"/>
              <w:widowControl/>
              <w:jc w:val="center"/>
              <w:rPr>
                <w:rFonts w:ascii="宋体" w:hAnsi="宋体" w:cs="Times New Roman"/>
                <w:kern w:val="0"/>
              </w:rPr>
            </w:pPr>
            <w:r>
              <w:rPr>
                <w:rFonts w:hint="eastAsia" w:ascii="宋体" w:hAnsi="宋体" w:cs="仿宋_GB2312"/>
                <w:kern w:val="0"/>
              </w:rPr>
              <w:t>二</w:t>
            </w:r>
          </w:p>
        </w:tc>
        <w:tc>
          <w:tcPr>
            <w:tcW w:w="832" w:type="dxa"/>
            <w:vMerge w:val="restart"/>
            <w:tcBorders>
              <w:top w:val="nil"/>
              <w:left w:val="nil"/>
              <w:right w:val="single" w:color="auto" w:sz="4" w:space="0"/>
            </w:tcBorders>
            <w:vAlign w:val="center"/>
          </w:tcPr>
          <w:p w14:paraId="11E9613D">
            <w:pPr>
              <w:pStyle w:val="16"/>
              <w:widowControl/>
              <w:jc w:val="center"/>
              <w:rPr>
                <w:rFonts w:ascii="宋体" w:hAnsi="宋体" w:cs="仿宋_GB2312"/>
                <w:kern w:val="0"/>
              </w:rPr>
            </w:pPr>
            <w:r>
              <w:rPr>
                <w:rFonts w:hint="eastAsia" w:ascii="宋体" w:hAnsi="宋体" w:cs="仿宋_GB2312"/>
                <w:kern w:val="0"/>
              </w:rPr>
              <w:t>防火门</w:t>
            </w:r>
          </w:p>
          <w:p w14:paraId="6B6F5E3C">
            <w:pPr>
              <w:pStyle w:val="16"/>
              <w:widowControl/>
              <w:jc w:val="center"/>
              <w:rPr>
                <w:rFonts w:ascii="宋体" w:hAnsi="宋体" w:cs="Times New Roman"/>
                <w:kern w:val="0"/>
              </w:rPr>
            </w:pPr>
            <w:r>
              <w:rPr>
                <w:rFonts w:hint="eastAsia" w:ascii="宋体" w:hAnsi="宋体" w:cs="仿宋_GB2312"/>
                <w:kern w:val="0"/>
              </w:rPr>
              <w:t>系统</w:t>
            </w:r>
          </w:p>
        </w:tc>
        <w:tc>
          <w:tcPr>
            <w:tcW w:w="450" w:type="dxa"/>
            <w:tcBorders>
              <w:top w:val="nil"/>
              <w:left w:val="nil"/>
              <w:bottom w:val="single" w:color="auto" w:sz="4" w:space="0"/>
              <w:right w:val="single" w:color="auto" w:sz="4" w:space="0"/>
            </w:tcBorders>
            <w:vAlign w:val="center"/>
          </w:tcPr>
          <w:p w14:paraId="50D8E4C3">
            <w:pPr>
              <w:pStyle w:val="16"/>
              <w:widowControl/>
              <w:jc w:val="center"/>
              <w:rPr>
                <w:rFonts w:ascii="宋体" w:hAnsi="宋体" w:cs="仿宋_GB2312"/>
                <w:kern w:val="0"/>
              </w:rPr>
            </w:pPr>
            <w:r>
              <w:rPr>
                <w:rFonts w:hint="eastAsia" w:ascii="宋体" w:hAnsi="宋体" w:cs="仿宋_GB2312"/>
                <w:kern w:val="0"/>
              </w:rPr>
              <w:t>10</w:t>
            </w:r>
          </w:p>
        </w:tc>
        <w:tc>
          <w:tcPr>
            <w:tcW w:w="6786" w:type="dxa"/>
            <w:tcBorders>
              <w:top w:val="nil"/>
              <w:left w:val="nil"/>
              <w:bottom w:val="single" w:color="auto" w:sz="4" w:space="0"/>
              <w:right w:val="single" w:color="auto" w:sz="4" w:space="0"/>
            </w:tcBorders>
            <w:vAlign w:val="center"/>
          </w:tcPr>
          <w:p w14:paraId="616E80E7">
            <w:pPr>
              <w:pStyle w:val="16"/>
              <w:widowControl/>
              <w:rPr>
                <w:rFonts w:ascii="宋体" w:hAnsi="宋体" w:cs="Times New Roman"/>
                <w:kern w:val="0"/>
              </w:rPr>
            </w:pPr>
            <w:r>
              <w:rPr>
                <w:rFonts w:hint="eastAsia" w:ascii="宋体" w:hAnsi="宋体" w:cs="仿宋_GB2312"/>
                <w:kern w:val="0"/>
              </w:rPr>
              <w:t>防火门</w:t>
            </w:r>
          </w:p>
        </w:tc>
      </w:tr>
      <w:tr w14:paraId="3A6F3A58">
        <w:tblPrEx>
          <w:tblCellMar>
            <w:top w:w="0" w:type="dxa"/>
            <w:left w:w="108" w:type="dxa"/>
            <w:bottom w:w="0" w:type="dxa"/>
            <w:right w:w="108" w:type="dxa"/>
          </w:tblCellMar>
        </w:tblPrEx>
        <w:trPr>
          <w:trHeight w:val="57" w:hRule="atLeast"/>
          <w:jc w:val="center"/>
        </w:trPr>
        <w:tc>
          <w:tcPr>
            <w:tcW w:w="423" w:type="dxa"/>
            <w:vMerge w:val="continue"/>
            <w:tcBorders>
              <w:left w:val="single" w:color="auto" w:sz="4" w:space="0"/>
              <w:bottom w:val="single" w:color="auto" w:sz="4" w:space="0"/>
              <w:right w:val="single" w:color="auto" w:sz="4" w:space="0"/>
            </w:tcBorders>
            <w:vAlign w:val="center"/>
          </w:tcPr>
          <w:p w14:paraId="620F1EBC">
            <w:pPr>
              <w:pStyle w:val="16"/>
              <w:widowControl/>
              <w:jc w:val="center"/>
              <w:rPr>
                <w:rFonts w:ascii="宋体" w:hAnsi="宋体" w:cs="仿宋_GB2312"/>
                <w:kern w:val="0"/>
              </w:rPr>
            </w:pPr>
          </w:p>
        </w:tc>
        <w:tc>
          <w:tcPr>
            <w:tcW w:w="832" w:type="dxa"/>
            <w:vMerge w:val="continue"/>
            <w:tcBorders>
              <w:left w:val="nil"/>
              <w:bottom w:val="single" w:color="auto" w:sz="4" w:space="0"/>
              <w:right w:val="single" w:color="auto" w:sz="4" w:space="0"/>
            </w:tcBorders>
            <w:vAlign w:val="center"/>
          </w:tcPr>
          <w:p w14:paraId="25D93D24">
            <w:pPr>
              <w:pStyle w:val="16"/>
              <w:widowControl/>
              <w:jc w:val="center"/>
              <w:rPr>
                <w:rFonts w:ascii="宋体" w:hAnsi="宋体" w:cs="仿宋_GB2312"/>
                <w:kern w:val="0"/>
              </w:rPr>
            </w:pPr>
          </w:p>
        </w:tc>
        <w:tc>
          <w:tcPr>
            <w:tcW w:w="450" w:type="dxa"/>
            <w:tcBorders>
              <w:top w:val="nil"/>
              <w:left w:val="nil"/>
              <w:bottom w:val="single" w:color="auto" w:sz="4" w:space="0"/>
              <w:right w:val="single" w:color="auto" w:sz="4" w:space="0"/>
            </w:tcBorders>
            <w:vAlign w:val="center"/>
          </w:tcPr>
          <w:p w14:paraId="76942FE9">
            <w:pPr>
              <w:pStyle w:val="16"/>
              <w:widowControl/>
              <w:jc w:val="center"/>
              <w:rPr>
                <w:rFonts w:ascii="宋体" w:hAnsi="宋体" w:cs="仿宋_GB2312"/>
                <w:kern w:val="0"/>
              </w:rPr>
            </w:pPr>
            <w:r>
              <w:rPr>
                <w:rFonts w:hint="eastAsia" w:ascii="宋体" w:hAnsi="宋体" w:cs="仿宋_GB2312"/>
                <w:kern w:val="0"/>
              </w:rPr>
              <w:t>11</w:t>
            </w:r>
          </w:p>
        </w:tc>
        <w:tc>
          <w:tcPr>
            <w:tcW w:w="6786" w:type="dxa"/>
            <w:tcBorders>
              <w:top w:val="nil"/>
              <w:left w:val="nil"/>
              <w:bottom w:val="single" w:color="auto" w:sz="4" w:space="0"/>
              <w:right w:val="single" w:color="auto" w:sz="4" w:space="0"/>
            </w:tcBorders>
            <w:vAlign w:val="center"/>
          </w:tcPr>
          <w:p w14:paraId="1A7E8257">
            <w:pPr>
              <w:pStyle w:val="16"/>
              <w:widowControl/>
              <w:rPr>
                <w:rFonts w:ascii="宋体" w:hAnsi="宋体" w:cs="仿宋_GB2312"/>
                <w:kern w:val="0"/>
              </w:rPr>
            </w:pPr>
            <w:r>
              <w:rPr>
                <w:rFonts w:hint="eastAsia" w:ascii="宋体" w:hAnsi="宋体" w:cs="仿宋_GB2312"/>
                <w:kern w:val="0"/>
              </w:rPr>
              <w:t>联动情况</w:t>
            </w:r>
          </w:p>
        </w:tc>
      </w:tr>
      <w:tr w14:paraId="0A64275D">
        <w:tblPrEx>
          <w:tblCellMar>
            <w:top w:w="0" w:type="dxa"/>
            <w:left w:w="108" w:type="dxa"/>
            <w:bottom w:w="0" w:type="dxa"/>
            <w:right w:w="108" w:type="dxa"/>
          </w:tblCellMar>
        </w:tblPrEx>
        <w:trPr>
          <w:trHeight w:val="57" w:hRule="atLeast"/>
          <w:jc w:val="center"/>
        </w:trPr>
        <w:tc>
          <w:tcPr>
            <w:tcW w:w="423" w:type="dxa"/>
            <w:tcBorders>
              <w:top w:val="nil"/>
              <w:left w:val="single" w:color="auto" w:sz="4" w:space="0"/>
              <w:bottom w:val="single" w:color="auto" w:sz="4" w:space="0"/>
              <w:right w:val="single" w:color="auto" w:sz="4" w:space="0"/>
            </w:tcBorders>
            <w:vAlign w:val="center"/>
          </w:tcPr>
          <w:p w14:paraId="238D02CC">
            <w:pPr>
              <w:pStyle w:val="16"/>
              <w:widowControl/>
              <w:jc w:val="center"/>
              <w:rPr>
                <w:rFonts w:ascii="宋体" w:hAnsi="宋体" w:cs="Times New Roman"/>
                <w:kern w:val="0"/>
              </w:rPr>
            </w:pPr>
            <w:r>
              <w:rPr>
                <w:rFonts w:hint="eastAsia" w:ascii="宋体" w:hAnsi="宋体" w:cs="仿宋_GB2312"/>
                <w:kern w:val="0"/>
              </w:rPr>
              <w:t>三</w:t>
            </w:r>
          </w:p>
        </w:tc>
        <w:tc>
          <w:tcPr>
            <w:tcW w:w="832" w:type="dxa"/>
            <w:tcBorders>
              <w:top w:val="nil"/>
              <w:left w:val="nil"/>
              <w:bottom w:val="single" w:color="auto" w:sz="4" w:space="0"/>
              <w:right w:val="single" w:color="auto" w:sz="4" w:space="0"/>
            </w:tcBorders>
            <w:vAlign w:val="center"/>
          </w:tcPr>
          <w:p w14:paraId="606CE780">
            <w:pPr>
              <w:pStyle w:val="16"/>
              <w:widowControl/>
              <w:jc w:val="center"/>
              <w:rPr>
                <w:rFonts w:ascii="宋体" w:hAnsi="宋体" w:cs="Times New Roman"/>
                <w:kern w:val="0"/>
              </w:rPr>
            </w:pPr>
            <w:r>
              <w:rPr>
                <w:rFonts w:hint="eastAsia" w:ascii="宋体" w:hAnsi="宋体" w:cs="仿宋_GB2312"/>
                <w:kern w:val="0"/>
              </w:rPr>
              <w:t>气体灭火系统</w:t>
            </w:r>
          </w:p>
        </w:tc>
        <w:tc>
          <w:tcPr>
            <w:tcW w:w="450" w:type="dxa"/>
            <w:tcBorders>
              <w:top w:val="nil"/>
              <w:left w:val="nil"/>
              <w:bottom w:val="single" w:color="auto" w:sz="4" w:space="0"/>
              <w:right w:val="single" w:color="auto" w:sz="4" w:space="0"/>
            </w:tcBorders>
            <w:vAlign w:val="center"/>
          </w:tcPr>
          <w:p w14:paraId="0E5B035A">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2</w:t>
            </w:r>
          </w:p>
        </w:tc>
        <w:tc>
          <w:tcPr>
            <w:tcW w:w="6786" w:type="dxa"/>
            <w:tcBorders>
              <w:top w:val="nil"/>
              <w:left w:val="nil"/>
              <w:bottom w:val="single" w:color="auto" w:sz="4" w:space="0"/>
              <w:right w:val="single" w:color="auto" w:sz="4" w:space="0"/>
            </w:tcBorders>
            <w:vAlign w:val="center"/>
          </w:tcPr>
          <w:p w14:paraId="35C25103">
            <w:pPr>
              <w:pStyle w:val="16"/>
              <w:widowControl/>
              <w:rPr>
                <w:rFonts w:ascii="宋体" w:hAnsi="宋体" w:cs="Times New Roman"/>
                <w:kern w:val="0"/>
              </w:rPr>
            </w:pPr>
            <w:r>
              <w:rPr>
                <w:rFonts w:hint="eastAsia" w:ascii="宋体" w:hAnsi="宋体" w:cs="仿宋_GB2312"/>
                <w:kern w:val="0"/>
              </w:rPr>
              <w:t>气体灭火系统</w:t>
            </w:r>
          </w:p>
        </w:tc>
      </w:tr>
      <w:tr w14:paraId="2FBFA1F9">
        <w:tblPrEx>
          <w:tblCellMar>
            <w:top w:w="0" w:type="dxa"/>
            <w:left w:w="108" w:type="dxa"/>
            <w:bottom w:w="0" w:type="dxa"/>
            <w:right w:w="108" w:type="dxa"/>
          </w:tblCellMar>
        </w:tblPrEx>
        <w:trPr>
          <w:trHeight w:val="57" w:hRule="atLeast"/>
          <w:jc w:val="center"/>
        </w:trPr>
        <w:tc>
          <w:tcPr>
            <w:tcW w:w="423" w:type="dxa"/>
            <w:tcBorders>
              <w:top w:val="nil"/>
              <w:left w:val="single" w:color="auto" w:sz="4" w:space="0"/>
              <w:bottom w:val="single" w:color="auto" w:sz="4" w:space="0"/>
              <w:right w:val="single" w:color="auto" w:sz="4" w:space="0"/>
            </w:tcBorders>
            <w:vAlign w:val="center"/>
          </w:tcPr>
          <w:p w14:paraId="52221955">
            <w:pPr>
              <w:pStyle w:val="16"/>
              <w:widowControl/>
              <w:jc w:val="center"/>
              <w:rPr>
                <w:rFonts w:ascii="宋体" w:hAnsi="宋体" w:cs="Times New Roman"/>
                <w:kern w:val="0"/>
              </w:rPr>
            </w:pPr>
            <w:r>
              <w:rPr>
                <w:rFonts w:hint="eastAsia" w:ascii="宋体" w:hAnsi="宋体" w:cs="仿宋_GB2312"/>
                <w:kern w:val="0"/>
              </w:rPr>
              <w:t>四</w:t>
            </w:r>
          </w:p>
        </w:tc>
        <w:tc>
          <w:tcPr>
            <w:tcW w:w="832" w:type="dxa"/>
            <w:tcBorders>
              <w:top w:val="nil"/>
              <w:left w:val="nil"/>
              <w:bottom w:val="single" w:color="auto" w:sz="4" w:space="0"/>
              <w:right w:val="single" w:color="auto" w:sz="4" w:space="0"/>
            </w:tcBorders>
            <w:vAlign w:val="center"/>
          </w:tcPr>
          <w:p w14:paraId="305490B0">
            <w:pPr>
              <w:pStyle w:val="16"/>
              <w:widowControl/>
              <w:jc w:val="center"/>
              <w:rPr>
                <w:rFonts w:ascii="宋体" w:hAnsi="宋体" w:cs="Times New Roman"/>
                <w:kern w:val="0"/>
              </w:rPr>
            </w:pPr>
            <w:r>
              <w:rPr>
                <w:rFonts w:hint="eastAsia" w:ascii="宋体" w:hAnsi="宋体" w:cs="仿宋_GB2312"/>
                <w:kern w:val="0"/>
              </w:rPr>
              <w:t>水喷淋灭火系统</w:t>
            </w:r>
          </w:p>
        </w:tc>
        <w:tc>
          <w:tcPr>
            <w:tcW w:w="450" w:type="dxa"/>
            <w:tcBorders>
              <w:top w:val="nil"/>
              <w:left w:val="nil"/>
              <w:bottom w:val="single" w:color="auto" w:sz="4" w:space="0"/>
              <w:right w:val="single" w:color="auto" w:sz="4" w:space="0"/>
            </w:tcBorders>
            <w:vAlign w:val="center"/>
          </w:tcPr>
          <w:p w14:paraId="17FECE03">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3</w:t>
            </w:r>
          </w:p>
        </w:tc>
        <w:tc>
          <w:tcPr>
            <w:tcW w:w="6786" w:type="dxa"/>
            <w:tcBorders>
              <w:top w:val="nil"/>
              <w:left w:val="nil"/>
              <w:bottom w:val="single" w:color="auto" w:sz="4" w:space="0"/>
              <w:right w:val="single" w:color="auto" w:sz="4" w:space="0"/>
            </w:tcBorders>
            <w:vAlign w:val="center"/>
          </w:tcPr>
          <w:p w14:paraId="7F5BCF52">
            <w:pPr>
              <w:pStyle w:val="16"/>
              <w:widowControl/>
              <w:rPr>
                <w:rFonts w:ascii="宋体" w:hAnsi="宋体" w:cs="Times New Roman"/>
                <w:kern w:val="0"/>
              </w:rPr>
            </w:pPr>
            <w:r>
              <w:rPr>
                <w:rFonts w:hint="eastAsia" w:ascii="宋体" w:hAnsi="宋体" w:cs="仿宋_GB2312"/>
                <w:kern w:val="0"/>
              </w:rPr>
              <w:t>水喷淋系统（喷头、管网、水流指示、闸阀、湿式报警阀、放水、压力、泵房、水泵、控制箱、联动）</w:t>
            </w:r>
          </w:p>
        </w:tc>
      </w:tr>
      <w:tr w14:paraId="6A38ED00">
        <w:tblPrEx>
          <w:tblCellMar>
            <w:top w:w="0" w:type="dxa"/>
            <w:left w:w="108" w:type="dxa"/>
            <w:bottom w:w="0" w:type="dxa"/>
            <w:right w:w="108" w:type="dxa"/>
          </w:tblCellMar>
        </w:tblPrEx>
        <w:trPr>
          <w:trHeight w:val="57" w:hRule="atLeast"/>
          <w:jc w:val="center"/>
        </w:trPr>
        <w:tc>
          <w:tcPr>
            <w:tcW w:w="423" w:type="dxa"/>
            <w:vMerge w:val="restart"/>
            <w:tcBorders>
              <w:top w:val="nil"/>
              <w:left w:val="single" w:color="auto" w:sz="4" w:space="0"/>
              <w:bottom w:val="single" w:color="000000" w:sz="4" w:space="0"/>
              <w:right w:val="single" w:color="auto" w:sz="4" w:space="0"/>
            </w:tcBorders>
            <w:vAlign w:val="center"/>
          </w:tcPr>
          <w:p w14:paraId="76C5B3C7">
            <w:pPr>
              <w:pStyle w:val="16"/>
              <w:widowControl/>
              <w:jc w:val="center"/>
              <w:rPr>
                <w:rFonts w:ascii="宋体" w:hAnsi="宋体" w:cs="Times New Roman"/>
                <w:kern w:val="0"/>
              </w:rPr>
            </w:pPr>
            <w:r>
              <w:rPr>
                <w:rFonts w:hint="eastAsia" w:ascii="宋体" w:hAnsi="宋体" w:cs="仿宋_GB2312"/>
                <w:kern w:val="0"/>
              </w:rPr>
              <w:t>五</w:t>
            </w:r>
          </w:p>
        </w:tc>
        <w:tc>
          <w:tcPr>
            <w:tcW w:w="832" w:type="dxa"/>
            <w:vMerge w:val="restart"/>
            <w:tcBorders>
              <w:top w:val="nil"/>
              <w:left w:val="single" w:color="auto" w:sz="4" w:space="0"/>
              <w:bottom w:val="single" w:color="auto" w:sz="4" w:space="0"/>
              <w:right w:val="single" w:color="auto" w:sz="4" w:space="0"/>
            </w:tcBorders>
            <w:vAlign w:val="center"/>
          </w:tcPr>
          <w:p w14:paraId="58256139">
            <w:pPr>
              <w:pStyle w:val="16"/>
              <w:widowControl/>
              <w:jc w:val="center"/>
              <w:rPr>
                <w:rFonts w:ascii="宋体" w:hAnsi="宋体" w:cs="仿宋_GB2312"/>
                <w:kern w:val="0"/>
              </w:rPr>
            </w:pPr>
            <w:r>
              <w:rPr>
                <w:rFonts w:hint="eastAsia" w:ascii="宋体" w:hAnsi="宋体" w:cs="仿宋_GB2312"/>
                <w:kern w:val="0"/>
              </w:rPr>
              <w:t>消火栓</w:t>
            </w:r>
          </w:p>
          <w:p w14:paraId="30006FE4">
            <w:pPr>
              <w:pStyle w:val="16"/>
              <w:widowControl/>
              <w:jc w:val="center"/>
              <w:rPr>
                <w:rFonts w:ascii="宋体" w:hAnsi="宋体" w:cs="Times New Roman"/>
                <w:kern w:val="0"/>
              </w:rPr>
            </w:pPr>
            <w:r>
              <w:rPr>
                <w:rFonts w:hint="eastAsia" w:ascii="宋体" w:hAnsi="宋体" w:cs="仿宋_GB2312"/>
                <w:kern w:val="0"/>
              </w:rPr>
              <w:t>系统</w:t>
            </w:r>
          </w:p>
        </w:tc>
        <w:tc>
          <w:tcPr>
            <w:tcW w:w="450" w:type="dxa"/>
            <w:tcBorders>
              <w:top w:val="nil"/>
              <w:left w:val="nil"/>
              <w:bottom w:val="single" w:color="auto" w:sz="4" w:space="0"/>
              <w:right w:val="single" w:color="auto" w:sz="4" w:space="0"/>
            </w:tcBorders>
            <w:vAlign w:val="center"/>
          </w:tcPr>
          <w:p w14:paraId="3D796CAF">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4</w:t>
            </w:r>
          </w:p>
        </w:tc>
        <w:tc>
          <w:tcPr>
            <w:tcW w:w="6786" w:type="dxa"/>
            <w:tcBorders>
              <w:top w:val="nil"/>
              <w:left w:val="nil"/>
              <w:bottom w:val="single" w:color="auto" w:sz="4" w:space="0"/>
              <w:right w:val="single" w:color="auto" w:sz="4" w:space="0"/>
            </w:tcBorders>
            <w:vAlign w:val="center"/>
          </w:tcPr>
          <w:p w14:paraId="0ABC056B">
            <w:pPr>
              <w:pStyle w:val="16"/>
              <w:widowControl/>
              <w:rPr>
                <w:rFonts w:ascii="宋体" w:hAnsi="宋体" w:cs="Times New Roman"/>
                <w:kern w:val="0"/>
              </w:rPr>
            </w:pPr>
            <w:r>
              <w:rPr>
                <w:rFonts w:hint="eastAsia" w:ascii="宋体" w:hAnsi="宋体" w:cs="仿宋_GB2312"/>
                <w:kern w:val="0"/>
              </w:rPr>
              <w:t>消火栓泵房与泵组（泵安装、规格、手动、自动、远动、启动、反馈、主备切换、配管、控制箱功能）</w:t>
            </w:r>
          </w:p>
        </w:tc>
      </w:tr>
      <w:tr w14:paraId="118A42BF">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1398BAA7">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68FAF370">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ED36946">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5</w:t>
            </w:r>
          </w:p>
        </w:tc>
        <w:tc>
          <w:tcPr>
            <w:tcW w:w="6786" w:type="dxa"/>
            <w:tcBorders>
              <w:top w:val="nil"/>
              <w:left w:val="nil"/>
              <w:bottom w:val="single" w:color="auto" w:sz="4" w:space="0"/>
              <w:right w:val="single" w:color="auto" w:sz="4" w:space="0"/>
            </w:tcBorders>
            <w:vAlign w:val="center"/>
          </w:tcPr>
          <w:p w14:paraId="14259288">
            <w:pPr>
              <w:pStyle w:val="16"/>
              <w:widowControl/>
              <w:rPr>
                <w:rFonts w:ascii="宋体" w:hAnsi="宋体" w:cs="Times New Roman"/>
                <w:kern w:val="0"/>
              </w:rPr>
            </w:pPr>
            <w:r>
              <w:rPr>
                <w:rFonts w:hint="eastAsia" w:ascii="宋体" w:hAnsi="宋体" w:cs="仿宋_GB2312"/>
                <w:kern w:val="0"/>
              </w:rPr>
              <w:t>消火栓（安装尺寸、水枪、水带、卷盘配置）</w:t>
            </w:r>
          </w:p>
        </w:tc>
      </w:tr>
      <w:tr w14:paraId="3FD747E4">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1BEBC662">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3D441E56">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C77950C">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6</w:t>
            </w:r>
          </w:p>
        </w:tc>
        <w:tc>
          <w:tcPr>
            <w:tcW w:w="6786" w:type="dxa"/>
            <w:tcBorders>
              <w:top w:val="nil"/>
              <w:left w:val="nil"/>
              <w:bottom w:val="single" w:color="auto" w:sz="4" w:space="0"/>
              <w:right w:val="single" w:color="auto" w:sz="4" w:space="0"/>
            </w:tcBorders>
            <w:vAlign w:val="center"/>
          </w:tcPr>
          <w:p w14:paraId="65C672A7">
            <w:pPr>
              <w:pStyle w:val="16"/>
              <w:widowControl/>
              <w:rPr>
                <w:rFonts w:ascii="宋体" w:hAnsi="宋体" w:cs="Times New Roman"/>
                <w:kern w:val="0"/>
              </w:rPr>
            </w:pPr>
            <w:r>
              <w:rPr>
                <w:rFonts w:hint="eastAsia" w:ascii="宋体" w:hAnsi="宋体" w:cs="仿宋_GB2312"/>
                <w:kern w:val="0"/>
              </w:rPr>
              <w:t>消火栓启泵按钮（报警、信号反馈、启泵）</w:t>
            </w:r>
          </w:p>
        </w:tc>
      </w:tr>
      <w:tr w14:paraId="3FEE00BE">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60667E79">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5303C1DB">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75E5FC7B">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7</w:t>
            </w:r>
          </w:p>
        </w:tc>
        <w:tc>
          <w:tcPr>
            <w:tcW w:w="6786" w:type="dxa"/>
            <w:tcBorders>
              <w:top w:val="nil"/>
              <w:left w:val="nil"/>
              <w:bottom w:val="single" w:color="auto" w:sz="4" w:space="0"/>
              <w:right w:val="single" w:color="auto" w:sz="4" w:space="0"/>
            </w:tcBorders>
            <w:vAlign w:val="center"/>
          </w:tcPr>
          <w:p w14:paraId="64E6CD9D">
            <w:pPr>
              <w:pStyle w:val="16"/>
              <w:widowControl/>
              <w:rPr>
                <w:rFonts w:ascii="宋体" w:hAnsi="宋体" w:cs="Times New Roman"/>
                <w:kern w:val="0"/>
              </w:rPr>
            </w:pPr>
            <w:r>
              <w:rPr>
                <w:rFonts w:hint="eastAsia" w:ascii="宋体" w:hAnsi="宋体" w:cs="仿宋_GB2312"/>
                <w:kern w:val="0"/>
              </w:rPr>
              <w:t>消火栓充实水柱及压力（最不利点静、动压、充实水柱和最有利点静压、动压、充实水柱）</w:t>
            </w:r>
          </w:p>
        </w:tc>
      </w:tr>
      <w:tr w14:paraId="6997A226">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35A7F375">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527632F2">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17D8C367">
            <w:pPr>
              <w:pStyle w:val="16"/>
              <w:widowControl/>
              <w:jc w:val="center"/>
              <w:rPr>
                <w:rFonts w:ascii="宋体" w:hAnsi="宋体" w:cs="仿宋_GB2312"/>
                <w:kern w:val="0"/>
              </w:rPr>
            </w:pPr>
            <w:r>
              <w:rPr>
                <w:rFonts w:ascii="宋体" w:hAnsi="宋体" w:cs="仿宋_GB2312"/>
                <w:kern w:val="0"/>
              </w:rPr>
              <w:t>1</w:t>
            </w:r>
            <w:r>
              <w:rPr>
                <w:rFonts w:hint="eastAsia" w:ascii="宋体" w:hAnsi="宋体" w:cs="仿宋_GB2312"/>
                <w:kern w:val="0"/>
              </w:rPr>
              <w:t>8</w:t>
            </w:r>
          </w:p>
        </w:tc>
        <w:tc>
          <w:tcPr>
            <w:tcW w:w="6786" w:type="dxa"/>
            <w:tcBorders>
              <w:top w:val="nil"/>
              <w:left w:val="nil"/>
              <w:bottom w:val="single" w:color="auto" w:sz="4" w:space="0"/>
              <w:right w:val="single" w:color="auto" w:sz="4" w:space="0"/>
            </w:tcBorders>
            <w:vAlign w:val="center"/>
          </w:tcPr>
          <w:p w14:paraId="68ADC235">
            <w:pPr>
              <w:pStyle w:val="16"/>
              <w:widowControl/>
              <w:rPr>
                <w:rFonts w:ascii="宋体" w:hAnsi="宋体" w:cs="Times New Roman"/>
                <w:kern w:val="0"/>
              </w:rPr>
            </w:pPr>
            <w:r>
              <w:rPr>
                <w:rFonts w:hint="eastAsia" w:ascii="宋体" w:hAnsi="宋体" w:cs="仿宋_GB2312"/>
                <w:kern w:val="0"/>
              </w:rPr>
              <w:t>水泵接合器（安装位置、标志、数量与水池、门、窗洞、地面距离、试水开通功能）</w:t>
            </w:r>
          </w:p>
        </w:tc>
      </w:tr>
      <w:tr w14:paraId="7EEE7769">
        <w:tblPrEx>
          <w:tblCellMar>
            <w:top w:w="0" w:type="dxa"/>
            <w:left w:w="108" w:type="dxa"/>
            <w:bottom w:w="0" w:type="dxa"/>
            <w:right w:w="108" w:type="dxa"/>
          </w:tblCellMar>
        </w:tblPrEx>
        <w:trPr>
          <w:trHeight w:val="57" w:hRule="atLeast"/>
          <w:jc w:val="center"/>
        </w:trPr>
        <w:tc>
          <w:tcPr>
            <w:tcW w:w="423" w:type="dxa"/>
            <w:vMerge w:val="restart"/>
            <w:tcBorders>
              <w:top w:val="single" w:color="auto" w:sz="4" w:space="0"/>
              <w:left w:val="single" w:color="auto" w:sz="4" w:space="0"/>
              <w:bottom w:val="single" w:color="000000" w:sz="4" w:space="0"/>
              <w:right w:val="single" w:color="auto" w:sz="4" w:space="0"/>
            </w:tcBorders>
            <w:vAlign w:val="center"/>
          </w:tcPr>
          <w:p w14:paraId="11679078">
            <w:pPr>
              <w:pStyle w:val="16"/>
              <w:widowControl/>
              <w:jc w:val="center"/>
              <w:rPr>
                <w:rFonts w:ascii="宋体" w:hAnsi="宋体" w:cs="Times New Roman"/>
                <w:kern w:val="0"/>
              </w:rPr>
            </w:pPr>
            <w:r>
              <w:rPr>
                <w:rFonts w:hint="eastAsia" w:ascii="宋体" w:hAnsi="宋体" w:cs="仿宋_GB2312"/>
                <w:kern w:val="0"/>
              </w:rPr>
              <w:t>六</w:t>
            </w:r>
          </w:p>
        </w:tc>
        <w:tc>
          <w:tcPr>
            <w:tcW w:w="832" w:type="dxa"/>
            <w:vMerge w:val="restart"/>
            <w:tcBorders>
              <w:top w:val="single" w:color="auto" w:sz="4" w:space="0"/>
              <w:left w:val="single" w:color="auto" w:sz="4" w:space="0"/>
              <w:bottom w:val="single" w:color="auto" w:sz="4" w:space="0"/>
              <w:right w:val="single" w:color="auto" w:sz="4" w:space="0"/>
            </w:tcBorders>
            <w:vAlign w:val="center"/>
          </w:tcPr>
          <w:p w14:paraId="4D77ADAE">
            <w:pPr>
              <w:pStyle w:val="16"/>
              <w:widowControl/>
              <w:jc w:val="center"/>
              <w:rPr>
                <w:rFonts w:ascii="宋体" w:hAnsi="宋体" w:cs="仿宋_GB2312"/>
                <w:kern w:val="0"/>
              </w:rPr>
            </w:pPr>
            <w:r>
              <w:rPr>
                <w:rFonts w:hint="eastAsia" w:ascii="宋体" w:hAnsi="宋体" w:cs="仿宋_GB2312"/>
                <w:kern w:val="0"/>
              </w:rPr>
              <w:t>防排烟</w:t>
            </w:r>
          </w:p>
          <w:p w14:paraId="30A6C59C">
            <w:pPr>
              <w:pStyle w:val="16"/>
              <w:widowControl/>
              <w:jc w:val="center"/>
              <w:rPr>
                <w:rFonts w:ascii="宋体" w:hAnsi="宋体" w:cs="Times New Roman"/>
                <w:kern w:val="0"/>
              </w:rPr>
            </w:pPr>
            <w:r>
              <w:rPr>
                <w:rFonts w:hint="eastAsia" w:ascii="宋体" w:hAnsi="宋体" w:cs="仿宋_GB2312"/>
                <w:kern w:val="0"/>
              </w:rPr>
              <w:t>系统</w:t>
            </w:r>
          </w:p>
        </w:tc>
        <w:tc>
          <w:tcPr>
            <w:tcW w:w="450" w:type="dxa"/>
            <w:tcBorders>
              <w:top w:val="single" w:color="auto" w:sz="4" w:space="0"/>
              <w:left w:val="nil"/>
              <w:bottom w:val="single" w:color="auto" w:sz="4" w:space="0"/>
              <w:right w:val="single" w:color="auto" w:sz="4" w:space="0"/>
            </w:tcBorders>
            <w:vAlign w:val="center"/>
          </w:tcPr>
          <w:p w14:paraId="63841D6E">
            <w:pPr>
              <w:pStyle w:val="16"/>
              <w:widowControl/>
              <w:jc w:val="center"/>
              <w:rPr>
                <w:rFonts w:ascii="宋体" w:hAnsi="宋体" w:cs="仿宋_GB2312"/>
                <w:kern w:val="0"/>
              </w:rPr>
            </w:pPr>
            <w:r>
              <w:rPr>
                <w:rFonts w:hint="eastAsia" w:ascii="宋体" w:hAnsi="宋体" w:cs="仿宋_GB2312"/>
                <w:kern w:val="0"/>
              </w:rPr>
              <w:t>19</w:t>
            </w:r>
          </w:p>
        </w:tc>
        <w:tc>
          <w:tcPr>
            <w:tcW w:w="6786" w:type="dxa"/>
            <w:tcBorders>
              <w:top w:val="single" w:color="auto" w:sz="4" w:space="0"/>
              <w:left w:val="nil"/>
              <w:bottom w:val="single" w:color="auto" w:sz="4" w:space="0"/>
              <w:right w:val="single" w:color="auto" w:sz="4" w:space="0"/>
            </w:tcBorders>
            <w:vAlign w:val="center"/>
          </w:tcPr>
          <w:p w14:paraId="210573F8">
            <w:pPr>
              <w:pStyle w:val="16"/>
              <w:widowControl/>
              <w:rPr>
                <w:rFonts w:ascii="宋体" w:hAnsi="宋体" w:cs="Times New Roman"/>
                <w:kern w:val="0"/>
              </w:rPr>
            </w:pPr>
            <w:r>
              <w:rPr>
                <w:rFonts w:hint="eastAsia" w:ascii="宋体" w:hAnsi="宋体" w:cs="仿宋_GB2312"/>
                <w:kern w:val="0"/>
              </w:rPr>
              <w:t>正压送风机控制设备（专用消防供电、末级自动切换、火警时自动启动、手动启动、信号反馈、安装容量）</w:t>
            </w:r>
          </w:p>
        </w:tc>
      </w:tr>
      <w:tr w14:paraId="36747263">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065FE2BD">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10422ACF">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7BC4A70F">
            <w:pPr>
              <w:pStyle w:val="16"/>
              <w:widowControl/>
              <w:jc w:val="center"/>
              <w:rPr>
                <w:rFonts w:ascii="宋体" w:hAnsi="宋体" w:cs="仿宋_GB2312"/>
                <w:kern w:val="0"/>
              </w:rPr>
            </w:pPr>
            <w:r>
              <w:rPr>
                <w:rFonts w:ascii="宋体" w:hAnsi="宋体" w:cs="仿宋_GB2312"/>
                <w:kern w:val="0"/>
              </w:rPr>
              <w:t>2</w:t>
            </w:r>
            <w:r>
              <w:rPr>
                <w:rFonts w:hint="eastAsia" w:ascii="宋体" w:hAnsi="宋体" w:cs="仿宋_GB2312"/>
                <w:kern w:val="0"/>
              </w:rPr>
              <w:t>0</w:t>
            </w:r>
          </w:p>
        </w:tc>
        <w:tc>
          <w:tcPr>
            <w:tcW w:w="6786" w:type="dxa"/>
            <w:tcBorders>
              <w:top w:val="nil"/>
              <w:left w:val="nil"/>
              <w:bottom w:val="single" w:color="auto" w:sz="4" w:space="0"/>
              <w:right w:val="single" w:color="auto" w:sz="4" w:space="0"/>
            </w:tcBorders>
            <w:vAlign w:val="center"/>
          </w:tcPr>
          <w:p w14:paraId="253D27B9">
            <w:pPr>
              <w:pStyle w:val="16"/>
              <w:widowControl/>
              <w:rPr>
                <w:rFonts w:ascii="宋体" w:hAnsi="宋体" w:cs="仿宋_GB2312"/>
                <w:kern w:val="0"/>
              </w:rPr>
            </w:pPr>
            <w:r>
              <w:rPr>
                <w:rFonts w:hint="eastAsia" w:ascii="宋体" w:hAnsi="宋体" w:cs="仿宋_GB2312"/>
                <w:kern w:val="0"/>
              </w:rPr>
              <w:t>正压送风口与送风阀（梯间</w:t>
            </w:r>
            <w:r>
              <w:rPr>
                <w:rFonts w:ascii="宋体" w:hAnsi="宋体" w:cs="仿宋_GB2312"/>
                <w:kern w:val="0"/>
              </w:rPr>
              <w:t>2-3</w:t>
            </w:r>
            <w:r>
              <w:rPr>
                <w:rFonts w:hint="eastAsia" w:ascii="宋体" w:hAnsi="宋体" w:cs="仿宋_GB2312"/>
                <w:kern w:val="0"/>
              </w:rPr>
              <w:t>层，前室每层设送风口、阀一个，手动、自动、开启、手动复位，信号反馈、安装位置）</w:t>
            </w:r>
            <w:r>
              <w:rPr>
                <w:rFonts w:ascii="宋体" w:hAnsi="宋体" w:cs="仿宋_GB2312"/>
                <w:kern w:val="0"/>
              </w:rPr>
              <w:t>(</w:t>
            </w:r>
            <w:r>
              <w:rPr>
                <w:rFonts w:hint="eastAsia" w:ascii="宋体" w:hAnsi="宋体" w:cs="仿宋_GB2312"/>
                <w:kern w:val="0"/>
              </w:rPr>
              <w:t>楼梯间与前室分别各一套</w:t>
            </w:r>
            <w:r>
              <w:rPr>
                <w:rFonts w:ascii="宋体" w:hAnsi="宋体" w:cs="仿宋_GB2312"/>
                <w:kern w:val="0"/>
              </w:rPr>
              <w:t>)</w:t>
            </w:r>
          </w:p>
        </w:tc>
      </w:tr>
      <w:tr w14:paraId="73424ADF">
        <w:tblPrEx>
          <w:tblCellMar>
            <w:top w:w="0" w:type="dxa"/>
            <w:left w:w="108" w:type="dxa"/>
            <w:bottom w:w="0" w:type="dxa"/>
            <w:right w:w="108" w:type="dxa"/>
          </w:tblCellMar>
        </w:tblPrEx>
        <w:trPr>
          <w:trHeight w:val="57" w:hRule="atLeast"/>
          <w:jc w:val="center"/>
        </w:trPr>
        <w:tc>
          <w:tcPr>
            <w:tcW w:w="423" w:type="dxa"/>
            <w:vMerge w:val="continue"/>
            <w:tcBorders>
              <w:top w:val="nil"/>
              <w:left w:val="single" w:color="auto" w:sz="4" w:space="0"/>
              <w:bottom w:val="single" w:color="000000" w:sz="4" w:space="0"/>
              <w:right w:val="single" w:color="auto" w:sz="4" w:space="0"/>
            </w:tcBorders>
            <w:vAlign w:val="center"/>
          </w:tcPr>
          <w:p w14:paraId="237D1D8F">
            <w:pPr>
              <w:pStyle w:val="16"/>
              <w:widowControl/>
              <w:jc w:val="left"/>
              <w:rPr>
                <w:rFonts w:ascii="宋体" w:hAnsi="宋体" w:cs="Times New Roman"/>
                <w:kern w:val="0"/>
              </w:rPr>
            </w:pPr>
          </w:p>
        </w:tc>
        <w:tc>
          <w:tcPr>
            <w:tcW w:w="832" w:type="dxa"/>
            <w:vMerge w:val="continue"/>
            <w:tcBorders>
              <w:top w:val="nil"/>
              <w:left w:val="single" w:color="auto" w:sz="4" w:space="0"/>
              <w:bottom w:val="single" w:color="auto" w:sz="4" w:space="0"/>
              <w:right w:val="single" w:color="auto" w:sz="4" w:space="0"/>
            </w:tcBorders>
            <w:vAlign w:val="center"/>
          </w:tcPr>
          <w:p w14:paraId="6C8B5AF0">
            <w:pPr>
              <w:pStyle w:val="16"/>
              <w:widowControl/>
              <w:jc w:val="left"/>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2BE5C7FD">
            <w:pPr>
              <w:pStyle w:val="16"/>
              <w:widowControl/>
              <w:jc w:val="center"/>
              <w:rPr>
                <w:rFonts w:ascii="宋体" w:hAnsi="宋体" w:cs="仿宋_GB2312"/>
                <w:kern w:val="0"/>
              </w:rPr>
            </w:pPr>
            <w:r>
              <w:rPr>
                <w:rFonts w:ascii="宋体" w:hAnsi="宋体" w:cs="仿宋_GB2312"/>
                <w:kern w:val="0"/>
              </w:rPr>
              <w:t>2</w:t>
            </w:r>
            <w:r>
              <w:rPr>
                <w:rFonts w:hint="eastAsia" w:ascii="宋体" w:hAnsi="宋体" w:cs="仿宋_GB2312"/>
                <w:kern w:val="0"/>
              </w:rPr>
              <w:t>1</w:t>
            </w:r>
          </w:p>
        </w:tc>
        <w:tc>
          <w:tcPr>
            <w:tcW w:w="6786" w:type="dxa"/>
            <w:tcBorders>
              <w:top w:val="nil"/>
              <w:left w:val="nil"/>
              <w:bottom w:val="single" w:color="auto" w:sz="4" w:space="0"/>
              <w:right w:val="single" w:color="auto" w:sz="4" w:space="0"/>
            </w:tcBorders>
            <w:vAlign w:val="center"/>
          </w:tcPr>
          <w:p w14:paraId="3C1381CA">
            <w:pPr>
              <w:pStyle w:val="16"/>
              <w:widowControl/>
              <w:rPr>
                <w:rFonts w:ascii="宋体" w:hAnsi="宋体" w:cs="Times New Roman"/>
                <w:kern w:val="0"/>
              </w:rPr>
            </w:pPr>
            <w:r>
              <w:rPr>
                <w:rFonts w:hint="eastAsia" w:ascii="宋体" w:hAnsi="宋体" w:cs="仿宋_GB2312"/>
                <w:kern w:val="0"/>
              </w:rPr>
              <w:t>正压送风风速与余压测试（送风口风速≤</w:t>
            </w:r>
            <w:r>
              <w:rPr>
                <w:rFonts w:ascii="宋体" w:hAnsi="宋体" w:cs="仿宋_GB2312"/>
                <w:kern w:val="0"/>
              </w:rPr>
              <w:t>7m/s</w:t>
            </w:r>
            <w:r>
              <w:rPr>
                <w:rFonts w:hint="eastAsia" w:ascii="宋体" w:hAnsi="宋体" w:cs="仿宋_GB2312"/>
                <w:kern w:val="0"/>
              </w:rPr>
              <w:t>、前室、合前室余压</w:t>
            </w:r>
            <w:r>
              <w:rPr>
                <w:rFonts w:ascii="宋体" w:hAnsi="宋体" w:cs="仿宋_GB2312"/>
                <w:kern w:val="0"/>
              </w:rPr>
              <w:t>25-30Pa</w:t>
            </w:r>
            <w:r>
              <w:rPr>
                <w:rFonts w:hint="eastAsia" w:ascii="宋体" w:hAnsi="宋体" w:cs="仿宋_GB2312"/>
                <w:kern w:val="0"/>
              </w:rPr>
              <w:t>、楼梯间余压</w:t>
            </w:r>
            <w:r>
              <w:rPr>
                <w:rFonts w:ascii="宋体" w:hAnsi="宋体" w:cs="仿宋_GB2312"/>
                <w:kern w:val="0"/>
              </w:rPr>
              <w:t>40-50Pa</w:t>
            </w:r>
            <w:r>
              <w:rPr>
                <w:rFonts w:hint="eastAsia" w:ascii="宋体" w:hAnsi="宋体" w:cs="仿宋_GB2312"/>
                <w:kern w:val="0"/>
              </w:rPr>
              <w:t>）</w:t>
            </w:r>
          </w:p>
        </w:tc>
      </w:tr>
      <w:tr w14:paraId="5A4BF352">
        <w:tblPrEx>
          <w:tblCellMar>
            <w:top w:w="0" w:type="dxa"/>
            <w:left w:w="108" w:type="dxa"/>
            <w:bottom w:w="0" w:type="dxa"/>
            <w:right w:w="108" w:type="dxa"/>
          </w:tblCellMar>
        </w:tblPrEx>
        <w:trPr>
          <w:trHeight w:val="500" w:hRule="atLeast"/>
          <w:jc w:val="center"/>
        </w:trPr>
        <w:tc>
          <w:tcPr>
            <w:tcW w:w="423" w:type="dxa"/>
            <w:vMerge w:val="restart"/>
            <w:tcBorders>
              <w:top w:val="nil"/>
              <w:left w:val="single" w:color="auto" w:sz="4" w:space="0"/>
              <w:right w:val="single" w:color="auto" w:sz="4" w:space="0"/>
            </w:tcBorders>
            <w:vAlign w:val="center"/>
          </w:tcPr>
          <w:p w14:paraId="4B9B6063">
            <w:pPr>
              <w:pStyle w:val="16"/>
              <w:widowControl/>
              <w:jc w:val="left"/>
              <w:rPr>
                <w:rFonts w:ascii="宋体" w:hAnsi="宋体" w:cs="Times New Roman"/>
                <w:kern w:val="0"/>
              </w:rPr>
            </w:pPr>
            <w:r>
              <w:rPr>
                <w:rFonts w:hint="eastAsia" w:ascii="宋体" w:hAnsi="宋体" w:cs="Times New Roman"/>
                <w:kern w:val="0"/>
              </w:rPr>
              <w:t>七</w:t>
            </w:r>
          </w:p>
        </w:tc>
        <w:tc>
          <w:tcPr>
            <w:tcW w:w="832" w:type="dxa"/>
            <w:vMerge w:val="restart"/>
            <w:tcBorders>
              <w:top w:val="nil"/>
              <w:left w:val="single" w:color="auto" w:sz="4" w:space="0"/>
              <w:right w:val="single" w:color="auto" w:sz="4" w:space="0"/>
            </w:tcBorders>
            <w:vAlign w:val="center"/>
          </w:tcPr>
          <w:p w14:paraId="11BEE2E6">
            <w:pPr>
              <w:pStyle w:val="16"/>
              <w:widowControl/>
              <w:jc w:val="center"/>
              <w:rPr>
                <w:rFonts w:ascii="宋体" w:hAnsi="宋体"/>
              </w:rPr>
            </w:pPr>
            <w:r>
              <w:rPr>
                <w:rFonts w:hint="eastAsia" w:ascii="宋体" w:hAnsi="宋体"/>
              </w:rPr>
              <w:t>应急照明及疏散</w:t>
            </w:r>
          </w:p>
          <w:p w14:paraId="7F086782">
            <w:pPr>
              <w:pStyle w:val="16"/>
              <w:widowControl/>
              <w:jc w:val="center"/>
              <w:rPr>
                <w:rFonts w:ascii="宋体" w:hAnsi="宋体" w:cs="Times New Roman"/>
                <w:kern w:val="0"/>
              </w:rPr>
            </w:pPr>
            <w:r>
              <w:rPr>
                <w:rFonts w:hint="eastAsia" w:ascii="宋体" w:hAnsi="宋体"/>
              </w:rPr>
              <w:t>系统</w:t>
            </w:r>
          </w:p>
        </w:tc>
        <w:tc>
          <w:tcPr>
            <w:tcW w:w="450" w:type="dxa"/>
            <w:tcBorders>
              <w:top w:val="nil"/>
              <w:left w:val="nil"/>
              <w:bottom w:val="single" w:color="auto" w:sz="4" w:space="0"/>
              <w:right w:val="single" w:color="auto" w:sz="4" w:space="0"/>
            </w:tcBorders>
            <w:vAlign w:val="center"/>
          </w:tcPr>
          <w:p w14:paraId="0FBACB96">
            <w:pPr>
              <w:pStyle w:val="16"/>
              <w:widowControl/>
              <w:jc w:val="center"/>
              <w:rPr>
                <w:rFonts w:ascii="宋体" w:hAnsi="宋体" w:cs="仿宋_GB2312"/>
                <w:kern w:val="0"/>
              </w:rPr>
            </w:pPr>
            <w:r>
              <w:rPr>
                <w:rFonts w:hint="eastAsia" w:ascii="宋体" w:hAnsi="宋体" w:cs="仿宋_GB2312"/>
                <w:kern w:val="0"/>
              </w:rPr>
              <w:t>22</w:t>
            </w:r>
          </w:p>
        </w:tc>
        <w:tc>
          <w:tcPr>
            <w:tcW w:w="6786" w:type="dxa"/>
            <w:tcBorders>
              <w:top w:val="nil"/>
              <w:left w:val="nil"/>
              <w:bottom w:val="single" w:color="auto" w:sz="4" w:space="0"/>
              <w:right w:val="single" w:color="auto" w:sz="4" w:space="0"/>
            </w:tcBorders>
            <w:vAlign w:val="center"/>
          </w:tcPr>
          <w:p w14:paraId="65505FE8">
            <w:pPr>
              <w:pStyle w:val="16"/>
              <w:widowControl/>
              <w:rPr>
                <w:rFonts w:ascii="宋体" w:hAnsi="宋体" w:cs="仿宋_GB2312"/>
                <w:kern w:val="0"/>
              </w:rPr>
            </w:pPr>
            <w:r>
              <w:rPr>
                <w:rFonts w:hint="eastAsia" w:ascii="宋体" w:hAnsi="宋体"/>
              </w:rPr>
              <w:t>检查双电源切换和供电是否可靠；</w:t>
            </w:r>
          </w:p>
        </w:tc>
      </w:tr>
      <w:tr w14:paraId="6E437286">
        <w:tblPrEx>
          <w:tblCellMar>
            <w:top w:w="0" w:type="dxa"/>
            <w:left w:w="108" w:type="dxa"/>
            <w:bottom w:w="0" w:type="dxa"/>
            <w:right w:w="108" w:type="dxa"/>
          </w:tblCellMar>
        </w:tblPrEx>
        <w:trPr>
          <w:trHeight w:val="609" w:hRule="atLeast"/>
          <w:jc w:val="center"/>
        </w:trPr>
        <w:tc>
          <w:tcPr>
            <w:tcW w:w="423" w:type="dxa"/>
            <w:vMerge w:val="continue"/>
            <w:tcBorders>
              <w:left w:val="single" w:color="auto" w:sz="4" w:space="0"/>
              <w:right w:val="single" w:color="auto" w:sz="4" w:space="0"/>
            </w:tcBorders>
            <w:vAlign w:val="center"/>
          </w:tcPr>
          <w:p w14:paraId="60B8C2FC">
            <w:pPr>
              <w:pStyle w:val="16"/>
              <w:widowControl/>
              <w:jc w:val="left"/>
              <w:rPr>
                <w:rFonts w:ascii="宋体" w:hAnsi="宋体" w:cs="Times New Roman"/>
                <w:kern w:val="0"/>
              </w:rPr>
            </w:pPr>
          </w:p>
        </w:tc>
        <w:tc>
          <w:tcPr>
            <w:tcW w:w="832" w:type="dxa"/>
            <w:vMerge w:val="continue"/>
            <w:tcBorders>
              <w:left w:val="single" w:color="auto" w:sz="4" w:space="0"/>
              <w:right w:val="single" w:color="auto" w:sz="4" w:space="0"/>
            </w:tcBorders>
            <w:vAlign w:val="center"/>
          </w:tcPr>
          <w:p w14:paraId="77DD715E">
            <w:pPr>
              <w:pStyle w:val="16"/>
              <w:widowControl/>
              <w:jc w:val="center"/>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4EB46F68">
            <w:pPr>
              <w:pStyle w:val="16"/>
              <w:widowControl/>
              <w:jc w:val="center"/>
              <w:rPr>
                <w:rFonts w:ascii="宋体" w:hAnsi="宋体" w:cs="仿宋_GB2312"/>
                <w:kern w:val="0"/>
              </w:rPr>
            </w:pPr>
            <w:r>
              <w:rPr>
                <w:rFonts w:hint="eastAsia" w:ascii="宋体" w:hAnsi="宋体" w:cs="仿宋_GB2312"/>
                <w:kern w:val="0"/>
              </w:rPr>
              <w:t>23</w:t>
            </w:r>
          </w:p>
        </w:tc>
        <w:tc>
          <w:tcPr>
            <w:tcW w:w="6786" w:type="dxa"/>
            <w:tcBorders>
              <w:top w:val="nil"/>
              <w:left w:val="nil"/>
              <w:bottom w:val="single" w:color="auto" w:sz="4" w:space="0"/>
              <w:right w:val="single" w:color="auto" w:sz="4" w:space="0"/>
            </w:tcBorders>
            <w:vAlign w:val="center"/>
          </w:tcPr>
          <w:p w14:paraId="1B02F53F">
            <w:pPr>
              <w:pStyle w:val="16"/>
              <w:widowControl/>
              <w:rPr>
                <w:rFonts w:ascii="宋体" w:hAnsi="宋体" w:cs="仿宋_GB2312"/>
                <w:kern w:val="0"/>
              </w:rPr>
            </w:pPr>
            <w:r>
              <w:rPr>
                <w:rFonts w:hint="eastAsia" w:ascii="宋体" w:hAnsi="宋体"/>
              </w:rPr>
              <w:t>检查应急照明和疏散指示装置供电情况</w:t>
            </w:r>
          </w:p>
        </w:tc>
      </w:tr>
      <w:tr w14:paraId="65EC6066">
        <w:tblPrEx>
          <w:tblCellMar>
            <w:top w:w="0" w:type="dxa"/>
            <w:left w:w="108" w:type="dxa"/>
            <w:bottom w:w="0" w:type="dxa"/>
            <w:right w:w="108" w:type="dxa"/>
          </w:tblCellMar>
        </w:tblPrEx>
        <w:trPr>
          <w:trHeight w:val="507" w:hRule="atLeast"/>
          <w:jc w:val="center"/>
        </w:trPr>
        <w:tc>
          <w:tcPr>
            <w:tcW w:w="423" w:type="dxa"/>
            <w:vMerge w:val="continue"/>
            <w:tcBorders>
              <w:left w:val="single" w:color="auto" w:sz="4" w:space="0"/>
              <w:bottom w:val="single" w:color="000000" w:sz="4" w:space="0"/>
              <w:right w:val="single" w:color="auto" w:sz="4" w:space="0"/>
            </w:tcBorders>
            <w:vAlign w:val="center"/>
          </w:tcPr>
          <w:p w14:paraId="2C6E4AD5">
            <w:pPr>
              <w:pStyle w:val="16"/>
              <w:widowControl/>
              <w:jc w:val="left"/>
              <w:rPr>
                <w:rFonts w:ascii="宋体" w:hAnsi="宋体" w:cs="Times New Roman"/>
                <w:kern w:val="0"/>
              </w:rPr>
            </w:pPr>
          </w:p>
        </w:tc>
        <w:tc>
          <w:tcPr>
            <w:tcW w:w="832" w:type="dxa"/>
            <w:vMerge w:val="continue"/>
            <w:tcBorders>
              <w:left w:val="single" w:color="auto" w:sz="4" w:space="0"/>
              <w:bottom w:val="single" w:color="auto" w:sz="4" w:space="0"/>
              <w:right w:val="single" w:color="auto" w:sz="4" w:space="0"/>
            </w:tcBorders>
            <w:vAlign w:val="center"/>
          </w:tcPr>
          <w:p w14:paraId="287EB34D">
            <w:pPr>
              <w:pStyle w:val="16"/>
              <w:widowControl/>
              <w:jc w:val="center"/>
              <w:rPr>
                <w:rFonts w:ascii="宋体" w:hAnsi="宋体" w:cs="Times New Roman"/>
                <w:kern w:val="0"/>
              </w:rPr>
            </w:pPr>
          </w:p>
        </w:tc>
        <w:tc>
          <w:tcPr>
            <w:tcW w:w="450" w:type="dxa"/>
            <w:tcBorders>
              <w:top w:val="nil"/>
              <w:left w:val="nil"/>
              <w:bottom w:val="single" w:color="auto" w:sz="4" w:space="0"/>
              <w:right w:val="single" w:color="auto" w:sz="4" w:space="0"/>
            </w:tcBorders>
            <w:vAlign w:val="center"/>
          </w:tcPr>
          <w:p w14:paraId="48890587">
            <w:pPr>
              <w:pStyle w:val="16"/>
              <w:widowControl/>
              <w:jc w:val="center"/>
              <w:rPr>
                <w:rFonts w:ascii="宋体" w:hAnsi="宋体" w:cs="仿宋_GB2312"/>
                <w:kern w:val="0"/>
              </w:rPr>
            </w:pPr>
            <w:r>
              <w:rPr>
                <w:rFonts w:hint="eastAsia" w:ascii="宋体" w:hAnsi="宋体" w:cs="仿宋_GB2312"/>
                <w:kern w:val="0"/>
              </w:rPr>
              <w:t>24</w:t>
            </w:r>
          </w:p>
        </w:tc>
        <w:tc>
          <w:tcPr>
            <w:tcW w:w="6786" w:type="dxa"/>
            <w:tcBorders>
              <w:top w:val="nil"/>
              <w:left w:val="nil"/>
              <w:bottom w:val="single" w:color="auto" w:sz="4" w:space="0"/>
              <w:right w:val="single" w:color="auto" w:sz="4" w:space="0"/>
            </w:tcBorders>
            <w:vAlign w:val="center"/>
          </w:tcPr>
          <w:p w14:paraId="424E241C">
            <w:pPr>
              <w:pStyle w:val="16"/>
              <w:widowControl/>
              <w:rPr>
                <w:rFonts w:ascii="宋体" w:hAnsi="宋体"/>
                <w:color w:val="FF0000"/>
              </w:rPr>
            </w:pPr>
            <w:r>
              <w:rPr>
                <w:rFonts w:hint="eastAsia" w:ascii="宋体" w:hAnsi="宋体" w:cs="仿宋_GB2312"/>
                <w:kern w:val="0"/>
              </w:rPr>
              <w:t>应急灯、疏散指示标志（安装、配置、指向、断电保持时间）</w:t>
            </w:r>
          </w:p>
        </w:tc>
      </w:tr>
      <w:tr w14:paraId="65ACBA1C">
        <w:tblPrEx>
          <w:tblCellMar>
            <w:top w:w="0" w:type="dxa"/>
            <w:left w:w="108" w:type="dxa"/>
            <w:bottom w:w="0" w:type="dxa"/>
            <w:right w:w="108" w:type="dxa"/>
          </w:tblCellMar>
        </w:tblPrEx>
        <w:trPr>
          <w:trHeight w:val="57" w:hRule="atLeast"/>
          <w:jc w:val="center"/>
        </w:trPr>
        <w:tc>
          <w:tcPr>
            <w:tcW w:w="423" w:type="dxa"/>
            <w:vMerge w:val="restart"/>
            <w:tcBorders>
              <w:top w:val="nil"/>
              <w:left w:val="single" w:color="auto" w:sz="4" w:space="0"/>
              <w:right w:val="single" w:color="auto" w:sz="4" w:space="0"/>
            </w:tcBorders>
            <w:vAlign w:val="center"/>
          </w:tcPr>
          <w:p w14:paraId="6ADF594D">
            <w:pPr>
              <w:pStyle w:val="16"/>
              <w:widowControl/>
              <w:jc w:val="left"/>
              <w:rPr>
                <w:rFonts w:ascii="宋体" w:hAnsi="宋体" w:cs="Times New Roman"/>
                <w:kern w:val="0"/>
              </w:rPr>
            </w:pPr>
            <w:r>
              <w:rPr>
                <w:rFonts w:hint="eastAsia" w:ascii="宋体" w:hAnsi="宋体" w:cs="Times New Roman"/>
                <w:kern w:val="0"/>
              </w:rPr>
              <w:t>八</w:t>
            </w:r>
          </w:p>
        </w:tc>
        <w:tc>
          <w:tcPr>
            <w:tcW w:w="832" w:type="dxa"/>
            <w:vMerge w:val="restart"/>
            <w:tcBorders>
              <w:top w:val="nil"/>
              <w:left w:val="single" w:color="auto" w:sz="4" w:space="0"/>
              <w:right w:val="single" w:color="auto" w:sz="4" w:space="0"/>
            </w:tcBorders>
            <w:vAlign w:val="center"/>
          </w:tcPr>
          <w:p w14:paraId="757A3589">
            <w:pPr>
              <w:pStyle w:val="16"/>
              <w:widowControl/>
              <w:jc w:val="center"/>
              <w:rPr>
                <w:rFonts w:ascii="宋体" w:hAnsi="宋体" w:cs="Times New Roman"/>
                <w:kern w:val="0"/>
              </w:rPr>
            </w:pPr>
            <w:r>
              <w:rPr>
                <w:rFonts w:hint="eastAsia" w:ascii="宋体" w:hAnsi="宋体"/>
              </w:rPr>
              <w:t>应急广播系统</w:t>
            </w:r>
          </w:p>
        </w:tc>
        <w:tc>
          <w:tcPr>
            <w:tcW w:w="450" w:type="dxa"/>
            <w:tcBorders>
              <w:top w:val="nil"/>
              <w:left w:val="nil"/>
              <w:bottom w:val="single" w:color="auto" w:sz="4" w:space="0"/>
              <w:right w:val="single" w:color="auto" w:sz="4" w:space="0"/>
            </w:tcBorders>
            <w:vAlign w:val="center"/>
          </w:tcPr>
          <w:p w14:paraId="6D357F40">
            <w:pPr>
              <w:pStyle w:val="16"/>
              <w:widowControl/>
              <w:jc w:val="center"/>
              <w:rPr>
                <w:rFonts w:ascii="宋体" w:hAnsi="宋体" w:cs="仿宋_GB2312"/>
                <w:kern w:val="0"/>
              </w:rPr>
            </w:pPr>
            <w:r>
              <w:rPr>
                <w:rFonts w:hint="eastAsia" w:ascii="宋体" w:hAnsi="宋体" w:cs="仿宋_GB2312"/>
                <w:kern w:val="0"/>
              </w:rPr>
              <w:t>25</w:t>
            </w:r>
          </w:p>
        </w:tc>
        <w:tc>
          <w:tcPr>
            <w:tcW w:w="6786" w:type="dxa"/>
            <w:tcBorders>
              <w:top w:val="nil"/>
              <w:left w:val="nil"/>
              <w:bottom w:val="single" w:color="auto" w:sz="4" w:space="0"/>
              <w:right w:val="single" w:color="auto" w:sz="4" w:space="0"/>
            </w:tcBorders>
            <w:vAlign w:val="center"/>
          </w:tcPr>
          <w:p w14:paraId="7E4B445D">
            <w:pPr>
              <w:pStyle w:val="16"/>
              <w:widowControl/>
              <w:rPr>
                <w:rFonts w:ascii="宋体" w:hAnsi="宋体" w:cs="Times New Roman"/>
                <w:kern w:val="0"/>
              </w:rPr>
            </w:pPr>
            <w:r>
              <w:rPr>
                <w:rFonts w:hint="eastAsia" w:ascii="宋体" w:hAnsi="宋体"/>
              </w:rPr>
              <w:t>检测声音的传输、制式的调校、录音盒放音的效果是否正常。</w:t>
            </w:r>
          </w:p>
        </w:tc>
      </w:tr>
      <w:tr w14:paraId="58C7C00B">
        <w:tblPrEx>
          <w:tblCellMar>
            <w:top w:w="0" w:type="dxa"/>
            <w:left w:w="108" w:type="dxa"/>
            <w:bottom w:w="0" w:type="dxa"/>
            <w:right w:w="108" w:type="dxa"/>
          </w:tblCellMar>
        </w:tblPrEx>
        <w:trPr>
          <w:trHeight w:val="57" w:hRule="atLeast"/>
          <w:jc w:val="center"/>
        </w:trPr>
        <w:tc>
          <w:tcPr>
            <w:tcW w:w="423" w:type="dxa"/>
            <w:vMerge w:val="continue"/>
            <w:tcBorders>
              <w:left w:val="single" w:color="auto" w:sz="4" w:space="0"/>
              <w:bottom w:val="single" w:color="000000" w:sz="4" w:space="0"/>
              <w:right w:val="single" w:color="auto" w:sz="4" w:space="0"/>
            </w:tcBorders>
            <w:vAlign w:val="center"/>
          </w:tcPr>
          <w:p w14:paraId="0F4ACBD3">
            <w:pPr>
              <w:pStyle w:val="16"/>
              <w:widowControl/>
              <w:jc w:val="left"/>
              <w:rPr>
                <w:rFonts w:ascii="宋体" w:hAnsi="宋体" w:cs="Times New Roman"/>
                <w:kern w:val="0"/>
              </w:rPr>
            </w:pPr>
          </w:p>
        </w:tc>
        <w:tc>
          <w:tcPr>
            <w:tcW w:w="832" w:type="dxa"/>
            <w:vMerge w:val="continue"/>
            <w:tcBorders>
              <w:left w:val="single" w:color="auto" w:sz="4" w:space="0"/>
              <w:bottom w:val="single" w:color="auto" w:sz="4" w:space="0"/>
              <w:right w:val="single" w:color="auto" w:sz="4" w:space="0"/>
            </w:tcBorders>
            <w:vAlign w:val="center"/>
          </w:tcPr>
          <w:p w14:paraId="5E6AA30E">
            <w:pPr>
              <w:pStyle w:val="16"/>
              <w:widowControl/>
              <w:jc w:val="left"/>
              <w:rPr>
                <w:rFonts w:ascii="宋体" w:hAnsi="宋体"/>
              </w:rPr>
            </w:pPr>
          </w:p>
        </w:tc>
        <w:tc>
          <w:tcPr>
            <w:tcW w:w="450" w:type="dxa"/>
            <w:tcBorders>
              <w:top w:val="nil"/>
              <w:left w:val="nil"/>
              <w:bottom w:val="single" w:color="auto" w:sz="4" w:space="0"/>
              <w:right w:val="single" w:color="auto" w:sz="4" w:space="0"/>
            </w:tcBorders>
            <w:vAlign w:val="center"/>
          </w:tcPr>
          <w:p w14:paraId="1C28E488">
            <w:pPr>
              <w:pStyle w:val="16"/>
              <w:widowControl/>
              <w:jc w:val="center"/>
              <w:rPr>
                <w:rFonts w:ascii="宋体" w:hAnsi="宋体" w:cs="仿宋_GB2312"/>
                <w:kern w:val="0"/>
              </w:rPr>
            </w:pPr>
            <w:r>
              <w:rPr>
                <w:rFonts w:hint="eastAsia" w:ascii="宋体" w:hAnsi="宋体" w:cs="仿宋_GB2312"/>
                <w:kern w:val="0"/>
              </w:rPr>
              <w:t>26</w:t>
            </w:r>
          </w:p>
        </w:tc>
        <w:tc>
          <w:tcPr>
            <w:tcW w:w="6786" w:type="dxa"/>
            <w:tcBorders>
              <w:top w:val="nil"/>
              <w:left w:val="nil"/>
              <w:bottom w:val="single" w:color="auto" w:sz="4" w:space="0"/>
              <w:right w:val="single" w:color="auto" w:sz="4" w:space="0"/>
            </w:tcBorders>
            <w:vAlign w:val="center"/>
          </w:tcPr>
          <w:p w14:paraId="686C592A">
            <w:pPr>
              <w:pStyle w:val="16"/>
              <w:widowControl/>
              <w:rPr>
                <w:rFonts w:ascii="宋体" w:hAnsi="宋体"/>
              </w:rPr>
            </w:pPr>
            <w:r>
              <w:rPr>
                <w:rFonts w:hint="eastAsia" w:ascii="宋体" w:hAnsi="宋体"/>
              </w:rPr>
              <w:t>检测系统运行是否正常</w:t>
            </w:r>
          </w:p>
        </w:tc>
      </w:tr>
      <w:tr w14:paraId="5D404D7F">
        <w:tblPrEx>
          <w:tblCellMar>
            <w:top w:w="0" w:type="dxa"/>
            <w:left w:w="108" w:type="dxa"/>
            <w:bottom w:w="0" w:type="dxa"/>
            <w:right w:w="108" w:type="dxa"/>
          </w:tblCellMar>
        </w:tblPrEx>
        <w:trPr>
          <w:trHeight w:val="706" w:hRule="atLeast"/>
          <w:jc w:val="center"/>
        </w:trPr>
        <w:tc>
          <w:tcPr>
            <w:tcW w:w="8491" w:type="dxa"/>
            <w:gridSpan w:val="4"/>
            <w:tcBorders>
              <w:top w:val="single" w:color="auto" w:sz="4" w:space="0"/>
              <w:left w:val="single" w:color="auto" w:sz="4" w:space="0"/>
              <w:bottom w:val="single" w:color="auto" w:sz="4" w:space="0"/>
              <w:right w:val="single" w:color="000000" w:sz="4" w:space="0"/>
            </w:tcBorders>
            <w:vAlign w:val="center"/>
          </w:tcPr>
          <w:p w14:paraId="40E9EA75">
            <w:pPr>
              <w:pStyle w:val="16"/>
              <w:widowControl/>
              <w:jc w:val="left"/>
              <w:rPr>
                <w:rFonts w:ascii="宋体" w:hAnsi="宋体" w:cs="Times New Roman"/>
                <w:kern w:val="0"/>
              </w:rPr>
            </w:pPr>
            <w:r>
              <w:rPr>
                <w:rFonts w:hint="eastAsia" w:ascii="宋体" w:hAnsi="宋体" w:cs="仿宋_GB2312"/>
                <w:kern w:val="0"/>
              </w:rPr>
              <w:t>说明：项目不限于自动报警系统、防火门系统、气体灭火系统、水喷淋灭火系统、消火栓系统及防排烟系统等六大系统，以具体的实际建筑消防设施为准。</w:t>
            </w:r>
          </w:p>
        </w:tc>
      </w:tr>
    </w:tbl>
    <w:p w14:paraId="3540D84E">
      <w:pPr>
        <w:numPr>
          <w:ilvl w:val="0"/>
          <w:numId w:val="0"/>
        </w:numPr>
        <w:spacing w:line="460" w:lineRule="exact"/>
        <w:ind w:firstLine="422" w:firstLineChars="200"/>
        <w:rPr>
          <w:rFonts w:ascii="宋体" w:hAnsi="宋体" w:cs="宋体"/>
          <w:b/>
          <w:bCs/>
        </w:rPr>
      </w:pPr>
      <w:r>
        <w:rPr>
          <w:rFonts w:hint="eastAsia" w:ascii="宋体" w:hAnsi="宋体" w:cs="宋体"/>
          <w:b/>
          <w:bCs/>
          <w:lang w:val="en-US" w:eastAsia="zh-CN"/>
        </w:rPr>
        <w:t>3、</w:t>
      </w:r>
      <w:r>
        <w:rPr>
          <w:rFonts w:hint="eastAsia" w:ascii="宋体" w:hAnsi="宋体" w:cs="宋体"/>
          <w:b/>
          <w:bCs/>
        </w:rPr>
        <w:t>检测要求：</w:t>
      </w:r>
    </w:p>
    <w:p w14:paraId="4E025F5A">
      <w:pPr>
        <w:numPr>
          <w:ilvl w:val="8"/>
          <w:numId w:val="0"/>
        </w:numPr>
        <w:snapToGrid w:val="0"/>
        <w:spacing w:line="460" w:lineRule="exact"/>
        <w:ind w:firstLine="420" w:firstLineChars="200"/>
        <w:rPr>
          <w:rFonts w:ascii="宋体"/>
          <w:szCs w:val="21"/>
        </w:rPr>
      </w:pPr>
      <w:r>
        <w:rPr>
          <w:rFonts w:hint="eastAsia" w:ascii="宋体" w:hAnsiTheme="minorHAnsi" w:eastAsiaTheme="minorEastAsia" w:cstheme="minorBidi"/>
          <w:kern w:val="2"/>
          <w:sz w:val="21"/>
          <w:szCs w:val="21"/>
          <w:lang w:val="en-US" w:eastAsia="zh-CN" w:bidi="ar-SA"/>
        </w:rPr>
        <w:t>（1）</w:t>
      </w:r>
      <w:r>
        <w:rPr>
          <w:rFonts w:hint="eastAsia" w:ascii="宋体"/>
          <w:szCs w:val="21"/>
        </w:rPr>
        <w:t>成交供应商必须按采购人要求对照以上项目清单对每一个项目进行检测，并如实记录检测结果，一旦发现遗漏、弄虚作假的情况，所导致的一切后果及责任由成交供应商自行承担。</w:t>
      </w:r>
    </w:p>
    <w:p w14:paraId="408C6E80">
      <w:pPr>
        <w:numPr>
          <w:ilvl w:val="8"/>
          <w:numId w:val="0"/>
        </w:numPr>
        <w:snapToGrid w:val="0"/>
        <w:spacing w:line="460" w:lineRule="exact"/>
        <w:ind w:firstLine="420" w:firstLineChars="200"/>
        <w:rPr>
          <w:rFonts w:ascii="宋体"/>
          <w:szCs w:val="21"/>
        </w:rPr>
      </w:pPr>
      <w:r>
        <w:rPr>
          <w:rFonts w:hint="eastAsia" w:ascii="宋体" w:hAnsiTheme="minorHAnsi" w:eastAsiaTheme="minorEastAsia" w:cstheme="minorBidi"/>
          <w:kern w:val="2"/>
          <w:sz w:val="21"/>
          <w:szCs w:val="21"/>
          <w:lang w:val="en-US" w:eastAsia="zh-CN" w:bidi="ar-SA"/>
        </w:rPr>
        <w:t>（2）</w:t>
      </w:r>
      <w:r>
        <w:rPr>
          <w:rFonts w:hint="eastAsia" w:ascii="宋体"/>
          <w:szCs w:val="21"/>
        </w:rPr>
        <w:t>成交供应商在开展检测工作时，必须配备专职安全员，建立健全安全制度，项目负责人必须到现场巡查和监管，做好工作人员的安全措施，确保现场、员工和第三者的安全。</w:t>
      </w:r>
    </w:p>
    <w:p w14:paraId="36004823">
      <w:pPr>
        <w:numPr>
          <w:ilvl w:val="8"/>
          <w:numId w:val="0"/>
        </w:numPr>
        <w:snapToGrid w:val="0"/>
        <w:spacing w:line="460" w:lineRule="exact"/>
        <w:ind w:firstLine="420" w:firstLineChars="200"/>
        <w:rPr>
          <w:rFonts w:ascii="宋体"/>
          <w:szCs w:val="21"/>
        </w:rPr>
      </w:pPr>
      <w:r>
        <w:rPr>
          <w:rFonts w:hint="eastAsia" w:ascii="宋体" w:hAnsiTheme="minorHAnsi" w:eastAsiaTheme="minorEastAsia" w:cstheme="minorBidi"/>
          <w:kern w:val="2"/>
          <w:sz w:val="21"/>
          <w:szCs w:val="21"/>
          <w:lang w:val="en-US" w:eastAsia="zh-CN" w:bidi="ar-SA"/>
        </w:rPr>
        <w:t>（3）</w:t>
      </w:r>
      <w:r>
        <w:rPr>
          <w:rFonts w:hint="eastAsia" w:ascii="宋体"/>
          <w:szCs w:val="21"/>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14:paraId="3B7B27D3">
      <w:pPr>
        <w:numPr>
          <w:ilvl w:val="8"/>
          <w:numId w:val="0"/>
        </w:numPr>
        <w:snapToGrid w:val="0"/>
        <w:spacing w:line="460" w:lineRule="exact"/>
        <w:ind w:firstLine="420" w:firstLineChars="200"/>
        <w:rPr>
          <w:rFonts w:ascii="宋体"/>
          <w:szCs w:val="21"/>
        </w:rPr>
      </w:pPr>
      <w:r>
        <w:rPr>
          <w:rFonts w:hint="eastAsia" w:ascii="宋体" w:hAnsiTheme="minorHAnsi" w:eastAsiaTheme="minorEastAsia" w:cstheme="minorBidi"/>
          <w:kern w:val="2"/>
          <w:sz w:val="21"/>
          <w:szCs w:val="21"/>
          <w:lang w:val="en-US" w:eastAsia="zh-CN" w:bidi="ar-SA"/>
        </w:rPr>
        <w:t>（4）</w:t>
      </w:r>
      <w:r>
        <w:rPr>
          <w:rFonts w:hint="eastAsia" w:ascii="宋体"/>
          <w:szCs w:val="21"/>
        </w:rPr>
        <w:t>本项目涉及的保密数据和资料包括检测资料、测量控制资料、地形图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14:paraId="0BF122FA">
      <w:pPr>
        <w:numPr>
          <w:ilvl w:val="0"/>
          <w:numId w:val="0"/>
        </w:numPr>
        <w:spacing w:line="460" w:lineRule="exact"/>
        <w:ind w:firstLine="211" w:firstLineChars="100"/>
        <w:rPr>
          <w:rFonts w:hint="eastAsia" w:ascii="宋体" w:hAnsi="宋体" w:cs="宋体"/>
          <w:b/>
          <w:bCs/>
        </w:rPr>
      </w:pPr>
      <w:r>
        <w:rPr>
          <w:rFonts w:hint="eastAsia" w:ascii="宋体" w:hAnsi="宋体" w:cs="宋体"/>
          <w:b/>
          <w:bCs/>
          <w:lang w:val="en-US" w:eastAsia="zh-CN"/>
        </w:rPr>
        <w:t>4、</w:t>
      </w:r>
      <w:r>
        <w:rPr>
          <w:rFonts w:hint="eastAsia" w:ascii="宋体" w:hAnsi="宋体" w:cs="宋体"/>
          <w:b/>
          <w:bCs/>
        </w:rPr>
        <w:t>检测报告要求：</w:t>
      </w:r>
    </w:p>
    <w:p w14:paraId="0B9FF1E4">
      <w:pPr>
        <w:numPr>
          <w:ilvl w:val="0"/>
          <w:numId w:val="0"/>
        </w:numPr>
        <w:snapToGrid w:val="0"/>
        <w:spacing w:line="460" w:lineRule="exact"/>
        <w:ind w:firstLine="420" w:firstLineChars="200"/>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按要求完成对检测范围内的消防系统检查测试后，应根据检测结果如实提交《自动消防系统检测报告》给采购人，提供一式</w:t>
      </w:r>
      <w:r>
        <w:rPr>
          <w:rFonts w:hint="eastAsia" w:ascii="宋体" w:hAnsi="宋体"/>
          <w:color w:val="000000"/>
          <w:szCs w:val="21"/>
          <w:lang w:val="en-US" w:eastAsia="zh-CN"/>
        </w:rPr>
        <w:t>叁</w:t>
      </w:r>
      <w:r>
        <w:rPr>
          <w:rFonts w:hint="eastAsia" w:ascii="宋体" w:hAnsi="宋体"/>
          <w:color w:val="000000"/>
          <w:szCs w:val="21"/>
        </w:rPr>
        <w:t>份检测报告。</w:t>
      </w:r>
    </w:p>
    <w:p w14:paraId="4C63B6A7">
      <w:pPr>
        <w:numPr>
          <w:ilvl w:val="0"/>
          <w:numId w:val="0"/>
        </w:numPr>
        <w:snapToGrid w:val="0"/>
        <w:spacing w:line="460" w:lineRule="exact"/>
        <w:ind w:firstLine="420" w:firstLineChars="200"/>
        <w:rPr>
          <w:rFonts w:ascii="宋体" w:hAnsi="宋体"/>
          <w:color w:val="000000"/>
          <w:szCs w:val="21"/>
          <w:highlight w:val="none"/>
        </w:rPr>
      </w:pPr>
      <w:r>
        <w:rPr>
          <w:rFonts w:hint="eastAsia" w:ascii="宋体"/>
          <w:szCs w:val="21"/>
          <w:highlight w:val="none"/>
          <w:lang w:eastAsia="zh-CN"/>
        </w:rPr>
        <w:t>（</w:t>
      </w:r>
      <w:r>
        <w:rPr>
          <w:rFonts w:hint="eastAsia" w:ascii="宋体"/>
          <w:szCs w:val="21"/>
          <w:highlight w:val="none"/>
          <w:lang w:val="en-US" w:eastAsia="zh-CN"/>
        </w:rPr>
        <w:t>2</w:t>
      </w:r>
      <w:r>
        <w:rPr>
          <w:rFonts w:hint="eastAsia" w:ascii="宋体"/>
          <w:szCs w:val="21"/>
          <w:highlight w:val="none"/>
          <w:lang w:eastAsia="zh-CN"/>
        </w:rPr>
        <w:t>）</w:t>
      </w:r>
      <w:r>
        <w:rPr>
          <w:rFonts w:hint="eastAsia" w:ascii="宋体"/>
          <w:szCs w:val="21"/>
          <w:highlight w:val="none"/>
        </w:rPr>
        <w:t>如按要求</w:t>
      </w:r>
      <w:r>
        <w:rPr>
          <w:rFonts w:hint="eastAsia" w:ascii="宋体" w:hAnsi="宋体"/>
          <w:color w:val="000000"/>
          <w:szCs w:val="21"/>
          <w:highlight w:val="none"/>
        </w:rPr>
        <w:t>完成对检测范围内的</w:t>
      </w:r>
      <w:r>
        <w:rPr>
          <w:rFonts w:hint="eastAsia" w:ascii="宋体" w:hAnsi="宋体"/>
          <w:color w:val="000000"/>
          <w:szCs w:val="21"/>
          <w:highlight w:val="none"/>
          <w:lang w:val="en-US" w:eastAsia="zh-CN"/>
        </w:rPr>
        <w:t>消防系统</w:t>
      </w:r>
      <w:r>
        <w:rPr>
          <w:rFonts w:hint="eastAsia" w:ascii="宋体" w:hAnsi="宋体"/>
          <w:color w:val="000000"/>
          <w:szCs w:val="21"/>
          <w:highlight w:val="none"/>
        </w:rPr>
        <w:t>检查测试后，所检测的结果为不合格，应如实提交《整改意见书》给采购人。</w:t>
      </w:r>
      <w:r>
        <w:rPr>
          <w:rFonts w:hint="eastAsia" w:ascii="宋体" w:hAnsi="宋体"/>
          <w:color w:val="000000"/>
          <w:szCs w:val="21"/>
          <w:highlight w:val="none"/>
          <w:lang w:val="en-US" w:eastAsia="zh-CN"/>
        </w:rPr>
        <w:t>采购人整改完毕后，由成交供应商再次进行复测，自进场后</w:t>
      </w:r>
      <w:r>
        <w:rPr>
          <w:rFonts w:hint="eastAsia" w:ascii="宋体" w:hAnsi="宋体"/>
          <w:color w:val="000000"/>
          <w:szCs w:val="21"/>
          <w:highlight w:val="none"/>
          <w:u w:val="single"/>
          <w:lang w:val="en-US" w:eastAsia="zh-CN"/>
        </w:rPr>
        <w:t>5</w:t>
      </w:r>
      <w:r>
        <w:rPr>
          <w:rFonts w:hint="eastAsia" w:ascii="宋体" w:hAnsi="宋体"/>
          <w:color w:val="000000"/>
          <w:szCs w:val="21"/>
          <w:highlight w:val="none"/>
          <w:lang w:val="en-US" w:eastAsia="zh-CN"/>
        </w:rPr>
        <w:t>个日历天内完成复测并出具合格检测报告一式叁份。</w:t>
      </w:r>
    </w:p>
    <w:p w14:paraId="6D1A7E10">
      <w:pPr>
        <w:numPr>
          <w:ilvl w:val="0"/>
          <w:numId w:val="0"/>
        </w:numPr>
        <w:snapToGrid w:val="0"/>
        <w:spacing w:line="460" w:lineRule="exact"/>
        <w:ind w:firstLine="420" w:firstLineChars="200"/>
        <w:rPr>
          <w:rFonts w:ascii="宋体" w:hAnsi="宋体"/>
          <w:color w:val="000000"/>
          <w:szCs w:val="21"/>
        </w:rPr>
      </w:pPr>
      <w:r>
        <w:rPr>
          <w:rFonts w:hint="eastAsia" w:ascii="宋体"/>
          <w:szCs w:val="21"/>
          <w:lang w:eastAsia="zh-CN"/>
        </w:rPr>
        <w:t>（</w:t>
      </w:r>
      <w:r>
        <w:rPr>
          <w:rFonts w:hint="eastAsia" w:ascii="宋体"/>
          <w:szCs w:val="21"/>
          <w:lang w:val="en-US" w:eastAsia="zh-CN"/>
        </w:rPr>
        <w:t>3</w:t>
      </w:r>
      <w:r>
        <w:rPr>
          <w:rFonts w:hint="eastAsia" w:ascii="宋体"/>
          <w:szCs w:val="21"/>
          <w:lang w:eastAsia="zh-CN"/>
        </w:rPr>
        <w:t>）</w:t>
      </w:r>
      <w:r>
        <w:rPr>
          <w:rFonts w:hint="eastAsia" w:ascii="宋体"/>
          <w:szCs w:val="21"/>
        </w:rPr>
        <w:t>成交供应商</w:t>
      </w:r>
      <w:r>
        <w:rPr>
          <w:rFonts w:hint="eastAsia" w:ascii="宋体" w:hAnsi="宋体"/>
          <w:color w:val="000000"/>
          <w:szCs w:val="21"/>
        </w:rPr>
        <w:t>出具给采购人的《自动消防系统检测报告》必须加盖</w:t>
      </w:r>
      <w:r>
        <w:rPr>
          <w:rFonts w:hint="eastAsia" w:ascii="宋体"/>
          <w:szCs w:val="21"/>
        </w:rPr>
        <w:t>成交供应商</w:t>
      </w:r>
      <w:r>
        <w:rPr>
          <w:rFonts w:hint="eastAsia" w:ascii="宋体" w:hAnsi="宋体"/>
          <w:color w:val="000000"/>
          <w:szCs w:val="21"/>
        </w:rPr>
        <w:t>公章，不得使用</w:t>
      </w:r>
      <w:r>
        <w:rPr>
          <w:rFonts w:hint="eastAsia" w:ascii="宋体"/>
          <w:szCs w:val="21"/>
        </w:rPr>
        <w:t>成交供应商</w:t>
      </w:r>
      <w:r>
        <w:rPr>
          <w:rFonts w:hint="eastAsia" w:ascii="宋体" w:hAnsi="宋体"/>
          <w:color w:val="000000"/>
          <w:szCs w:val="21"/>
        </w:rPr>
        <w:t>“分公司”、“办事处”、“代理点”、“业务章”、“合同章”等章代替</w:t>
      </w:r>
      <w:r>
        <w:rPr>
          <w:rFonts w:hint="eastAsia" w:ascii="宋体"/>
          <w:szCs w:val="21"/>
        </w:rPr>
        <w:t>成交供应商</w:t>
      </w:r>
      <w:r>
        <w:rPr>
          <w:rFonts w:hint="eastAsia" w:ascii="宋体" w:hAnsi="宋体"/>
          <w:color w:val="000000"/>
          <w:szCs w:val="21"/>
        </w:rPr>
        <w:t>的“公章”， “公章”必须与</w:t>
      </w:r>
      <w:r>
        <w:rPr>
          <w:rFonts w:hint="eastAsia" w:ascii="宋体"/>
          <w:szCs w:val="21"/>
        </w:rPr>
        <w:t>成交供应商</w:t>
      </w:r>
      <w:r>
        <w:rPr>
          <w:rFonts w:hint="eastAsia" w:ascii="宋体" w:hAnsi="宋体"/>
          <w:szCs w:val="21"/>
        </w:rPr>
        <w:t>名称</w:t>
      </w:r>
      <w:r>
        <w:rPr>
          <w:rFonts w:hint="eastAsia" w:ascii="宋体" w:hAnsi="宋体"/>
          <w:color w:val="000000"/>
          <w:szCs w:val="21"/>
        </w:rPr>
        <w:t>一致。</w:t>
      </w:r>
    </w:p>
    <w:p w14:paraId="37A82B11">
      <w:pPr>
        <w:pStyle w:val="15"/>
        <w:numPr>
          <w:ilvl w:val="0"/>
          <w:numId w:val="0"/>
        </w:numPr>
        <w:snapToGrid w:val="0"/>
        <w:spacing w:line="360" w:lineRule="auto"/>
        <w:ind w:leftChars="0"/>
        <w:rPr>
          <w:rFonts w:hint="default" w:eastAsia="宋体"/>
          <w:color w:val="000000"/>
          <w:szCs w:val="21"/>
          <w:lang w:val="en-US" w:eastAsia="zh-CN"/>
        </w:rPr>
      </w:pPr>
      <w:r>
        <w:rPr>
          <w:rFonts w:hint="eastAsia" w:ascii="宋体" w:hAnsi="宋体"/>
          <w:b/>
          <w:color w:val="000000" w:themeColor="text1"/>
          <w:szCs w:val="21"/>
          <w:lang w:val="en-US" w:eastAsia="zh-CN"/>
          <w14:textFill>
            <w14:solidFill>
              <w14:schemeClr w14:val="tx1"/>
            </w14:solidFill>
          </w14:textFill>
        </w:rPr>
        <w:t>六、报价要求</w:t>
      </w:r>
    </w:p>
    <w:p w14:paraId="1353ADB3">
      <w:pPr>
        <w:spacing w:line="460" w:lineRule="exact"/>
        <w:ind w:firstLine="420" w:firstLineChars="200"/>
        <w:rPr>
          <w:rFonts w:hint="eastAsia"/>
          <w:color w:val="000000"/>
          <w:szCs w:val="21"/>
          <w:lang w:val="en-US" w:eastAsia="zh-CN"/>
        </w:rPr>
      </w:pPr>
      <w:r>
        <w:rPr>
          <w:rFonts w:hint="eastAsia"/>
          <w:color w:val="000000"/>
          <w:szCs w:val="21"/>
          <w:lang w:val="en-US" w:eastAsia="zh-CN"/>
        </w:rPr>
        <w:t>1、</w:t>
      </w:r>
      <w:r>
        <w:rPr>
          <w:rFonts w:hint="eastAsia"/>
          <w:color w:val="000000"/>
          <w:szCs w:val="21"/>
        </w:rPr>
        <w:t>报价应包含本项目所需的一切费用，包括（但不限于）：工作人员工资、食宿、福利、服装、通信工具、社保、医疗、</w:t>
      </w:r>
      <w:r>
        <w:rPr>
          <w:rFonts w:hint="eastAsia"/>
          <w:bCs/>
          <w:color w:val="000000"/>
          <w:szCs w:val="21"/>
          <w:lang w:val="en-GB"/>
        </w:rPr>
        <w:t>运输、检测、报告编制、送审、报告输出、数据库录入、数据汇总、总结编写</w:t>
      </w:r>
      <w:r>
        <w:rPr>
          <w:rFonts w:hint="eastAsia"/>
          <w:color w:val="000000"/>
          <w:szCs w:val="21"/>
        </w:rPr>
        <w:t>及完成该项目所须工具、可预料的风险和措施、税费等所有费用</w:t>
      </w:r>
      <w:r>
        <w:rPr>
          <w:rFonts w:hint="eastAsia"/>
          <w:color w:val="000000"/>
          <w:szCs w:val="21"/>
          <w:lang w:eastAsia="zh-CN"/>
        </w:rPr>
        <w:t>，</w:t>
      </w:r>
      <w:r>
        <w:rPr>
          <w:rFonts w:hint="eastAsia"/>
          <w:color w:val="000000"/>
          <w:szCs w:val="21"/>
          <w:lang w:val="en-US" w:eastAsia="zh-CN"/>
        </w:rPr>
        <w:t>采购人不再另行支付。</w:t>
      </w:r>
    </w:p>
    <w:p w14:paraId="1567D2D6">
      <w:pPr>
        <w:pStyle w:val="2"/>
        <w:ind w:left="0" w:leftChars="0" w:firstLine="420" w:firstLineChars="200"/>
        <w:rPr>
          <w:rFonts w:hint="default"/>
          <w:lang w:val="en-US"/>
        </w:rPr>
      </w:pPr>
      <w:r>
        <w:rPr>
          <w:rFonts w:hint="eastAsia" w:asciiTheme="minorHAnsi" w:hAnsiTheme="minorHAnsi" w:eastAsiaTheme="minorEastAsia" w:cstheme="minorBidi"/>
          <w:color w:val="000000"/>
          <w:kern w:val="2"/>
          <w:sz w:val="21"/>
          <w:szCs w:val="21"/>
          <w:lang w:val="en-US" w:eastAsia="zh-CN" w:bidi="ar-SA"/>
        </w:rPr>
        <w:t>2、检测及评估费结算：固定总价合同，按总价包干的方</w:t>
      </w:r>
      <w:r>
        <w:rPr>
          <w:rFonts w:hint="eastAsia" w:ascii="宋体" w:hAnsi="宋体" w:cs="宋体"/>
          <w:spacing w:val="5"/>
          <w:sz w:val="21"/>
          <w:szCs w:val="21"/>
          <w:lang w:val="en-US" w:eastAsia="zh-CN"/>
        </w:rPr>
        <w:t>式进行结算</w:t>
      </w:r>
    </w:p>
    <w:p w14:paraId="72B4389F">
      <w:pPr>
        <w:pStyle w:val="15"/>
        <w:numPr>
          <w:ilvl w:val="0"/>
          <w:numId w:val="0"/>
        </w:numPr>
        <w:snapToGrid w:val="0"/>
        <w:spacing w:line="360" w:lineRule="auto"/>
        <w:ind w:left="450" w:leftChars="0" w:hanging="450" w:firstLineChars="0"/>
        <w:rPr>
          <w:rFonts w:ascii="宋体" w:hAnsi="宋体"/>
          <w:b/>
          <w:color w:val="auto"/>
          <w:szCs w:val="21"/>
        </w:rPr>
      </w:pPr>
      <w:r>
        <w:rPr>
          <w:rFonts w:hint="eastAsia" w:ascii="宋体" w:hAnsi="宋体" w:cs="Times New Roman"/>
          <w:b/>
          <w:color w:val="auto"/>
          <w:kern w:val="2"/>
          <w:sz w:val="21"/>
          <w:szCs w:val="21"/>
          <w:lang w:val="en-US" w:eastAsia="zh-CN" w:bidi="ar-SA"/>
        </w:rPr>
        <w:t>七</w:t>
      </w:r>
      <w:r>
        <w:rPr>
          <w:rFonts w:hint="default" w:ascii="宋体" w:hAnsi="宋体" w:eastAsia="宋体" w:cs="Times New Roman"/>
          <w:b/>
          <w:color w:val="auto"/>
          <w:kern w:val="2"/>
          <w:sz w:val="21"/>
          <w:szCs w:val="21"/>
          <w:lang w:val="en-US" w:eastAsia="zh-CN" w:bidi="ar-SA"/>
        </w:rPr>
        <w:t>、</w:t>
      </w:r>
      <w:r>
        <w:rPr>
          <w:rFonts w:hint="eastAsia" w:ascii="宋体" w:hAnsi="宋体"/>
          <w:b/>
          <w:color w:val="auto"/>
          <w:szCs w:val="21"/>
        </w:rPr>
        <w:t>服务时间</w:t>
      </w:r>
    </w:p>
    <w:p w14:paraId="545EE4E1">
      <w:pPr>
        <w:snapToGrid w:val="0"/>
        <w:spacing w:line="360" w:lineRule="auto"/>
        <w:ind w:firstLine="420" w:firstLineChars="200"/>
        <w:rPr>
          <w:rFonts w:ascii="宋体" w:hAnsi="宋体"/>
          <w:color w:val="auto"/>
        </w:rPr>
      </w:pPr>
      <w:r>
        <w:rPr>
          <w:rFonts w:hint="eastAsia" w:ascii="宋体" w:hAnsi="宋体"/>
          <w:color w:val="auto"/>
        </w:rPr>
        <w:t>成交供应商必</w:t>
      </w:r>
      <w:r>
        <w:rPr>
          <w:rFonts w:hint="eastAsia" w:ascii="宋体" w:hAnsi="宋体" w:eastAsia="宋体" w:cs="Times New Roman"/>
          <w:color w:val="auto"/>
        </w:rPr>
        <w:t>须在合同签订之日起</w:t>
      </w:r>
      <w:r>
        <w:rPr>
          <w:rFonts w:hint="eastAsia" w:ascii="宋体" w:hAnsi="宋体" w:eastAsia="宋体"/>
          <w:color w:val="auto"/>
          <w:u w:val="single"/>
          <w:lang w:val="en-US" w:eastAsia="zh-CN"/>
        </w:rPr>
        <w:t>60</w:t>
      </w:r>
      <w:r>
        <w:rPr>
          <w:rFonts w:hint="eastAsia" w:ascii="宋体" w:hAnsi="宋体"/>
          <w:color w:val="auto"/>
        </w:rPr>
        <w:t>个日历天内</w:t>
      </w:r>
      <w:r>
        <w:rPr>
          <w:rFonts w:hint="eastAsia" w:ascii="宋体" w:hAnsi="宋体" w:eastAsia="宋体" w:cs="Times New Roman"/>
          <w:color w:val="auto"/>
        </w:rPr>
        <w:t>完成</w:t>
      </w:r>
      <w:r>
        <w:rPr>
          <w:rFonts w:hint="eastAsia" w:ascii="宋体" w:hAnsi="宋体" w:eastAsia="宋体"/>
          <w:color w:val="auto"/>
          <w:lang w:val="en-US" w:eastAsia="zh-CN"/>
        </w:rPr>
        <w:t>服务</w:t>
      </w:r>
      <w:r>
        <w:rPr>
          <w:rFonts w:hint="eastAsia" w:ascii="宋体" w:hAnsi="宋体"/>
          <w:color w:val="auto"/>
          <w:lang w:val="en-US" w:eastAsia="zh-CN"/>
        </w:rPr>
        <w:t>工作</w:t>
      </w:r>
      <w:r>
        <w:rPr>
          <w:rFonts w:hint="eastAsia" w:ascii="宋体" w:hAnsi="宋体"/>
          <w:color w:val="auto"/>
        </w:rPr>
        <w:t>并出具符合相关法律法规要求的</w:t>
      </w:r>
      <w:r>
        <w:rPr>
          <w:rFonts w:hint="eastAsia" w:ascii="宋体" w:hAnsi="宋体"/>
          <w:color w:val="auto"/>
          <w:lang w:val="en-US" w:eastAsia="zh-CN"/>
        </w:rPr>
        <w:t>合格报告</w:t>
      </w:r>
      <w:r>
        <w:rPr>
          <w:rFonts w:hint="eastAsia" w:ascii="宋体" w:hAnsi="宋体"/>
          <w:color w:val="auto"/>
          <w:lang w:eastAsia="zh-CN"/>
        </w:rPr>
        <w:t>，</w:t>
      </w:r>
      <w:r>
        <w:rPr>
          <w:rFonts w:hint="eastAsia" w:ascii="宋体" w:hAnsi="宋体"/>
          <w:color w:val="auto"/>
        </w:rPr>
        <w:t>不得无故拖延，否则，采购人有权另请第三方进行评估</w:t>
      </w:r>
      <w:r>
        <w:rPr>
          <w:rFonts w:hint="eastAsia" w:ascii="宋体" w:hAnsi="宋体"/>
          <w:color w:val="auto"/>
          <w:lang w:eastAsia="zh-CN"/>
        </w:rPr>
        <w:t>、</w:t>
      </w:r>
      <w:r>
        <w:rPr>
          <w:rFonts w:hint="eastAsia" w:ascii="宋体" w:hAnsi="宋体"/>
          <w:color w:val="auto"/>
          <w:lang w:val="en-US" w:eastAsia="zh-CN"/>
        </w:rPr>
        <w:t>检测</w:t>
      </w:r>
      <w:r>
        <w:rPr>
          <w:rFonts w:hint="eastAsia" w:ascii="宋体" w:hAnsi="宋体"/>
          <w:color w:val="auto"/>
        </w:rPr>
        <w:t>，所产生的费用及一切经济损失由供应商</w:t>
      </w:r>
      <w:r>
        <w:rPr>
          <w:rFonts w:hint="eastAsia" w:ascii="宋体" w:hAnsi="宋体" w:eastAsia="宋体" w:cs="Times New Roman"/>
          <w:color w:val="auto"/>
        </w:rPr>
        <w:t>承担。</w:t>
      </w:r>
    </w:p>
    <w:p w14:paraId="4B264034">
      <w:pPr>
        <w:tabs>
          <w:tab w:val="left" w:pos="900"/>
        </w:tabs>
        <w:autoSpaceDE w:val="0"/>
        <w:autoSpaceDN w:val="0"/>
        <w:adjustRightInd w:val="0"/>
        <w:snapToGrid w:val="0"/>
        <w:spacing w:line="360" w:lineRule="auto"/>
        <w:rPr>
          <w:rFonts w:ascii="宋体" w:hAnsi="宋体"/>
          <w:b/>
          <w:color w:val="auto"/>
          <w:szCs w:val="21"/>
        </w:rPr>
      </w:pPr>
      <w:r>
        <w:rPr>
          <w:rFonts w:hint="eastAsia" w:ascii="宋体" w:hAnsi="宋体"/>
          <w:b/>
          <w:color w:val="auto"/>
          <w:szCs w:val="21"/>
          <w:lang w:val="en-US" w:eastAsia="zh-CN"/>
        </w:rPr>
        <w:t>八</w:t>
      </w:r>
      <w:r>
        <w:rPr>
          <w:rFonts w:hint="eastAsia" w:ascii="宋体" w:hAnsi="宋体"/>
          <w:b/>
          <w:color w:val="auto"/>
          <w:szCs w:val="21"/>
        </w:rPr>
        <w:t>、付款方法</w:t>
      </w:r>
    </w:p>
    <w:p w14:paraId="1C6A2314">
      <w:pPr>
        <w:snapToGrid w:val="0"/>
        <w:spacing w:line="360" w:lineRule="auto"/>
        <w:ind w:firstLine="420" w:firstLineChars="200"/>
        <w:rPr>
          <w:rFonts w:hint="eastAsia" w:ascii="宋体" w:hAnsi="宋体"/>
          <w:color w:val="auto"/>
        </w:rPr>
      </w:pPr>
      <w:r>
        <w:rPr>
          <w:rFonts w:hint="eastAsia" w:ascii="宋体" w:hAnsi="宋体"/>
          <w:color w:val="auto"/>
          <w:lang w:val="en-US" w:eastAsia="zh-CN"/>
        </w:rPr>
        <w:t>1、</w:t>
      </w:r>
      <w:r>
        <w:rPr>
          <w:rFonts w:hint="eastAsia" w:ascii="宋体" w:hAnsi="宋体"/>
          <w:color w:val="auto"/>
        </w:rPr>
        <w:t>成交供应商</w:t>
      </w:r>
      <w:r>
        <w:rPr>
          <w:rFonts w:hint="eastAsia" w:ascii="宋体" w:hAnsi="宋体" w:eastAsia="宋体" w:cs="Times New Roman"/>
          <w:color w:val="auto"/>
        </w:rPr>
        <w:t>完成</w:t>
      </w:r>
      <w:r>
        <w:rPr>
          <w:rFonts w:hint="eastAsia" w:ascii="宋体" w:hAnsi="宋体"/>
          <w:color w:val="auto"/>
        </w:rPr>
        <w:t>服务</w:t>
      </w:r>
      <w:r>
        <w:rPr>
          <w:rFonts w:hint="eastAsia" w:ascii="宋体" w:hAnsi="宋体" w:eastAsia="宋体" w:cs="Times New Roman"/>
          <w:color w:val="auto"/>
        </w:rPr>
        <w:t>工作并提交</w:t>
      </w:r>
      <w:r>
        <w:rPr>
          <w:rFonts w:hint="eastAsia" w:ascii="宋体" w:hAnsi="宋体"/>
          <w:color w:val="auto"/>
        </w:rPr>
        <w:t>评估</w:t>
      </w:r>
      <w:r>
        <w:rPr>
          <w:rFonts w:hint="eastAsia" w:ascii="宋体" w:hAnsi="宋体" w:eastAsia="宋体" w:cs="Times New Roman"/>
          <w:color w:val="auto"/>
        </w:rPr>
        <w:t>报告</w:t>
      </w:r>
      <w:r>
        <w:rPr>
          <w:rFonts w:hint="eastAsia" w:ascii="宋体" w:hAnsi="宋体"/>
          <w:color w:val="auto"/>
        </w:rPr>
        <w:t>，</w:t>
      </w:r>
      <w:r>
        <w:rPr>
          <w:rFonts w:hint="eastAsia" w:ascii="宋体" w:hAnsi="宋体" w:eastAsia="宋体" w:cs="Times New Roman"/>
          <w:color w:val="auto"/>
        </w:rPr>
        <w:t>并经</w:t>
      </w:r>
      <w:r>
        <w:rPr>
          <w:rFonts w:hint="eastAsia" w:ascii="宋体" w:hAnsi="宋体"/>
          <w:color w:val="auto"/>
        </w:rPr>
        <w:t>采购人</w:t>
      </w:r>
      <w:r>
        <w:rPr>
          <w:rFonts w:hint="eastAsia" w:ascii="宋体" w:hAnsi="宋体" w:eastAsia="宋体" w:cs="Times New Roman"/>
          <w:color w:val="auto"/>
        </w:rPr>
        <w:t>确认符合标准后，</w:t>
      </w:r>
      <w:r>
        <w:rPr>
          <w:rFonts w:hint="eastAsia" w:ascii="宋体" w:hAnsi="宋体"/>
          <w:color w:val="auto"/>
        </w:rPr>
        <w:t>成交供应商</w:t>
      </w:r>
      <w:r>
        <w:rPr>
          <w:rFonts w:hint="eastAsia" w:ascii="宋体" w:hAnsi="宋体" w:eastAsia="宋体" w:cs="Times New Roman"/>
          <w:color w:val="auto"/>
        </w:rPr>
        <w:t>开具合同金额的</w:t>
      </w:r>
      <w:r>
        <w:rPr>
          <w:rFonts w:hint="eastAsia" w:ascii="宋体" w:hAnsi="宋体" w:eastAsia="宋体" w:cs="Times New Roman"/>
          <w:color w:val="auto"/>
          <w:lang w:val="en-US" w:eastAsia="zh-CN"/>
        </w:rPr>
        <w:t>全额</w:t>
      </w:r>
      <w:r>
        <w:rPr>
          <w:rFonts w:hint="eastAsia" w:ascii="宋体" w:hAnsi="宋体" w:eastAsia="宋体" w:cs="Times New Roman"/>
          <w:color w:val="auto"/>
        </w:rPr>
        <w:t>有效普通发票（含税），</w:t>
      </w:r>
      <w:r>
        <w:rPr>
          <w:rFonts w:hint="eastAsia" w:ascii="宋体" w:hAnsi="宋体"/>
          <w:color w:val="auto"/>
        </w:rPr>
        <w:t>采购人</w:t>
      </w:r>
      <w:r>
        <w:rPr>
          <w:rFonts w:hint="eastAsia" w:ascii="宋体" w:hAnsi="宋体" w:eastAsia="宋体" w:cs="Times New Roman"/>
          <w:color w:val="auto"/>
        </w:rPr>
        <w:t>收到发票后办理结算审定手续，一个月内</w:t>
      </w:r>
      <w:r>
        <w:rPr>
          <w:rFonts w:hint="eastAsia" w:ascii="宋体" w:hAnsi="宋体"/>
          <w:color w:val="auto"/>
        </w:rPr>
        <w:t>向成交供应商支付合同款项。</w:t>
      </w:r>
    </w:p>
    <w:p w14:paraId="0D6C59D6">
      <w:pPr>
        <w:snapToGrid w:val="0"/>
        <w:spacing w:line="360" w:lineRule="auto"/>
        <w:ind w:firstLine="420" w:firstLineChars="200"/>
        <w:rPr>
          <w:rFonts w:ascii="宋体" w:hAnsi="宋体"/>
          <w:color w:val="auto"/>
        </w:rPr>
      </w:pPr>
      <w:r>
        <w:rPr>
          <w:rFonts w:hint="eastAsia" w:ascii="宋体" w:hAnsi="宋体"/>
          <w:color w:val="auto"/>
          <w:lang w:val="en-US" w:eastAsia="zh-CN"/>
        </w:rPr>
        <w:t>2、成交供应商须开具与响应文件中报价人单位名称、响应报价一致的发票。</w:t>
      </w:r>
    </w:p>
    <w:p w14:paraId="31B4BAE8">
      <w:pPr>
        <w:tabs>
          <w:tab w:val="left" w:pos="900"/>
        </w:tabs>
        <w:autoSpaceDE w:val="0"/>
        <w:autoSpaceDN w:val="0"/>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九、</w:t>
      </w:r>
      <w:r>
        <w:rPr>
          <w:rFonts w:hint="eastAsia" w:ascii="宋体" w:hAnsi="宋体"/>
          <w:b/>
          <w:color w:val="000000" w:themeColor="text1"/>
          <w14:textFill>
            <w14:solidFill>
              <w14:schemeClr w14:val="tx1"/>
            </w14:solidFill>
          </w14:textFill>
        </w:rPr>
        <w:t>违约责任</w:t>
      </w:r>
    </w:p>
    <w:p w14:paraId="5FF9C7E3">
      <w:pPr>
        <w:pStyle w:val="3"/>
        <w:tabs>
          <w:tab w:val="left" w:pos="848"/>
        </w:tabs>
        <w:topLinePunct/>
        <w:adjustRightInd w:val="0"/>
        <w:spacing w:line="360" w:lineRule="auto"/>
        <w:ind w:left="0" w:firstLine="420" w:firstLineChars="200"/>
        <w:rPr>
          <w:rFonts w:ascii="宋体" w:hAnsi="宋体" w:eastAsiaTheme="minorEastAsia" w:cstheme="minorBidi"/>
          <w:color w:val="000000" w:themeColor="text1"/>
          <w:sz w:val="21"/>
          <w14:textFill>
            <w14:solidFill>
              <w14:schemeClr w14:val="tx1"/>
            </w14:solidFill>
          </w14:textFill>
        </w:rPr>
      </w:pPr>
      <w:r>
        <w:rPr>
          <w:rFonts w:hint="eastAsia" w:ascii="宋体" w:hAnsi="宋体" w:eastAsiaTheme="minorEastAsia" w:cstheme="minorBidi"/>
          <w:color w:val="000000" w:themeColor="text1"/>
          <w:sz w:val="21"/>
          <w14:textFill>
            <w14:solidFill>
              <w14:schemeClr w14:val="tx1"/>
            </w14:solidFill>
          </w14:textFill>
        </w:rPr>
        <w:t>1、如因成交供应商原因所导致的一切安全事故、责任和后果，由成交供应商承担一切责任，采购人保留追究成交供应商法律责任及赔偿的权利。</w:t>
      </w:r>
    </w:p>
    <w:p w14:paraId="056B3BA6">
      <w:pPr>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s="宋体"/>
          <w:bCs/>
          <w:szCs w:val="21"/>
        </w:rPr>
        <w:t>2、</w:t>
      </w:r>
      <w:r>
        <w:rPr>
          <w:rFonts w:hint="eastAsia" w:ascii="宋体" w:hAnsi="宋体" w:eastAsia="宋体" w:cs="Times New Roman"/>
          <w:color w:val="auto"/>
          <w:highlight w:val="none"/>
          <w:lang w:val="en-US" w:eastAsia="zh-CN"/>
        </w:rPr>
        <w:t>成交供应商未能按时提供服务的，每拖延一天，需向采购人支付合同总价的5‰违约金。如拖延七个自然日成交供应商仍未能履行的，采购人有权单方终止合同，并不承担任何责任。且成交供应商应向采购人支付合同总价10%的惩罚性违约金，造成采购人损失的，成交供应商应向采购人承担赔偿责任。</w:t>
      </w:r>
    </w:p>
    <w:p w14:paraId="4CE0256B">
      <w:pPr>
        <w:pStyle w:val="7"/>
        <w:tabs>
          <w:tab w:val="left" w:pos="540"/>
        </w:tabs>
        <w:adjustRightInd w:val="0"/>
        <w:snapToGrid w:val="0"/>
        <w:spacing w:line="360" w:lineRule="auto"/>
        <w:ind w:firstLine="420" w:firstLineChars="200"/>
        <w:rPr>
          <w:rFonts w:hAnsi="宋体" w:cstheme="minorBidi"/>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3、对</w:t>
      </w:r>
      <w:r>
        <w:rPr>
          <w:rFonts w:hint="eastAsia" w:hAnsi="宋体" w:cstheme="minorBidi"/>
          <w:color w:val="000000" w:themeColor="text1"/>
          <w:sz w:val="21"/>
          <w14:textFill>
            <w14:solidFill>
              <w14:schemeClr w14:val="tx1"/>
            </w14:solidFill>
          </w14:textFill>
        </w:rPr>
        <w:t>成交供应商不按规定履行义务，在服务</w:t>
      </w:r>
      <w:r>
        <w:rPr>
          <w:rFonts w:hint="eastAsia" w:hAnsi="宋体"/>
          <w:color w:val="000000" w:themeColor="text1"/>
          <w:sz w:val="21"/>
          <w14:textFill>
            <w14:solidFill>
              <w14:schemeClr w14:val="tx1"/>
            </w14:solidFill>
          </w14:textFill>
        </w:rPr>
        <w:t>中弄虚作假或严重不负责任的，或转包、分包</w:t>
      </w:r>
      <w:r>
        <w:rPr>
          <w:rFonts w:hint="eastAsia" w:hAnsi="宋体" w:cstheme="minorBidi"/>
          <w:color w:val="000000" w:themeColor="text1"/>
          <w:sz w:val="21"/>
          <w14:textFill>
            <w14:solidFill>
              <w14:schemeClr w14:val="tx1"/>
            </w14:solidFill>
          </w14:textFill>
        </w:rPr>
        <w:t>本服务项目的，采购人有权</w:t>
      </w:r>
      <w:r>
        <w:rPr>
          <w:rFonts w:hint="eastAsia" w:hAnsi="宋体" w:cstheme="minorBidi"/>
          <w:color w:val="000000" w:themeColor="text1"/>
          <w:sz w:val="21"/>
          <w:lang w:val="en-US" w:eastAsia="zh-CN"/>
          <w14:textFill>
            <w14:solidFill>
              <w14:schemeClr w14:val="tx1"/>
            </w14:solidFill>
          </w14:textFill>
        </w:rPr>
        <w:t>单方</w:t>
      </w:r>
      <w:r>
        <w:rPr>
          <w:rFonts w:hint="eastAsia" w:hAnsi="宋体" w:cstheme="minorBidi"/>
          <w:color w:val="000000" w:themeColor="text1"/>
          <w:sz w:val="21"/>
          <w14:textFill>
            <w14:solidFill>
              <w14:schemeClr w14:val="tx1"/>
            </w14:solidFill>
          </w14:textFill>
        </w:rPr>
        <w:t>终止</w:t>
      </w:r>
      <w:r>
        <w:rPr>
          <w:rFonts w:hint="eastAsia" w:hAnsi="宋体"/>
          <w:color w:val="000000" w:themeColor="text1"/>
          <w:sz w:val="21"/>
          <w14:textFill>
            <w14:solidFill>
              <w14:schemeClr w14:val="tx1"/>
            </w14:solidFill>
          </w14:textFill>
        </w:rPr>
        <w:t>合同</w:t>
      </w:r>
      <w:r>
        <w:rPr>
          <w:rFonts w:hint="eastAsia" w:hAnsi="宋体" w:cstheme="minorBidi"/>
          <w:color w:val="000000" w:themeColor="text1"/>
          <w:sz w:val="21"/>
          <w14:textFill>
            <w14:solidFill>
              <w14:schemeClr w14:val="tx1"/>
            </w14:solidFill>
          </w14:textFill>
        </w:rPr>
        <w:t>。</w:t>
      </w:r>
    </w:p>
    <w:p w14:paraId="026A0C42">
      <w:pPr>
        <w:ind w:firstLine="420" w:firstLineChars="200"/>
        <w:jc w:val="both"/>
        <w:rPr>
          <w:rFonts w:hint="eastAsia" w:ascii="宋体" w:hAnsi="宋体" w:cs="宋体"/>
          <w:bCs/>
          <w:szCs w:val="21"/>
        </w:rPr>
      </w:pPr>
      <w:r>
        <w:rPr>
          <w:rFonts w:hint="eastAsia" w:ascii="宋体" w:hAnsi="宋体" w:cs="宋体"/>
          <w:bCs/>
          <w:szCs w:val="21"/>
        </w:rPr>
        <w:t>4、成交供应商无故放弃成交资格的，向采购人支付成交价的5%的违约金。</w:t>
      </w:r>
    </w:p>
    <w:p w14:paraId="7E26E58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5、</w:t>
      </w:r>
      <w:r>
        <w:rPr>
          <w:rFonts w:hint="eastAsia" w:ascii="宋体" w:hAnsi="宋体" w:cs="宋体"/>
          <w:bCs/>
          <w:szCs w:val="21"/>
        </w:rPr>
        <w:t>成交供应商</w:t>
      </w:r>
      <w:r>
        <w:rPr>
          <w:rFonts w:hint="eastAsia" w:ascii="宋体" w:hAnsi="宋体" w:eastAsia="宋体" w:cs="Times New Roman"/>
          <w:color w:val="auto"/>
          <w:highlight w:val="none"/>
          <w:lang w:val="en-US" w:eastAsia="zh-CN"/>
        </w:rPr>
        <w:t>给采购人造成的损失，采购人可采取必要的途径或方式追索，由此引起的费用由</w:t>
      </w:r>
      <w:r>
        <w:rPr>
          <w:rFonts w:hint="eastAsia" w:ascii="宋体" w:hAnsi="宋体" w:cs="宋体"/>
          <w:bCs/>
          <w:szCs w:val="21"/>
        </w:rPr>
        <w:t>成交供应商</w:t>
      </w:r>
      <w:r>
        <w:rPr>
          <w:rFonts w:hint="eastAsia" w:ascii="宋体" w:hAnsi="宋体" w:eastAsia="宋体" w:cs="Times New Roman"/>
          <w:color w:val="auto"/>
          <w:highlight w:val="none"/>
          <w:lang w:val="en-US" w:eastAsia="zh-CN"/>
        </w:rPr>
        <w:t>承担，包括但不仅限于律师费、查档费、鉴定费、公证费、交通费、诉</w:t>
      </w:r>
      <w:r>
        <w:rPr>
          <w:rFonts w:hint="eastAsia" w:ascii="宋体" w:hAnsi="宋体" w:cs="宋体"/>
          <w:bCs/>
          <w:szCs w:val="21"/>
          <w:lang w:val="en-US" w:eastAsia="zh-CN"/>
        </w:rPr>
        <w:t>讼费、财产保全责任保险费等。</w:t>
      </w:r>
    </w:p>
    <w:p w14:paraId="7847605A">
      <w:pPr>
        <w:spacing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6、在本合同履行期间，若成交供应商在参与本次采购活动或履行本合同过程中，存在违纪违法行为，且被具有法定职权的监察、司法或行政机关(包括但不限于纪委监委、公安机关、检察机关等)正式立案审查或调查的，采购人有权立即单方面终止本合同，并以书面形式通知成交供应商解除本合同。因前款情形导致本合同解除的，视为成交供应商严重违约。成交供应商应在收到采购人解除通知后五个工作日内，赔偿采购人因此遭受的全部直接及间接经济损失，包括但不限于:采购人为履行本合同己支付的费用、为寻找替代供应商或服务商所增加的额外成本、采购人对第三方承担的违约或赔偿责任，以及采购人为处理此事宜所支出的合理律师费、差旅费等。</w:t>
      </w:r>
    </w:p>
    <w:p w14:paraId="403D361A">
      <w:pPr>
        <w:spacing w:line="360" w:lineRule="auto"/>
        <w:ind w:firstLine="420" w:firstLineChars="200"/>
        <w:rPr>
          <w:rFonts w:hint="default" w:ascii="宋体" w:hAnsi="宋体" w:eastAsia="宋体" w:cs="Times New Roman"/>
          <w:color w:val="auto"/>
          <w:highlight w:val="none"/>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Times New Roman"/>
          <w:color w:val="auto"/>
          <w:highlight w:val="none"/>
          <w:lang w:val="en-US" w:eastAsia="zh-CN"/>
        </w:rPr>
        <w:t>其它违约责任按《中华人民共和国民法典》处理。</w:t>
      </w:r>
    </w:p>
    <w:p w14:paraId="6CFACDC2">
      <w:pPr>
        <w:ind w:firstLine="420" w:firstLineChars="200"/>
        <w:jc w:val="both"/>
        <w:rPr>
          <w:rFonts w:hint="eastAsia" w:ascii="宋体" w:hAnsi="宋体" w:cs="宋体" w:eastAsiaTheme="minorEastAsia"/>
          <w:bCs/>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Helvetica">
    <w:panose1 w:val="020B0504020202030204"/>
    <w:charset w:val="00"/>
    <w:family w:val="auto"/>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4439">
    <w:pPr>
      <w:pStyle w:val="8"/>
      <w:rPr>
        <w:rFonts w:hint="eastAsia" w:eastAsiaTheme="minorEastAsia"/>
        <w:sz w:val="21"/>
        <w:szCs w:val="21"/>
        <w:lang w:eastAsia="zh-CN"/>
      </w:rPr>
    </w:pPr>
    <w:r>
      <w:rPr>
        <w:sz w:val="21"/>
        <w:szCs w:val="21"/>
      </w:rPr>
      <mc:AlternateContent>
        <mc:Choice Requires="wps">
          <w:drawing>
            <wp:anchor distT="0" distB="0" distL="114300" distR="114300" simplePos="0" relativeHeight="251659264" behindDoc="0" locked="0" layoutInCell="1" allowOverlap="1">
              <wp:simplePos x="0" y="0"/>
              <wp:positionH relativeFrom="margin">
                <wp:posOffset>2125980</wp:posOffset>
              </wp:positionH>
              <wp:positionV relativeFrom="paragraph">
                <wp:posOffset>160020</wp:posOffset>
              </wp:positionV>
              <wp:extent cx="71501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F9BB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7.4pt;margin-top:12.6pt;height:10.35pt;width:56.3pt;mso-position-horizontal-relative:margin;mso-wrap-style:none;z-index:251659264;mso-width-relative:page;mso-height-relative:page;" filled="f" stroked="f" coordsize="21600,21600" o:gfxdata="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dLSuPlT9BUyhZWGrd5bHNFEqb1fHAGk7xaNAvSroVNxgDrueDW8mDvqf+y7q8T+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6uIng1wAAAAkBAAAPAAAAAAAAAAEAIAAAACIAAABkcnMvZG93bnJl&#10;di54bWxQSwECFAAUAAAACACHTuJAvXQbdjcCAABvBAAADgAAAAAAAAABACAAAAAmAQAAZHJzL2Uy&#10;b0RvYy54bWxQSwUGAAAAAAYABgBZAQAAzwUAAAAA&#10;">
              <v:fill on="f" focussize="0,0"/>
              <v:stroke on="f" weight="0.5pt"/>
              <v:imagedata o:title=""/>
              <o:lock v:ext="edit" aspectratio="f"/>
              <v:textbox inset="0mm,0mm,0mm,0mm" style="mso-fit-shape-to-text:t;">
                <w:txbxContent>
                  <w:p w14:paraId="37EF9BB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eastAsiaTheme="minorEastAsia"/>
        <w:sz w:val="21"/>
        <w:szCs w:val="21"/>
        <w:lang w:val="en-US" w:eastAsia="zh-CN"/>
      </w:rPr>
      <w:t xml:space="preserve">                              </w:t>
    </w:r>
  </w:p>
  <w:p w14:paraId="0929CDA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2QyNzg0NmI2MTg3NmFkNTJkNGJmNDk3ZmIxYmMifQ=="/>
  </w:docVars>
  <w:rsids>
    <w:rsidRoot w:val="6FAA40E6"/>
    <w:rsid w:val="04FB65BC"/>
    <w:rsid w:val="0D9C3851"/>
    <w:rsid w:val="0ED6058C"/>
    <w:rsid w:val="18E21051"/>
    <w:rsid w:val="21596C9B"/>
    <w:rsid w:val="22BD6971"/>
    <w:rsid w:val="234007DB"/>
    <w:rsid w:val="2A9211C9"/>
    <w:rsid w:val="2EFC1841"/>
    <w:rsid w:val="2F171E02"/>
    <w:rsid w:val="3E237F3F"/>
    <w:rsid w:val="3FF621A9"/>
    <w:rsid w:val="40FF07E3"/>
    <w:rsid w:val="435E4B9D"/>
    <w:rsid w:val="4AEA2D56"/>
    <w:rsid w:val="4C8A1103"/>
    <w:rsid w:val="55591DFE"/>
    <w:rsid w:val="5FB46F10"/>
    <w:rsid w:val="6A554E4C"/>
    <w:rsid w:val="6FAA40E6"/>
    <w:rsid w:val="728E4A55"/>
    <w:rsid w:val="73781348"/>
    <w:rsid w:val="7D53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after="120"/>
      <w:ind w:left="420" w:firstLine="420" w:firstLineChars="200"/>
    </w:pPr>
    <w:rPr>
      <w:rFonts w:ascii="Tahoma" w:hAnsi="Tahoma"/>
      <w:kern w:val="2"/>
      <w:szCs w:val="24"/>
    </w:rPr>
  </w:style>
  <w:style w:type="paragraph" w:styleId="3">
    <w:name w:val="Body Text Indent"/>
    <w:basedOn w:val="1"/>
    <w:qFormat/>
    <w:uiPriority w:val="0"/>
    <w:pPr>
      <w:spacing w:line="560" w:lineRule="exact"/>
      <w:ind w:left="300"/>
    </w:pPr>
    <w:rPr>
      <w:rFonts w:ascii="Times New Roman" w:hAnsi="Times New Roman" w:eastAsia="宋体" w:cs="Times New Roman"/>
      <w:sz w:val="24"/>
    </w:rPr>
  </w:style>
  <w:style w:type="paragraph" w:styleId="4">
    <w:name w:val="annotation text"/>
    <w:basedOn w:val="1"/>
    <w:qFormat/>
    <w:uiPriority w:val="0"/>
    <w:pPr>
      <w:jc w:val="left"/>
    </w:pPr>
  </w:style>
  <w:style w:type="paragraph" w:styleId="5">
    <w:name w:val="Body Text"/>
    <w:basedOn w:val="1"/>
    <w:next w:val="6"/>
    <w:qFormat/>
    <w:uiPriority w:val="1"/>
    <w:pPr>
      <w:jc w:val="both"/>
    </w:pPr>
    <w:rPr>
      <w:rFonts w:ascii="宋体" w:hAnsi="宋体" w:eastAsia="宋体" w:cs="宋体"/>
      <w:color w:val="auto"/>
      <w:kern w:val="2"/>
      <w:sz w:val="21"/>
      <w:szCs w:val="21"/>
      <w:lang w:val="zh-CN" w:eastAsia="zh-CN" w:bidi="zh-CN"/>
    </w:rPr>
  </w:style>
  <w:style w:type="paragraph" w:styleId="6">
    <w:name w:val="toc 5"/>
    <w:basedOn w:val="1"/>
    <w:next w:val="1"/>
    <w:qFormat/>
    <w:uiPriority w:val="0"/>
    <w:pPr>
      <w:ind w:left="1680" w:leftChars="800"/>
      <w:jc w:val="both"/>
    </w:pPr>
    <w:rPr>
      <w:kern w:val="2"/>
    </w:rPr>
  </w:style>
  <w:style w:type="paragraph" w:styleId="7">
    <w:name w:val="Plain Text"/>
    <w:basedOn w:val="1"/>
    <w:qFormat/>
    <w:uiPriority w:val="0"/>
    <w:rPr>
      <w:rFonts w:ascii="宋体" w:hAnsi="Courier New" w:cs="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
    <w:qFormat/>
    <w:uiPriority w:val="0"/>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列出段落1"/>
    <w:basedOn w:val="1"/>
    <w:qFormat/>
    <w:uiPriority w:val="34"/>
    <w:pPr>
      <w:ind w:firstLine="420" w:firstLineChars="200"/>
    </w:pPr>
    <w:rPr>
      <w:rFonts w:ascii="Times New Roman" w:hAnsi="Times New Roman" w:eastAsia="宋体" w:cs="Times New Roman"/>
    </w:rPr>
  </w:style>
  <w:style w:type="paragraph" w:customStyle="1" w:styleId="15">
    <w:name w:val="List Paragraph"/>
    <w:basedOn w:val="1"/>
    <w:autoRedefine/>
    <w:qFormat/>
    <w:uiPriority w:val="34"/>
    <w:pPr>
      <w:ind w:firstLine="420" w:firstLineChars="200"/>
    </w:pPr>
    <w:rPr>
      <w:rFonts w:ascii="Times New Roman" w:hAnsi="Times New Roman" w:eastAsia="宋体" w:cs="Times New Roman"/>
    </w:rPr>
  </w:style>
  <w:style w:type="paragraph" w:customStyle="1" w:styleId="16">
    <w:name w:val="正文_0"/>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4626</Words>
  <Characters>4822</Characters>
  <Lines>0</Lines>
  <Paragraphs>0</Paragraphs>
  <TotalTime>0</TotalTime>
  <ScaleCrop>false</ScaleCrop>
  <LinksUpToDate>false</LinksUpToDate>
  <CharactersWithSpaces>4837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2024-07-29T07:46:00Z</dcterms:created>
  <dc:creator>HH</dc:creator>
  <cp:lastModifiedBy>H_H</cp:lastModifiedBy>
  <dcterms:modified xsi:type="dcterms:W3CDTF">2026-07-20T02:11:37Z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3CFB5089D8AB46EDBEB67AA2BE4BB5B6_11</vt:lpwstr>
  </property>
  <property fmtid="{D5CDD505-2E9C-101B-9397-08002B2CF9AE}" pid="4" name="KSOTemplateDocerSaveRecord">
    <vt:lpwstr>eyJoZGlkIjoiMGIxNTJmZjRhMjhmZjY2NTdiMzIyZDVlZDRmYWFkNzgiLCJ1c2VySWQiOiI1ODMyODAxMTgifQ==</vt:lpwstr>
  </property>
</Properties>
</file>