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r w14:paraId="31E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3F44743B">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0DC0B3A">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3C08B1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181CE615">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35531084">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6CDA2780">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21E7CD57">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6CD76EA4">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0592E52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1F6862AE">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FF7F130">
            <w:pPr>
              <w:tabs>
                <w:tab w:val="left" w:pos="780"/>
              </w:tabs>
              <w:spacing w:line="360" w:lineRule="exact"/>
              <w:rPr>
                <w:rFonts w:hint="eastAsia" w:ascii="宋体" w:hAnsi="宋体"/>
                <w:b/>
                <w:bCs/>
                <w:sz w:val="24"/>
                <w:szCs w:val="24"/>
              </w:rPr>
            </w:pPr>
          </w:p>
          <w:p w14:paraId="06E5C22D">
            <w:pPr>
              <w:jc w:val="left"/>
              <w:rPr>
                <w:rFonts w:hint="default" w:ascii="仿宋" w:hAnsi="仿宋" w:eastAsia="仿宋"/>
                <w:bCs/>
                <w:sz w:val="21"/>
                <w:szCs w:val="21"/>
                <w:lang w:val="en-US"/>
              </w:rPr>
            </w:pP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b/>
                <w:bCs/>
                <w:color w:val="0000FF"/>
                <w:sz w:val="21"/>
                <w:szCs w:val="21"/>
              </w:rPr>
            </w:pPr>
            <w:r>
              <w:rPr>
                <w:rFonts w:hint="eastAsia" w:ascii="仿宋" w:hAnsi="仿宋" w:eastAsia="仿宋"/>
                <w:b/>
                <w:bCs/>
                <w:color w:val="0000FF"/>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b/>
                <w:bCs/>
                <w:color w:val="0000FF"/>
                <w:sz w:val="21"/>
                <w:szCs w:val="21"/>
                <w:lang w:val="en-US" w:eastAsia="zh-CN"/>
              </w:rPr>
            </w:pPr>
            <w:r>
              <w:rPr>
                <w:rFonts w:hint="eastAsia" w:ascii="仿宋" w:hAnsi="仿宋" w:eastAsia="仿宋"/>
                <w:b/>
                <w:bCs/>
                <w:color w:val="0000FF"/>
                <w:sz w:val="21"/>
                <w:szCs w:val="21"/>
                <w:lang w:val="en-US" w:eastAsia="zh-CN"/>
              </w:rPr>
              <w:t>报价时间：</w:t>
            </w:r>
          </w:p>
        </w:tc>
      </w:tr>
    </w:tbl>
    <w:p w14:paraId="698523A1">
      <w:pPr>
        <w:spacing w:line="440" w:lineRule="exact"/>
        <w:jc w:val="both"/>
        <w:rPr>
          <w:rFonts w:hint="eastAsia"/>
          <w:b/>
          <w:bCs/>
          <w:sz w:val="44"/>
          <w:szCs w:val="44"/>
        </w:rPr>
      </w:pPr>
    </w:p>
    <w:p w14:paraId="2DD20D27">
      <w:pPr>
        <w:jc w:val="left"/>
        <w:rPr>
          <w:rFonts w:hint="eastAsia" w:ascii="宋体" w:hAnsi="宋体"/>
          <w:b/>
          <w:bCs/>
          <w:sz w:val="24"/>
          <w:szCs w:val="24"/>
          <w:lang w:val="en-US" w:eastAsia="zh-CN"/>
        </w:rPr>
      </w:pPr>
    </w:p>
    <w:p w14:paraId="214330B7">
      <w:pPr>
        <w:jc w:val="left"/>
        <w:rPr>
          <w:rFonts w:hint="eastAsia" w:ascii="宋体" w:hAnsi="宋体"/>
          <w:b/>
          <w:bCs/>
          <w:sz w:val="24"/>
          <w:szCs w:val="24"/>
          <w:lang w:val="en-US" w:eastAsia="zh-CN"/>
        </w:rPr>
      </w:pPr>
    </w:p>
    <w:p w14:paraId="72C0EDB8">
      <w:pPr>
        <w:jc w:val="left"/>
        <w:rPr>
          <w:rFonts w:hint="eastAsia" w:ascii="宋体" w:hAnsi="宋体"/>
          <w:b/>
          <w:bCs/>
          <w:sz w:val="24"/>
          <w:szCs w:val="24"/>
          <w:lang w:val="en-US" w:eastAsia="zh-CN"/>
        </w:rPr>
      </w:pPr>
    </w:p>
    <w:p w14:paraId="358B9D9D">
      <w:pPr>
        <w:jc w:val="left"/>
        <w:rPr>
          <w:rFonts w:hint="eastAsia" w:ascii="宋体" w:hAnsi="宋体"/>
          <w:b/>
          <w:bCs/>
          <w:sz w:val="24"/>
          <w:szCs w:val="24"/>
          <w:lang w:val="en-US" w:eastAsia="zh-CN"/>
        </w:rPr>
      </w:pPr>
    </w:p>
    <w:p w14:paraId="562B3832">
      <w:pPr>
        <w:jc w:val="left"/>
        <w:rPr>
          <w:rFonts w:hint="eastAsia" w:ascii="宋体" w:hAnsi="宋体"/>
          <w:b/>
          <w:bCs/>
          <w:sz w:val="24"/>
          <w:szCs w:val="24"/>
          <w:lang w:val="en-US" w:eastAsia="zh-CN"/>
        </w:rPr>
      </w:pPr>
    </w:p>
    <w:p w14:paraId="0C9D1B42">
      <w:pPr>
        <w:jc w:val="left"/>
        <w:rPr>
          <w:rFonts w:hint="eastAsia" w:ascii="宋体" w:hAnsi="宋体"/>
          <w:b/>
          <w:bCs/>
          <w:sz w:val="24"/>
          <w:szCs w:val="24"/>
          <w:lang w:val="en-US" w:eastAsia="zh-CN"/>
        </w:rPr>
      </w:pPr>
    </w:p>
    <w:p w14:paraId="7AA841FD">
      <w:pPr>
        <w:jc w:val="left"/>
        <w:rPr>
          <w:rFonts w:hint="eastAsia" w:ascii="宋体" w:hAnsi="宋体"/>
          <w:b/>
          <w:bCs/>
          <w:sz w:val="24"/>
          <w:szCs w:val="24"/>
          <w:lang w:val="en-US" w:eastAsia="zh-CN"/>
        </w:rPr>
      </w:pPr>
    </w:p>
    <w:p w14:paraId="4B619FBB">
      <w:pPr>
        <w:jc w:val="left"/>
        <w:rPr>
          <w:rFonts w:hint="eastAsia" w:ascii="宋体" w:hAnsi="宋体"/>
          <w:b/>
          <w:bCs/>
          <w:sz w:val="24"/>
          <w:szCs w:val="24"/>
          <w:lang w:val="en-US" w:eastAsia="zh-CN"/>
        </w:rPr>
      </w:pPr>
    </w:p>
    <w:p w14:paraId="0B8550BF">
      <w:pPr>
        <w:jc w:val="left"/>
        <w:rPr>
          <w:rFonts w:hint="eastAsia" w:ascii="宋体" w:hAnsi="宋体"/>
          <w:b/>
          <w:bCs/>
          <w:sz w:val="24"/>
          <w:szCs w:val="24"/>
          <w:lang w:val="en-US" w:eastAsia="zh-CN"/>
        </w:rPr>
      </w:pPr>
    </w:p>
    <w:p w14:paraId="4FEFC954">
      <w:pPr>
        <w:jc w:val="left"/>
        <w:rPr>
          <w:rFonts w:hint="eastAsia" w:ascii="宋体" w:hAnsi="宋体"/>
          <w:b/>
          <w:bCs/>
          <w:sz w:val="24"/>
          <w:szCs w:val="24"/>
          <w:lang w:val="en-US" w:eastAsia="zh-CN"/>
        </w:rPr>
      </w:pPr>
    </w:p>
    <w:p w14:paraId="159AFE26">
      <w:pPr>
        <w:jc w:val="left"/>
        <w:rPr>
          <w:rFonts w:hint="eastAsia" w:ascii="宋体" w:hAnsi="宋体"/>
          <w:b/>
          <w:bCs/>
          <w:sz w:val="24"/>
          <w:szCs w:val="24"/>
          <w:lang w:val="en-US" w:eastAsia="zh-CN"/>
        </w:rPr>
      </w:pPr>
    </w:p>
    <w:p w14:paraId="351C2C14">
      <w:pPr>
        <w:jc w:val="left"/>
        <w:rPr>
          <w:rFonts w:hint="eastAsia" w:ascii="宋体" w:hAnsi="宋体"/>
          <w:b/>
          <w:bCs/>
          <w:sz w:val="24"/>
          <w:szCs w:val="24"/>
          <w:lang w:val="en-US" w:eastAsia="zh-CN"/>
        </w:rPr>
      </w:pPr>
    </w:p>
    <w:p w14:paraId="47855CE1">
      <w:pPr>
        <w:jc w:val="left"/>
        <w:rPr>
          <w:rFonts w:hint="eastAsia" w:ascii="宋体" w:hAnsi="宋体"/>
          <w:b/>
          <w:bCs/>
          <w:sz w:val="24"/>
          <w:szCs w:val="24"/>
          <w:lang w:val="en-US" w:eastAsia="zh-CN"/>
        </w:rPr>
      </w:pPr>
    </w:p>
    <w:p w14:paraId="3F922D86">
      <w:pPr>
        <w:jc w:val="left"/>
        <w:rPr>
          <w:rFonts w:hint="eastAsia" w:ascii="宋体" w:hAnsi="宋体"/>
          <w:b/>
          <w:bCs/>
          <w:sz w:val="24"/>
          <w:szCs w:val="24"/>
          <w:lang w:val="en-US" w:eastAsia="zh-CN"/>
        </w:rPr>
      </w:pPr>
    </w:p>
    <w:p w14:paraId="493F89B9">
      <w:pPr>
        <w:jc w:val="left"/>
        <w:rPr>
          <w:rFonts w:hint="eastAsia" w:ascii="宋体" w:hAnsi="宋体"/>
          <w:b/>
          <w:bCs/>
          <w:sz w:val="24"/>
          <w:szCs w:val="24"/>
          <w:lang w:val="en-US" w:eastAsia="zh-CN"/>
        </w:rPr>
      </w:pPr>
    </w:p>
    <w:p w14:paraId="1F8DC938">
      <w:pPr>
        <w:jc w:val="left"/>
        <w:rPr>
          <w:rFonts w:hint="eastAsia" w:ascii="宋体" w:hAnsi="宋体"/>
          <w:b/>
          <w:bCs/>
          <w:sz w:val="24"/>
          <w:szCs w:val="24"/>
          <w:lang w:val="en-US" w:eastAsia="zh-CN"/>
        </w:rPr>
      </w:pPr>
    </w:p>
    <w:p w14:paraId="36946651">
      <w:pPr>
        <w:jc w:val="left"/>
        <w:rPr>
          <w:rFonts w:hint="eastAsia" w:ascii="宋体" w:hAnsi="宋体"/>
          <w:b/>
          <w:bCs/>
          <w:sz w:val="24"/>
          <w:szCs w:val="24"/>
          <w:lang w:val="en-US" w:eastAsia="zh-CN"/>
        </w:rPr>
      </w:pPr>
    </w:p>
    <w:p w14:paraId="757F3809">
      <w:pPr>
        <w:jc w:val="left"/>
        <w:rPr>
          <w:rFonts w:hint="eastAsia" w:ascii="宋体" w:hAnsi="宋体"/>
          <w:b/>
          <w:bCs/>
          <w:sz w:val="24"/>
          <w:szCs w:val="24"/>
          <w:lang w:val="en-US" w:eastAsia="zh-CN"/>
        </w:rPr>
      </w:pPr>
    </w:p>
    <w:p w14:paraId="608BB3AC">
      <w:pPr>
        <w:jc w:val="left"/>
        <w:rPr>
          <w:rFonts w:hint="eastAsia" w:ascii="宋体" w:hAnsi="宋体"/>
          <w:b/>
          <w:bCs/>
          <w:sz w:val="24"/>
          <w:szCs w:val="24"/>
          <w:lang w:val="en-US" w:eastAsia="zh-CN"/>
        </w:rPr>
      </w:pPr>
    </w:p>
    <w:p w14:paraId="36D33F6E">
      <w:pPr>
        <w:jc w:val="left"/>
        <w:rPr>
          <w:rFonts w:hint="eastAsia" w:ascii="宋体" w:hAnsi="宋体"/>
          <w:b/>
          <w:bCs/>
          <w:sz w:val="24"/>
          <w:szCs w:val="24"/>
          <w:lang w:val="en-US" w:eastAsia="zh-CN"/>
        </w:rPr>
      </w:pPr>
    </w:p>
    <w:p w14:paraId="5B5430B3">
      <w:pPr>
        <w:jc w:val="left"/>
        <w:rPr>
          <w:rFonts w:hint="eastAsia" w:ascii="宋体" w:hAnsi="宋体"/>
          <w:b/>
          <w:bCs/>
          <w:sz w:val="24"/>
          <w:szCs w:val="24"/>
          <w:lang w:val="en-US" w:eastAsia="zh-CN"/>
        </w:rPr>
      </w:pPr>
    </w:p>
    <w:p w14:paraId="7056625C">
      <w:pPr>
        <w:jc w:val="left"/>
        <w:rPr>
          <w:rFonts w:hint="eastAsia" w:ascii="宋体" w:hAnsi="宋体"/>
          <w:b/>
          <w:bCs/>
          <w:sz w:val="24"/>
          <w:szCs w:val="24"/>
          <w:lang w:val="en-US" w:eastAsia="zh-CN"/>
        </w:rPr>
      </w:pPr>
    </w:p>
    <w:p w14:paraId="5DA73820">
      <w:pPr>
        <w:jc w:val="left"/>
        <w:rPr>
          <w:rFonts w:hint="eastAsia" w:ascii="宋体" w:hAnsi="宋体"/>
          <w:b/>
          <w:bCs/>
          <w:sz w:val="24"/>
          <w:szCs w:val="24"/>
          <w:lang w:val="en-US" w:eastAsia="zh-CN"/>
        </w:rPr>
      </w:pPr>
    </w:p>
    <w:p w14:paraId="5E38D3F3">
      <w:pPr>
        <w:jc w:val="left"/>
        <w:rPr>
          <w:rFonts w:hint="eastAsia" w:ascii="宋体" w:hAnsi="宋体"/>
          <w:b/>
          <w:bCs/>
          <w:sz w:val="24"/>
          <w:szCs w:val="24"/>
          <w:lang w:val="en-US" w:eastAsia="zh-CN"/>
        </w:rPr>
      </w:pPr>
    </w:p>
    <w:p w14:paraId="5B4A932B">
      <w:pPr>
        <w:jc w:val="left"/>
        <w:rPr>
          <w:rFonts w:hint="eastAsia" w:ascii="宋体" w:hAnsi="宋体"/>
          <w:b/>
          <w:bCs/>
          <w:sz w:val="24"/>
          <w:szCs w:val="24"/>
          <w:lang w:val="en-US" w:eastAsia="zh-CN"/>
        </w:rPr>
      </w:pPr>
    </w:p>
    <w:p w14:paraId="0C219EDE">
      <w:pPr>
        <w:jc w:val="left"/>
        <w:rPr>
          <w:rFonts w:hint="eastAsia" w:ascii="宋体" w:hAnsi="宋体"/>
          <w:b/>
          <w:bCs/>
          <w:sz w:val="24"/>
          <w:szCs w:val="24"/>
          <w:lang w:val="en-US" w:eastAsia="zh-CN"/>
        </w:rPr>
        <w:sectPr>
          <w:pgSz w:w="11906" w:h="16838"/>
          <w:pgMar w:top="607" w:right="720" w:bottom="607" w:left="720" w:header="851" w:footer="992" w:gutter="0"/>
          <w:cols w:space="425" w:num="1"/>
          <w:docGrid w:type="lines" w:linePitch="312" w:charSpace="0"/>
        </w:sectPr>
      </w:pPr>
    </w:p>
    <w:p w14:paraId="046F270E">
      <w:pPr>
        <w:tabs>
          <w:tab w:val="left" w:pos="780"/>
        </w:tabs>
        <w:spacing w:line="360" w:lineRule="exact"/>
        <w:ind w:left="-21"/>
        <w:rPr>
          <w:rFonts w:hint="eastAsia" w:ascii="宋体" w:hAnsi="宋体" w:eastAsiaTheme="minorEastAsia"/>
          <w:b/>
          <w:bCs/>
          <w:sz w:val="24"/>
          <w:szCs w:val="24"/>
          <w:lang w:val="en-US" w:eastAsia="zh-CN"/>
        </w:rPr>
      </w:pPr>
      <w:r>
        <w:rPr>
          <w:rFonts w:hint="eastAsia" w:ascii="宋体" w:hAnsi="宋体"/>
          <w:b/>
          <w:bCs/>
          <w:sz w:val="24"/>
          <w:szCs w:val="24"/>
        </w:rPr>
        <w:t>第二部分：设备配套耗材</w:t>
      </w:r>
      <w:r>
        <w:rPr>
          <w:rFonts w:hint="eastAsia" w:ascii="宋体" w:hAnsi="宋体"/>
          <w:b/>
          <w:bCs/>
          <w:sz w:val="24"/>
          <w:szCs w:val="24"/>
          <w:lang w:val="en-US" w:eastAsia="zh-CN"/>
        </w:rPr>
        <w:t>报价单（如有）</w:t>
      </w:r>
    </w:p>
    <w:p w14:paraId="0D5D3895">
      <w:pPr>
        <w:tabs>
          <w:tab w:val="left" w:pos="780"/>
        </w:tabs>
        <w:spacing w:line="360" w:lineRule="exact"/>
        <w:rPr>
          <w:rFonts w:hint="eastAsia" w:ascii="宋体" w:hAnsi="宋体" w:eastAsia="宋体" w:cs="宋体"/>
          <w:b/>
          <w:bCs/>
          <w:sz w:val="24"/>
          <w:szCs w:val="24"/>
          <w:lang w:val="en-US" w:eastAsia="zh-CN"/>
        </w:rPr>
      </w:pPr>
      <w:r>
        <w:rPr>
          <w:rFonts w:hint="eastAsia" w:ascii="宋体" w:hAnsi="宋体" w:eastAsia="宋体" w:cs="宋体"/>
          <w:b/>
          <w:color w:val="FF0000"/>
          <w:sz w:val="21"/>
          <w:szCs w:val="21"/>
          <w:u w:val="single"/>
        </w:rPr>
        <w:t>▲如设备不需配套耗材或试剂，请提供厂家出具不需专机专用耗材的保证函；</w:t>
      </w:r>
    </w:p>
    <w:p w14:paraId="526A9749">
      <w:pPr>
        <w:jc w:val="left"/>
        <w:rPr>
          <w:rFonts w:hint="eastAsia" w:ascii="宋体" w:hAnsi="宋体"/>
          <w:b/>
          <w:bCs/>
          <w:sz w:val="24"/>
          <w:szCs w:val="24"/>
          <w:lang w:val="en-US" w:eastAsia="zh-CN"/>
        </w:rPr>
      </w:pPr>
    </w:p>
    <w:p w14:paraId="19164620">
      <w:pPr>
        <w:numPr>
          <w:ilvl w:val="0"/>
          <w:numId w:val="0"/>
        </w:numPr>
        <w:tabs>
          <w:tab w:val="left" w:pos="780"/>
        </w:tabs>
        <w:spacing w:line="360" w:lineRule="exac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附件：检测项目清单</w:t>
      </w:r>
    </w:p>
    <w:p w14:paraId="35A68F37">
      <w:pPr>
        <w:numPr>
          <w:ilvl w:val="0"/>
          <w:numId w:val="0"/>
        </w:numPr>
        <w:tabs>
          <w:tab w:val="left" w:pos="780"/>
        </w:tabs>
        <w:spacing w:line="360" w:lineRule="exact"/>
        <w:rPr>
          <w:rFonts w:hint="eastAsia" w:ascii="宋体" w:hAnsi="宋体" w:eastAsia="宋体" w:cs="宋体"/>
          <w:b/>
          <w:bCs/>
          <w:sz w:val="21"/>
          <w:szCs w:val="21"/>
          <w:lang w:val="en-US" w:eastAsia="zh-CN"/>
        </w:rPr>
      </w:pPr>
      <w:r>
        <w:rPr>
          <w:rFonts w:hint="eastAsia" w:ascii="宋体" w:hAnsi="宋体" w:eastAsia="宋体" w:cs="宋体"/>
          <w:b/>
          <w:sz w:val="21"/>
          <w:szCs w:val="21"/>
          <w:u w:val="single"/>
          <w:lang w:val="en-US" w:eastAsia="zh-CN"/>
        </w:rPr>
        <w:t>需按照检测项目所需要使用的耗材进行填写，</w:t>
      </w:r>
      <w:r>
        <w:rPr>
          <w:rFonts w:hint="eastAsia" w:ascii="宋体" w:hAnsi="宋体" w:eastAsia="宋体" w:cs="宋体"/>
          <w:b/>
          <w:color w:val="0000FF"/>
          <w:sz w:val="21"/>
          <w:szCs w:val="21"/>
          <w:u w:val="single"/>
          <w:lang w:val="en-US" w:eastAsia="zh-CN"/>
        </w:rPr>
        <w:t>如一个检测项目需要多个试剂（含定标液、清洗液、质控品等），在同一个检测项目名称下增加行数，但“单人份耗材成本”只按照检测项目名称一对一对应</w:t>
      </w:r>
      <w:r>
        <w:rPr>
          <w:rFonts w:hint="eastAsia" w:ascii="宋体" w:hAnsi="宋体" w:eastAsia="宋体" w:cs="宋体"/>
          <w:b/>
          <w:sz w:val="21"/>
          <w:szCs w:val="21"/>
          <w:u w:val="single"/>
          <w:lang w:val="en-US" w:eastAsia="zh-CN"/>
        </w:rPr>
        <w:t>。</w:t>
      </w:r>
    </w:p>
    <w:tbl>
      <w:tblPr>
        <w:tblStyle w:val="9"/>
        <w:tblW w:w="15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287"/>
        <w:gridCol w:w="1399"/>
        <w:gridCol w:w="1080"/>
        <w:gridCol w:w="1278"/>
        <w:gridCol w:w="1186"/>
        <w:gridCol w:w="1200"/>
        <w:gridCol w:w="913"/>
        <w:gridCol w:w="900"/>
        <w:gridCol w:w="790"/>
        <w:gridCol w:w="975"/>
        <w:gridCol w:w="935"/>
        <w:gridCol w:w="1080"/>
        <w:gridCol w:w="828"/>
        <w:gridCol w:w="828"/>
      </w:tblGrid>
      <w:tr w14:paraId="4DC3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427" w:type="dxa"/>
            <w:noWrap/>
            <w:vAlign w:val="center"/>
          </w:tcPr>
          <w:p w14:paraId="79E4989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287" w:type="dxa"/>
            <w:noWrap/>
            <w:vAlign w:val="center"/>
          </w:tcPr>
          <w:p w14:paraId="3850DB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检测项目名称</w:t>
            </w:r>
          </w:p>
        </w:tc>
        <w:tc>
          <w:tcPr>
            <w:tcW w:w="1399" w:type="dxa"/>
            <w:noWrap/>
            <w:vAlign w:val="center"/>
          </w:tcPr>
          <w:p w14:paraId="676070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0"/>
                <w:szCs w:val="20"/>
                <w:highlight w:val="yellow"/>
                <w:u w:val="none"/>
                <w:lang w:val="en-US" w:eastAsia="zh-CN" w:bidi="ar"/>
              </w:rPr>
              <w:t>单人份耗材成本：</w:t>
            </w:r>
            <w:r>
              <w:rPr>
                <w:rFonts w:hint="eastAsia" w:ascii="宋体" w:hAnsi="宋体" w:eastAsia="宋体" w:cs="宋体"/>
                <w:b w:val="0"/>
                <w:bCs w:val="0"/>
                <w:i w:val="0"/>
                <w:iCs w:val="0"/>
                <w:color w:val="0000FF"/>
                <w:kern w:val="0"/>
                <w:sz w:val="20"/>
                <w:szCs w:val="20"/>
                <w:u w:val="none"/>
                <w:lang w:val="en-US" w:eastAsia="zh-CN" w:bidi="ar"/>
              </w:rPr>
              <w:t>（包含开展项目所需的试剂、耗材、耗品、定标液、清洗液、质控品等全部成本支出</w:t>
            </w:r>
            <w:r>
              <w:rPr>
                <w:rFonts w:hint="eastAsia" w:ascii="宋体" w:hAnsi="宋体" w:eastAsia="宋体" w:cs="宋体"/>
                <w:b w:val="0"/>
                <w:bCs w:val="0"/>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highlight w:val="yellow"/>
                <w:u w:val="none"/>
                <w:lang w:val="en-US" w:eastAsia="zh-CN" w:bidi="ar"/>
              </w:rPr>
              <w:t>元/人份</w:t>
            </w:r>
          </w:p>
        </w:tc>
        <w:tc>
          <w:tcPr>
            <w:tcW w:w="1080" w:type="dxa"/>
            <w:noWrap/>
            <w:vAlign w:val="center"/>
          </w:tcPr>
          <w:p w14:paraId="36FB37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医疗服务价格（元）</w:t>
            </w:r>
          </w:p>
        </w:tc>
        <w:tc>
          <w:tcPr>
            <w:tcW w:w="1278" w:type="dxa"/>
            <w:noWrap/>
            <w:vAlign w:val="center"/>
          </w:tcPr>
          <w:p w14:paraId="38C2A5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国家医保医用耗材编码（27位）</w:t>
            </w:r>
          </w:p>
        </w:tc>
        <w:tc>
          <w:tcPr>
            <w:tcW w:w="1186" w:type="dxa"/>
            <w:noWrap/>
            <w:vAlign w:val="center"/>
          </w:tcPr>
          <w:p w14:paraId="7B4DE99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200" w:type="dxa"/>
            <w:noWrap/>
            <w:vAlign w:val="center"/>
          </w:tcPr>
          <w:p w14:paraId="7FF16C1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型号/规格</w:t>
            </w:r>
          </w:p>
        </w:tc>
        <w:tc>
          <w:tcPr>
            <w:tcW w:w="913" w:type="dxa"/>
            <w:noWrap/>
            <w:vAlign w:val="center"/>
          </w:tcPr>
          <w:p w14:paraId="4A5AE2BF">
            <w:pPr>
              <w:keepNext w:val="0"/>
              <w:keepLines w:val="0"/>
              <w:widowControl/>
              <w:suppressLineNumbers w:val="0"/>
              <w:jc w:val="both"/>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1单位能做几人份</w:t>
            </w:r>
          </w:p>
        </w:tc>
        <w:tc>
          <w:tcPr>
            <w:tcW w:w="900" w:type="dxa"/>
            <w:noWrap/>
            <w:vAlign w:val="center"/>
          </w:tcPr>
          <w:p w14:paraId="7F3AB586">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生产企业</w:t>
            </w:r>
          </w:p>
        </w:tc>
        <w:tc>
          <w:tcPr>
            <w:tcW w:w="790" w:type="dxa"/>
            <w:noWrap/>
            <w:vAlign w:val="center"/>
          </w:tcPr>
          <w:p w14:paraId="74A324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医疗器械注册证</w:t>
            </w:r>
          </w:p>
        </w:tc>
        <w:tc>
          <w:tcPr>
            <w:tcW w:w="975" w:type="dxa"/>
            <w:noWrap/>
            <w:vAlign w:val="center"/>
          </w:tcPr>
          <w:p w14:paraId="11FDB64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35" w:type="dxa"/>
            <w:noWrap/>
            <w:vAlign w:val="center"/>
          </w:tcPr>
          <w:p w14:paraId="2187322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FF"/>
                <w:kern w:val="0"/>
                <w:sz w:val="21"/>
                <w:szCs w:val="21"/>
                <w:u w:val="none"/>
                <w:lang w:val="en-US" w:eastAsia="zh-CN" w:bidi="ar"/>
              </w:rPr>
              <w:t>线上</w:t>
            </w:r>
            <w:r>
              <w:rPr>
                <w:rFonts w:hint="eastAsia" w:ascii="宋体" w:hAnsi="宋体" w:eastAsia="宋体" w:cs="宋体"/>
                <w:b w:val="0"/>
                <w:bCs w:val="0"/>
                <w:i w:val="0"/>
                <w:iCs w:val="0"/>
                <w:color w:val="000000"/>
                <w:kern w:val="0"/>
                <w:sz w:val="21"/>
                <w:szCs w:val="21"/>
                <w:u w:val="none"/>
                <w:lang w:val="en-US" w:eastAsia="zh-CN" w:bidi="ar"/>
              </w:rPr>
              <w:t>限价（元）</w:t>
            </w:r>
          </w:p>
        </w:tc>
        <w:tc>
          <w:tcPr>
            <w:tcW w:w="1080" w:type="dxa"/>
            <w:noWrap/>
            <w:vAlign w:val="center"/>
          </w:tcPr>
          <w:p w14:paraId="64891E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投标报价</w:t>
            </w:r>
            <w:r>
              <w:rPr>
                <w:rFonts w:hint="eastAsia" w:ascii="宋体" w:hAnsi="宋体" w:eastAsia="宋体" w:cs="宋体"/>
                <w:b w:val="0"/>
                <w:bCs w:val="0"/>
                <w:i w:val="0"/>
                <w:iCs w:val="0"/>
                <w:color w:val="000000"/>
                <w:kern w:val="0"/>
                <w:sz w:val="21"/>
                <w:szCs w:val="21"/>
                <w:u w:val="none"/>
                <w:lang w:val="en-US" w:eastAsia="zh-CN" w:bidi="ar"/>
              </w:rPr>
              <w:t>（元）</w:t>
            </w:r>
            <w:r>
              <w:rPr>
                <w:rFonts w:hint="eastAsia" w:ascii="宋体" w:hAnsi="宋体" w:eastAsia="宋体" w:cs="宋体"/>
                <w:b w:val="0"/>
                <w:bCs w:val="0"/>
                <w:i w:val="0"/>
                <w:iCs w:val="0"/>
                <w:color w:val="0000FF"/>
                <w:kern w:val="0"/>
                <w:sz w:val="20"/>
                <w:szCs w:val="20"/>
                <w:u w:val="none"/>
                <w:lang w:val="en-US" w:eastAsia="zh-CN" w:bidi="ar"/>
              </w:rPr>
              <w:t>按最小供货规格进行报价</w:t>
            </w:r>
          </w:p>
        </w:tc>
        <w:tc>
          <w:tcPr>
            <w:tcW w:w="828" w:type="dxa"/>
            <w:noWrap/>
            <w:vAlign w:val="center"/>
          </w:tcPr>
          <w:p w14:paraId="58516448">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是否专机专用耗材</w:t>
            </w:r>
          </w:p>
        </w:tc>
        <w:tc>
          <w:tcPr>
            <w:tcW w:w="828" w:type="dxa"/>
            <w:noWrap/>
            <w:vAlign w:val="center"/>
          </w:tcPr>
          <w:p w14:paraId="4E04B8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进口/国产</w:t>
            </w:r>
          </w:p>
        </w:tc>
      </w:tr>
      <w:tr w14:paraId="65F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098BE7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287" w:type="dxa"/>
            <w:vMerge w:val="restart"/>
            <w:noWrap/>
            <w:vAlign w:val="center"/>
          </w:tcPr>
          <w:p w14:paraId="7C52B1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各类病原体DNA测定性250403065</w:t>
            </w:r>
            <w:r>
              <w:rPr>
                <w:rFonts w:hint="eastAsia" w:ascii="宋体" w:hAnsi="宋体" w:eastAsia="宋体" w:cs="宋体"/>
                <w:b w:val="0"/>
                <w:bCs w:val="0"/>
                <w:i w:val="0"/>
                <w:iCs w:val="0"/>
                <w:color w:val="FF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 xml:space="preserve">          </w:t>
            </w:r>
          </w:p>
        </w:tc>
        <w:tc>
          <w:tcPr>
            <w:tcW w:w="1399" w:type="dxa"/>
            <w:vMerge w:val="restart"/>
            <w:noWrap/>
            <w:vAlign w:val="center"/>
          </w:tcPr>
          <w:p w14:paraId="329B7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80" w:type="dxa"/>
            <w:vMerge w:val="restart"/>
            <w:noWrap/>
            <w:vAlign w:val="center"/>
          </w:tcPr>
          <w:p w14:paraId="704034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278" w:type="dxa"/>
            <w:noWrap/>
            <w:vAlign w:val="center"/>
          </w:tcPr>
          <w:p w14:paraId="72259F0C">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05C21D20">
            <w:pPr>
              <w:jc w:val="both"/>
              <w:rPr>
                <w:rFonts w:hint="eastAsia" w:ascii="宋体" w:hAnsi="宋体" w:eastAsia="宋体" w:cs="宋体"/>
                <w:b w:val="0"/>
                <w:bCs w:val="0"/>
                <w:i w:val="0"/>
                <w:iCs w:val="0"/>
                <w:color w:val="0070C0"/>
                <w:sz w:val="21"/>
                <w:szCs w:val="21"/>
                <w:u w:val="none"/>
                <w:lang w:val="en-US" w:eastAsia="zh-CN"/>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5DCB9929">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1C762C3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099F7741">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50386791">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5CB04F5D">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4141CA4C">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34A0B754">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2C046EC6">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19F26C3">
            <w:pPr>
              <w:jc w:val="center"/>
              <w:rPr>
                <w:rFonts w:hint="eastAsia" w:ascii="宋体" w:hAnsi="宋体" w:eastAsia="宋体" w:cs="宋体"/>
                <w:b w:val="0"/>
                <w:bCs w:val="0"/>
                <w:i w:val="0"/>
                <w:iCs w:val="0"/>
                <w:color w:val="000000"/>
                <w:sz w:val="21"/>
                <w:szCs w:val="21"/>
                <w:u w:val="none"/>
              </w:rPr>
            </w:pPr>
          </w:p>
        </w:tc>
      </w:tr>
      <w:tr w14:paraId="4D2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6207B720">
            <w:pPr>
              <w:jc w:val="center"/>
              <w:rPr>
                <w:rFonts w:hint="eastAsia" w:ascii="宋体" w:hAnsi="宋体" w:eastAsia="宋体" w:cs="宋体"/>
                <w:b w:val="0"/>
                <w:bCs w:val="0"/>
                <w:i w:val="0"/>
                <w:iCs w:val="0"/>
                <w:color w:val="000000"/>
                <w:sz w:val="21"/>
                <w:szCs w:val="21"/>
                <w:u w:val="none"/>
                <w:lang w:val="en-US" w:eastAsia="zh-CN"/>
              </w:rPr>
            </w:pPr>
          </w:p>
        </w:tc>
        <w:tc>
          <w:tcPr>
            <w:tcW w:w="1287" w:type="dxa"/>
            <w:vMerge w:val="continue"/>
            <w:noWrap/>
            <w:vAlign w:val="center"/>
          </w:tcPr>
          <w:p w14:paraId="3029E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79787998">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2BD87616">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751F1BAA">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75C5C0B7">
            <w:pPr>
              <w:jc w:val="center"/>
              <w:rPr>
                <w:rFonts w:hint="eastAsia" w:ascii="宋体" w:hAnsi="宋体" w:eastAsia="宋体" w:cs="宋体"/>
                <w:b w:val="0"/>
                <w:bCs w:val="0"/>
                <w:i w:val="0"/>
                <w:iCs w:val="0"/>
                <w:color w:val="0070C0"/>
                <w:sz w:val="21"/>
                <w:szCs w:val="21"/>
                <w:u w:val="none"/>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69A33D3D">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18F8715A">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3C1366BA">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011E47C7">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779A755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3A63BDB8">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A921D9A">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E82CB87">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CFBF8A7">
            <w:pPr>
              <w:jc w:val="center"/>
              <w:rPr>
                <w:rFonts w:hint="eastAsia" w:ascii="宋体" w:hAnsi="宋体" w:eastAsia="宋体" w:cs="宋体"/>
                <w:b w:val="0"/>
                <w:bCs w:val="0"/>
                <w:i w:val="0"/>
                <w:iCs w:val="0"/>
                <w:color w:val="000000"/>
                <w:sz w:val="21"/>
                <w:szCs w:val="21"/>
                <w:u w:val="none"/>
              </w:rPr>
            </w:pPr>
          </w:p>
        </w:tc>
      </w:tr>
      <w:tr w14:paraId="7526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232D5EF9">
            <w:pPr>
              <w:jc w:val="center"/>
              <w:rPr>
                <w:rFonts w:hint="eastAsia" w:ascii="宋体" w:hAnsi="宋体" w:eastAsia="宋体" w:cs="宋体"/>
                <w:b w:val="0"/>
                <w:bCs w:val="0"/>
                <w:i w:val="0"/>
                <w:iCs w:val="0"/>
                <w:color w:val="000000"/>
                <w:sz w:val="21"/>
                <w:szCs w:val="21"/>
                <w:u w:val="none"/>
                <w:lang w:val="en-US" w:eastAsia="zh-CN"/>
              </w:rPr>
            </w:pPr>
          </w:p>
        </w:tc>
        <w:tc>
          <w:tcPr>
            <w:tcW w:w="1287" w:type="dxa"/>
            <w:vMerge w:val="continue"/>
            <w:noWrap/>
            <w:vAlign w:val="center"/>
          </w:tcPr>
          <w:p w14:paraId="215690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5CAC3323">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5D7AE844">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2776AD56">
            <w:pPr>
              <w:jc w:val="center"/>
              <w:rPr>
                <w:rFonts w:hint="eastAsia" w:ascii="宋体" w:hAnsi="宋体" w:eastAsia="宋体" w:cs="宋体"/>
                <w:b w:val="0"/>
                <w:bCs w:val="0"/>
                <w:i w:val="0"/>
                <w:iCs w:val="0"/>
                <w:color w:val="000000"/>
                <w:sz w:val="21"/>
                <w:szCs w:val="21"/>
                <w:u w:val="none"/>
              </w:rPr>
            </w:pPr>
          </w:p>
        </w:tc>
        <w:tc>
          <w:tcPr>
            <w:tcW w:w="1186" w:type="dxa"/>
            <w:noWrap/>
            <w:vAlign w:val="center"/>
          </w:tcPr>
          <w:p w14:paraId="68DF76A7">
            <w:pPr>
              <w:jc w:val="center"/>
              <w:rPr>
                <w:rFonts w:hint="eastAsia" w:ascii="宋体" w:hAnsi="宋体" w:eastAsia="宋体" w:cs="宋体"/>
                <w:b w:val="0"/>
                <w:bCs w:val="0"/>
                <w:i w:val="0"/>
                <w:iCs w:val="0"/>
                <w:color w:val="0070C0"/>
                <w:sz w:val="21"/>
                <w:szCs w:val="21"/>
                <w:u w:val="none"/>
                <w:lang w:val="en-US"/>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16685BE6">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41CDE52D">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7E86DFE6">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01BD9E9C">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65D31FF3">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55B182D1">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596EC065">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23F2326">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3BA868A">
            <w:pPr>
              <w:jc w:val="center"/>
              <w:rPr>
                <w:rFonts w:hint="eastAsia" w:ascii="宋体" w:hAnsi="宋体" w:eastAsia="宋体" w:cs="宋体"/>
                <w:b w:val="0"/>
                <w:bCs w:val="0"/>
                <w:i w:val="0"/>
                <w:iCs w:val="0"/>
                <w:color w:val="000000"/>
                <w:sz w:val="21"/>
                <w:szCs w:val="21"/>
                <w:u w:val="none"/>
              </w:rPr>
            </w:pPr>
          </w:p>
        </w:tc>
      </w:tr>
      <w:tr w14:paraId="2CA9A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restart"/>
            <w:noWrap/>
            <w:vAlign w:val="center"/>
          </w:tcPr>
          <w:p w14:paraId="6D4593FD">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2</w:t>
            </w:r>
          </w:p>
        </w:tc>
        <w:tc>
          <w:tcPr>
            <w:tcW w:w="1287" w:type="dxa"/>
            <w:vMerge w:val="restart"/>
            <w:noWrap/>
            <w:vAlign w:val="center"/>
          </w:tcPr>
          <w:p w14:paraId="383144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各类病原体RNA测定250403089S</w:t>
            </w:r>
          </w:p>
        </w:tc>
        <w:tc>
          <w:tcPr>
            <w:tcW w:w="1399" w:type="dxa"/>
            <w:vMerge w:val="restart"/>
            <w:noWrap/>
            <w:vAlign w:val="center"/>
          </w:tcPr>
          <w:p w14:paraId="693A6D12">
            <w:pPr>
              <w:jc w:val="center"/>
              <w:rPr>
                <w:rFonts w:hint="eastAsia" w:ascii="宋体" w:hAnsi="宋体" w:eastAsia="宋体" w:cs="宋体"/>
                <w:b w:val="0"/>
                <w:bCs w:val="0"/>
                <w:i w:val="0"/>
                <w:iCs w:val="0"/>
                <w:color w:val="000000"/>
                <w:sz w:val="21"/>
                <w:szCs w:val="21"/>
                <w:u w:val="none"/>
              </w:rPr>
            </w:pPr>
          </w:p>
        </w:tc>
        <w:tc>
          <w:tcPr>
            <w:tcW w:w="1080" w:type="dxa"/>
            <w:vMerge w:val="restart"/>
            <w:noWrap/>
            <w:vAlign w:val="center"/>
          </w:tcPr>
          <w:p w14:paraId="56802297">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4313A72B">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09F1EDA1">
            <w:pPr>
              <w:jc w:val="both"/>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试剂1</w:t>
            </w:r>
          </w:p>
        </w:tc>
        <w:tc>
          <w:tcPr>
            <w:tcW w:w="1200" w:type="dxa"/>
            <w:noWrap/>
            <w:vAlign w:val="center"/>
          </w:tcPr>
          <w:p w14:paraId="477C415E">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4D7A8B31">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62F8164">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496BFB5E">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546907C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457080DF">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2F6F0E40">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32AC9C99">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6014262A">
            <w:pPr>
              <w:jc w:val="center"/>
              <w:rPr>
                <w:rFonts w:hint="eastAsia" w:ascii="宋体" w:hAnsi="宋体" w:eastAsia="宋体" w:cs="宋体"/>
                <w:b w:val="0"/>
                <w:bCs w:val="0"/>
                <w:i w:val="0"/>
                <w:iCs w:val="0"/>
                <w:color w:val="000000"/>
                <w:sz w:val="21"/>
                <w:szCs w:val="21"/>
                <w:u w:val="none"/>
              </w:rPr>
            </w:pPr>
          </w:p>
        </w:tc>
      </w:tr>
      <w:tr w14:paraId="3648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2808CB88">
            <w:pPr>
              <w:jc w:val="center"/>
              <w:rPr>
                <w:rFonts w:hint="eastAsia" w:ascii="宋体" w:hAnsi="宋体" w:eastAsia="宋体" w:cs="宋体"/>
                <w:b w:val="0"/>
                <w:bCs w:val="0"/>
                <w:i w:val="0"/>
                <w:iCs w:val="0"/>
                <w:color w:val="000000"/>
                <w:sz w:val="21"/>
                <w:szCs w:val="21"/>
                <w:u w:val="none"/>
                <w:lang w:val="en-US" w:eastAsia="zh-CN"/>
              </w:rPr>
            </w:pPr>
          </w:p>
        </w:tc>
        <w:tc>
          <w:tcPr>
            <w:tcW w:w="1287" w:type="dxa"/>
            <w:vMerge w:val="continue"/>
            <w:noWrap/>
            <w:vAlign w:val="center"/>
          </w:tcPr>
          <w:p w14:paraId="14231AF7">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45ED0505">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5649BC0E">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1032F555">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4368F738">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试剂2</w:t>
            </w:r>
          </w:p>
        </w:tc>
        <w:tc>
          <w:tcPr>
            <w:tcW w:w="1200" w:type="dxa"/>
            <w:noWrap/>
            <w:vAlign w:val="center"/>
          </w:tcPr>
          <w:p w14:paraId="193579DD">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33DA3406">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5EF90442">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507AA4A3">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EFE1AD7">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632B0DDD">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0CCBBADB">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C9C4528">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46AF7363">
            <w:pPr>
              <w:jc w:val="center"/>
              <w:rPr>
                <w:rFonts w:hint="eastAsia" w:ascii="宋体" w:hAnsi="宋体" w:eastAsia="宋体" w:cs="宋体"/>
                <w:b w:val="0"/>
                <w:bCs w:val="0"/>
                <w:i w:val="0"/>
                <w:iCs w:val="0"/>
                <w:color w:val="000000"/>
                <w:sz w:val="21"/>
                <w:szCs w:val="21"/>
                <w:u w:val="none"/>
              </w:rPr>
            </w:pPr>
          </w:p>
        </w:tc>
      </w:tr>
      <w:tr w14:paraId="4BE2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vMerge w:val="continue"/>
            <w:noWrap/>
            <w:vAlign w:val="center"/>
          </w:tcPr>
          <w:p w14:paraId="389A083B">
            <w:pPr>
              <w:jc w:val="center"/>
              <w:rPr>
                <w:rFonts w:hint="eastAsia" w:ascii="宋体" w:hAnsi="宋体" w:eastAsia="宋体" w:cs="宋体"/>
                <w:b w:val="0"/>
                <w:bCs w:val="0"/>
                <w:i w:val="0"/>
                <w:iCs w:val="0"/>
                <w:color w:val="000000"/>
                <w:sz w:val="21"/>
                <w:szCs w:val="21"/>
                <w:u w:val="none"/>
                <w:lang w:val="en-US" w:eastAsia="zh-CN"/>
              </w:rPr>
            </w:pPr>
          </w:p>
        </w:tc>
        <w:tc>
          <w:tcPr>
            <w:tcW w:w="1287" w:type="dxa"/>
            <w:vMerge w:val="continue"/>
            <w:noWrap/>
            <w:vAlign w:val="center"/>
          </w:tcPr>
          <w:p w14:paraId="5598D7EB">
            <w:pPr>
              <w:jc w:val="center"/>
              <w:rPr>
                <w:rFonts w:hint="eastAsia" w:ascii="宋体" w:hAnsi="宋体" w:eastAsia="宋体" w:cs="宋体"/>
                <w:b w:val="0"/>
                <w:bCs w:val="0"/>
                <w:i w:val="0"/>
                <w:iCs w:val="0"/>
                <w:color w:val="000000"/>
                <w:kern w:val="0"/>
                <w:sz w:val="21"/>
                <w:szCs w:val="21"/>
                <w:u w:val="none"/>
                <w:lang w:val="en-US" w:eastAsia="zh-CN" w:bidi="ar"/>
              </w:rPr>
            </w:pPr>
          </w:p>
        </w:tc>
        <w:tc>
          <w:tcPr>
            <w:tcW w:w="1399" w:type="dxa"/>
            <w:vMerge w:val="continue"/>
            <w:noWrap/>
            <w:vAlign w:val="center"/>
          </w:tcPr>
          <w:p w14:paraId="733F8D8A">
            <w:pPr>
              <w:jc w:val="center"/>
              <w:rPr>
                <w:rFonts w:hint="eastAsia" w:ascii="宋体" w:hAnsi="宋体" w:eastAsia="宋体" w:cs="宋体"/>
                <w:b w:val="0"/>
                <w:bCs w:val="0"/>
                <w:i w:val="0"/>
                <w:iCs w:val="0"/>
                <w:color w:val="000000"/>
                <w:sz w:val="21"/>
                <w:szCs w:val="21"/>
                <w:u w:val="none"/>
              </w:rPr>
            </w:pPr>
          </w:p>
        </w:tc>
        <w:tc>
          <w:tcPr>
            <w:tcW w:w="1080" w:type="dxa"/>
            <w:vMerge w:val="continue"/>
            <w:noWrap/>
            <w:vAlign w:val="center"/>
          </w:tcPr>
          <w:p w14:paraId="0E1C47DA">
            <w:pPr>
              <w:jc w:val="center"/>
              <w:rPr>
                <w:rFonts w:hint="eastAsia" w:ascii="宋体" w:hAnsi="宋体" w:eastAsia="宋体" w:cs="宋体"/>
                <w:b w:val="0"/>
                <w:bCs w:val="0"/>
                <w:i w:val="0"/>
                <w:iCs w:val="0"/>
                <w:color w:val="000000"/>
                <w:sz w:val="21"/>
                <w:szCs w:val="21"/>
                <w:u w:val="none"/>
                <w:lang w:val="en-US" w:eastAsia="zh-CN"/>
              </w:rPr>
            </w:pPr>
          </w:p>
        </w:tc>
        <w:tc>
          <w:tcPr>
            <w:tcW w:w="1278" w:type="dxa"/>
            <w:noWrap/>
            <w:vAlign w:val="center"/>
          </w:tcPr>
          <w:p w14:paraId="47E4A21F">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630A4CB2">
            <w:pPr>
              <w:jc w:val="center"/>
              <w:rPr>
                <w:rFonts w:hint="eastAsia" w:ascii="宋体" w:hAnsi="宋体" w:eastAsia="宋体" w:cs="宋体"/>
                <w:b w:val="0"/>
                <w:bCs w:val="0"/>
                <w:i w:val="0"/>
                <w:iCs w:val="0"/>
                <w:color w:val="0070C0"/>
                <w:kern w:val="2"/>
                <w:sz w:val="21"/>
                <w:szCs w:val="21"/>
                <w:u w:val="none"/>
                <w:lang w:val="en-US" w:eastAsia="zh-CN" w:bidi="ar-SA"/>
              </w:rPr>
            </w:pPr>
            <w:r>
              <w:rPr>
                <w:rFonts w:hint="eastAsia" w:ascii="宋体" w:hAnsi="宋体" w:eastAsia="宋体" w:cs="宋体"/>
                <w:b w:val="0"/>
                <w:bCs w:val="0"/>
                <w:i w:val="0"/>
                <w:iCs w:val="0"/>
                <w:color w:val="0070C0"/>
                <w:sz w:val="21"/>
                <w:szCs w:val="21"/>
                <w:u w:val="none"/>
                <w:lang w:val="en-US" w:eastAsia="zh-CN"/>
              </w:rPr>
              <w:t>...</w:t>
            </w:r>
          </w:p>
        </w:tc>
        <w:tc>
          <w:tcPr>
            <w:tcW w:w="1200" w:type="dxa"/>
            <w:noWrap/>
            <w:vAlign w:val="center"/>
          </w:tcPr>
          <w:p w14:paraId="4A3E414E">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7BCD013E">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7234F728">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52AC8691">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3777A32E">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4E3E94F7">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0206E6B7">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29079F87">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F4C07E1">
            <w:pPr>
              <w:jc w:val="center"/>
              <w:rPr>
                <w:rFonts w:hint="eastAsia" w:ascii="宋体" w:hAnsi="宋体" w:eastAsia="宋体" w:cs="宋体"/>
                <w:b w:val="0"/>
                <w:bCs w:val="0"/>
                <w:i w:val="0"/>
                <w:iCs w:val="0"/>
                <w:color w:val="000000"/>
                <w:sz w:val="21"/>
                <w:szCs w:val="21"/>
                <w:u w:val="none"/>
              </w:rPr>
            </w:pPr>
          </w:p>
        </w:tc>
      </w:tr>
      <w:tr w14:paraId="4FF7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noWrap/>
            <w:vAlign w:val="center"/>
          </w:tcPr>
          <w:p w14:paraId="7CAE65F2">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3</w:t>
            </w:r>
          </w:p>
        </w:tc>
        <w:tc>
          <w:tcPr>
            <w:tcW w:w="1287" w:type="dxa"/>
            <w:noWrap/>
            <w:vAlign w:val="center"/>
          </w:tcPr>
          <w:p w14:paraId="297CC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Real-time PCR </w:t>
            </w:r>
          </w:p>
          <w:p w14:paraId="41E9628B">
            <w:pPr>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（实时荧光定量PCR）250403089S-2</w:t>
            </w:r>
          </w:p>
        </w:tc>
        <w:tc>
          <w:tcPr>
            <w:tcW w:w="1399" w:type="dxa"/>
            <w:shd w:val="clear" w:color="auto" w:fill="auto"/>
            <w:noWrap/>
            <w:vAlign w:val="center"/>
          </w:tcPr>
          <w:p w14:paraId="795A4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80" w:type="dxa"/>
            <w:shd w:val="clear" w:color="auto" w:fill="auto"/>
            <w:noWrap/>
            <w:vAlign w:val="center"/>
          </w:tcPr>
          <w:p w14:paraId="6F3258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78" w:type="dxa"/>
            <w:noWrap/>
            <w:vAlign w:val="center"/>
          </w:tcPr>
          <w:p w14:paraId="44CC1BF6">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72B93467">
            <w:pPr>
              <w:jc w:val="center"/>
              <w:rPr>
                <w:rFonts w:hint="eastAsia" w:ascii="宋体" w:hAnsi="宋体" w:eastAsia="宋体" w:cs="宋体"/>
                <w:b w:val="0"/>
                <w:bCs w:val="0"/>
                <w:i w:val="0"/>
                <w:iCs w:val="0"/>
                <w:color w:val="0070C0"/>
                <w:sz w:val="21"/>
                <w:szCs w:val="21"/>
                <w:u w:val="none"/>
                <w:lang w:val="en-US" w:eastAsia="zh-CN"/>
              </w:rPr>
            </w:pPr>
          </w:p>
        </w:tc>
        <w:tc>
          <w:tcPr>
            <w:tcW w:w="1200" w:type="dxa"/>
            <w:noWrap/>
            <w:vAlign w:val="center"/>
          </w:tcPr>
          <w:p w14:paraId="3D19F0E3">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02F5E83">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2623E41C">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70E1680E">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0E4327F">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3A8509FA">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3CA20DCF">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ABE4006">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8883966">
            <w:pPr>
              <w:jc w:val="center"/>
              <w:rPr>
                <w:rFonts w:hint="eastAsia" w:ascii="宋体" w:hAnsi="宋体" w:eastAsia="宋体" w:cs="宋体"/>
                <w:b w:val="0"/>
                <w:bCs w:val="0"/>
                <w:i w:val="0"/>
                <w:iCs w:val="0"/>
                <w:color w:val="000000"/>
                <w:sz w:val="21"/>
                <w:szCs w:val="21"/>
                <w:u w:val="none"/>
              </w:rPr>
            </w:pPr>
          </w:p>
        </w:tc>
      </w:tr>
      <w:tr w14:paraId="613A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noWrap/>
            <w:vAlign w:val="center"/>
          </w:tcPr>
          <w:p w14:paraId="370979F9">
            <w:pPr>
              <w:jc w:val="center"/>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4</w:t>
            </w:r>
          </w:p>
        </w:tc>
        <w:tc>
          <w:tcPr>
            <w:tcW w:w="1287" w:type="dxa"/>
            <w:noWrap/>
            <w:vAlign w:val="center"/>
          </w:tcPr>
          <w:p w14:paraId="3F4A5C21">
            <w:pPr>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新型冠状病毒RNA测定（单样检测）250403089S-2/2</w:t>
            </w:r>
          </w:p>
        </w:tc>
        <w:tc>
          <w:tcPr>
            <w:tcW w:w="1399" w:type="dxa"/>
            <w:shd w:val="clear" w:color="auto" w:fill="auto"/>
            <w:noWrap/>
            <w:vAlign w:val="center"/>
          </w:tcPr>
          <w:p w14:paraId="17129A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80" w:type="dxa"/>
            <w:shd w:val="clear" w:color="auto" w:fill="auto"/>
            <w:noWrap/>
            <w:vAlign w:val="center"/>
          </w:tcPr>
          <w:p w14:paraId="5BB92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78" w:type="dxa"/>
            <w:noWrap/>
            <w:vAlign w:val="center"/>
          </w:tcPr>
          <w:p w14:paraId="0913085B">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26BACDC6">
            <w:pPr>
              <w:jc w:val="center"/>
              <w:rPr>
                <w:rFonts w:hint="eastAsia" w:ascii="宋体" w:hAnsi="宋体" w:eastAsia="宋体" w:cs="宋体"/>
                <w:b w:val="0"/>
                <w:bCs w:val="0"/>
                <w:i w:val="0"/>
                <w:iCs w:val="0"/>
                <w:color w:val="0070C0"/>
                <w:sz w:val="21"/>
                <w:szCs w:val="21"/>
                <w:u w:val="none"/>
                <w:lang w:val="en-US" w:eastAsia="zh-CN"/>
              </w:rPr>
            </w:pPr>
          </w:p>
        </w:tc>
        <w:tc>
          <w:tcPr>
            <w:tcW w:w="1200" w:type="dxa"/>
            <w:noWrap/>
            <w:vAlign w:val="center"/>
          </w:tcPr>
          <w:p w14:paraId="4AAB56A8">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2B085619">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C49D332">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433B8BCB">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41345805">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21F51296">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58F9D2C">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10791A7A">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0BC14FE">
            <w:pPr>
              <w:jc w:val="center"/>
              <w:rPr>
                <w:rFonts w:hint="eastAsia" w:ascii="宋体" w:hAnsi="宋体" w:eastAsia="宋体" w:cs="宋体"/>
                <w:b w:val="0"/>
                <w:bCs w:val="0"/>
                <w:i w:val="0"/>
                <w:iCs w:val="0"/>
                <w:color w:val="000000"/>
                <w:sz w:val="21"/>
                <w:szCs w:val="21"/>
                <w:u w:val="none"/>
              </w:rPr>
            </w:pPr>
          </w:p>
        </w:tc>
      </w:tr>
      <w:tr w14:paraId="748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27" w:type="dxa"/>
            <w:noWrap/>
            <w:vAlign w:val="center"/>
          </w:tcPr>
          <w:p w14:paraId="6BFCD72B">
            <w:pPr>
              <w:jc w:val="center"/>
              <w:rPr>
                <w:rFonts w:hint="eastAsia" w:ascii="宋体" w:hAnsi="宋体" w:eastAsia="宋体" w:cs="宋体"/>
                <w:b w:val="0"/>
                <w:bCs w:val="0"/>
                <w:i w:val="0"/>
                <w:iCs w:val="0"/>
                <w:color w:val="000000"/>
                <w:sz w:val="21"/>
                <w:szCs w:val="21"/>
                <w:u w:val="none"/>
                <w:lang w:val="en-US" w:eastAsia="zh-CN"/>
              </w:rPr>
            </w:pPr>
          </w:p>
        </w:tc>
        <w:tc>
          <w:tcPr>
            <w:tcW w:w="1287" w:type="dxa"/>
            <w:noWrap/>
            <w:vAlign w:val="center"/>
          </w:tcPr>
          <w:p w14:paraId="5B0BBBF8">
            <w:pPr>
              <w:jc w:val="center"/>
              <w:rPr>
                <w:rFonts w:hint="eastAsia" w:ascii="宋体" w:hAnsi="宋体" w:eastAsia="宋体" w:cs="宋体"/>
                <w:i w:val="0"/>
                <w:iCs w:val="0"/>
                <w:color w:val="auto"/>
                <w:kern w:val="0"/>
                <w:sz w:val="21"/>
                <w:szCs w:val="21"/>
                <w:highlight w:val="none"/>
                <w:u w:val="none"/>
                <w:lang w:val="en-US" w:eastAsia="zh-CN" w:bidi="ar"/>
              </w:rPr>
            </w:pPr>
          </w:p>
        </w:tc>
        <w:tc>
          <w:tcPr>
            <w:tcW w:w="1399" w:type="dxa"/>
            <w:shd w:val="clear" w:color="auto" w:fill="auto"/>
            <w:noWrap/>
            <w:vAlign w:val="center"/>
          </w:tcPr>
          <w:p w14:paraId="7F4419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080" w:type="dxa"/>
            <w:shd w:val="clear" w:color="auto" w:fill="auto"/>
            <w:noWrap/>
            <w:vAlign w:val="center"/>
          </w:tcPr>
          <w:p w14:paraId="6809D9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278" w:type="dxa"/>
            <w:noWrap/>
            <w:vAlign w:val="center"/>
          </w:tcPr>
          <w:p w14:paraId="44558ED2">
            <w:pPr>
              <w:jc w:val="center"/>
              <w:rPr>
                <w:rFonts w:hint="eastAsia" w:ascii="宋体" w:hAnsi="宋体" w:eastAsia="宋体" w:cs="宋体"/>
                <w:b w:val="0"/>
                <w:bCs w:val="0"/>
                <w:i w:val="0"/>
                <w:iCs w:val="0"/>
                <w:color w:val="000000"/>
                <w:sz w:val="21"/>
                <w:szCs w:val="21"/>
                <w:u w:val="none"/>
              </w:rPr>
            </w:pPr>
          </w:p>
        </w:tc>
        <w:tc>
          <w:tcPr>
            <w:tcW w:w="1186" w:type="dxa"/>
            <w:shd w:val="clear" w:color="auto" w:fill="auto"/>
            <w:noWrap/>
            <w:vAlign w:val="center"/>
          </w:tcPr>
          <w:p w14:paraId="270CEB7D">
            <w:pPr>
              <w:jc w:val="center"/>
              <w:rPr>
                <w:rFonts w:hint="eastAsia" w:ascii="宋体" w:hAnsi="宋体" w:eastAsia="宋体" w:cs="宋体"/>
                <w:b w:val="0"/>
                <w:bCs w:val="0"/>
                <w:i w:val="0"/>
                <w:iCs w:val="0"/>
                <w:color w:val="0070C0"/>
                <w:sz w:val="21"/>
                <w:szCs w:val="21"/>
                <w:u w:val="none"/>
                <w:lang w:val="en-US" w:eastAsia="zh-CN"/>
              </w:rPr>
            </w:pPr>
          </w:p>
        </w:tc>
        <w:tc>
          <w:tcPr>
            <w:tcW w:w="1200" w:type="dxa"/>
            <w:noWrap/>
            <w:vAlign w:val="center"/>
          </w:tcPr>
          <w:p w14:paraId="27B5FEC5">
            <w:pPr>
              <w:jc w:val="center"/>
              <w:rPr>
                <w:rFonts w:hint="eastAsia" w:ascii="宋体" w:hAnsi="宋体" w:eastAsia="宋体" w:cs="宋体"/>
                <w:b w:val="0"/>
                <w:bCs w:val="0"/>
                <w:i w:val="0"/>
                <w:iCs w:val="0"/>
                <w:color w:val="000000"/>
                <w:sz w:val="21"/>
                <w:szCs w:val="21"/>
                <w:u w:val="none"/>
              </w:rPr>
            </w:pPr>
          </w:p>
        </w:tc>
        <w:tc>
          <w:tcPr>
            <w:tcW w:w="913" w:type="dxa"/>
            <w:noWrap/>
            <w:vAlign w:val="center"/>
          </w:tcPr>
          <w:p w14:paraId="14DF6D8A">
            <w:pPr>
              <w:jc w:val="center"/>
              <w:rPr>
                <w:rFonts w:hint="eastAsia" w:ascii="宋体" w:hAnsi="宋体" w:eastAsia="宋体" w:cs="宋体"/>
                <w:b w:val="0"/>
                <w:bCs w:val="0"/>
                <w:i w:val="0"/>
                <w:iCs w:val="0"/>
                <w:color w:val="000000"/>
                <w:sz w:val="21"/>
                <w:szCs w:val="21"/>
                <w:u w:val="none"/>
              </w:rPr>
            </w:pPr>
          </w:p>
        </w:tc>
        <w:tc>
          <w:tcPr>
            <w:tcW w:w="900" w:type="dxa"/>
            <w:noWrap/>
            <w:vAlign w:val="center"/>
          </w:tcPr>
          <w:p w14:paraId="4914DAB3">
            <w:pPr>
              <w:jc w:val="center"/>
              <w:rPr>
                <w:rFonts w:hint="eastAsia" w:ascii="宋体" w:hAnsi="宋体" w:eastAsia="宋体" w:cs="宋体"/>
                <w:b w:val="0"/>
                <w:bCs w:val="0"/>
                <w:i w:val="0"/>
                <w:iCs w:val="0"/>
                <w:color w:val="000000"/>
                <w:sz w:val="21"/>
                <w:szCs w:val="21"/>
                <w:u w:val="none"/>
              </w:rPr>
            </w:pPr>
          </w:p>
        </w:tc>
        <w:tc>
          <w:tcPr>
            <w:tcW w:w="790" w:type="dxa"/>
            <w:noWrap/>
            <w:vAlign w:val="center"/>
          </w:tcPr>
          <w:p w14:paraId="23DFC4B9">
            <w:pPr>
              <w:jc w:val="center"/>
              <w:rPr>
                <w:rFonts w:hint="eastAsia" w:ascii="宋体" w:hAnsi="宋体" w:eastAsia="宋体" w:cs="宋体"/>
                <w:b w:val="0"/>
                <w:bCs w:val="0"/>
                <w:i w:val="0"/>
                <w:iCs w:val="0"/>
                <w:color w:val="000000"/>
                <w:sz w:val="21"/>
                <w:szCs w:val="21"/>
                <w:u w:val="none"/>
              </w:rPr>
            </w:pPr>
          </w:p>
        </w:tc>
        <w:tc>
          <w:tcPr>
            <w:tcW w:w="975" w:type="dxa"/>
            <w:noWrap/>
            <w:vAlign w:val="center"/>
          </w:tcPr>
          <w:p w14:paraId="051A3190">
            <w:pPr>
              <w:jc w:val="center"/>
              <w:rPr>
                <w:rFonts w:hint="eastAsia" w:ascii="宋体" w:hAnsi="宋体" w:eastAsia="宋体" w:cs="宋体"/>
                <w:b w:val="0"/>
                <w:bCs w:val="0"/>
                <w:i w:val="0"/>
                <w:iCs w:val="0"/>
                <w:color w:val="000000"/>
                <w:sz w:val="21"/>
                <w:szCs w:val="21"/>
                <w:u w:val="none"/>
              </w:rPr>
            </w:pPr>
          </w:p>
        </w:tc>
        <w:tc>
          <w:tcPr>
            <w:tcW w:w="935" w:type="dxa"/>
            <w:noWrap/>
            <w:vAlign w:val="center"/>
          </w:tcPr>
          <w:p w14:paraId="786C7EFA">
            <w:pPr>
              <w:jc w:val="center"/>
              <w:rPr>
                <w:rFonts w:hint="eastAsia" w:ascii="宋体" w:hAnsi="宋体" w:eastAsia="宋体" w:cs="宋体"/>
                <w:b w:val="0"/>
                <w:bCs w:val="0"/>
                <w:i w:val="0"/>
                <w:iCs w:val="0"/>
                <w:color w:val="000000"/>
                <w:sz w:val="21"/>
                <w:szCs w:val="21"/>
                <w:u w:val="none"/>
              </w:rPr>
            </w:pPr>
          </w:p>
        </w:tc>
        <w:tc>
          <w:tcPr>
            <w:tcW w:w="1080" w:type="dxa"/>
            <w:noWrap/>
            <w:vAlign w:val="center"/>
          </w:tcPr>
          <w:p w14:paraId="677F6244">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57D9B9FB">
            <w:pPr>
              <w:jc w:val="center"/>
              <w:rPr>
                <w:rFonts w:hint="eastAsia" w:ascii="宋体" w:hAnsi="宋体" w:eastAsia="宋体" w:cs="宋体"/>
                <w:b w:val="0"/>
                <w:bCs w:val="0"/>
                <w:i w:val="0"/>
                <w:iCs w:val="0"/>
                <w:color w:val="000000"/>
                <w:sz w:val="21"/>
                <w:szCs w:val="21"/>
                <w:u w:val="none"/>
              </w:rPr>
            </w:pPr>
          </w:p>
        </w:tc>
        <w:tc>
          <w:tcPr>
            <w:tcW w:w="828" w:type="dxa"/>
            <w:noWrap/>
            <w:vAlign w:val="center"/>
          </w:tcPr>
          <w:p w14:paraId="71ABD853">
            <w:pPr>
              <w:jc w:val="center"/>
              <w:rPr>
                <w:rFonts w:hint="eastAsia" w:ascii="宋体" w:hAnsi="宋体" w:eastAsia="宋体" w:cs="宋体"/>
                <w:b w:val="0"/>
                <w:bCs w:val="0"/>
                <w:i w:val="0"/>
                <w:iCs w:val="0"/>
                <w:color w:val="000000"/>
                <w:sz w:val="21"/>
                <w:szCs w:val="21"/>
                <w:u w:val="none"/>
              </w:rPr>
            </w:pPr>
          </w:p>
        </w:tc>
      </w:tr>
    </w:tbl>
    <w:p w14:paraId="74EFE980">
      <w:pPr>
        <w:spacing w:line="440" w:lineRule="exact"/>
      </w:pPr>
    </w:p>
    <w:p w14:paraId="10FAC66A">
      <w:pPr>
        <w:jc w:val="left"/>
        <w:rPr>
          <w:rFonts w:hint="eastAsia" w:ascii="宋体" w:hAnsi="宋体"/>
          <w:b/>
          <w:bCs/>
          <w:sz w:val="24"/>
          <w:szCs w:val="24"/>
          <w:lang w:val="en-US" w:eastAsia="zh-CN"/>
        </w:rPr>
        <w:sectPr>
          <w:pgSz w:w="16838" w:h="11906" w:orient="landscape"/>
          <w:pgMar w:top="720" w:right="607" w:bottom="720" w:left="607" w:header="851" w:footer="992" w:gutter="0"/>
          <w:cols w:space="425" w:num="1"/>
          <w:docGrid w:type="lines" w:linePitch="312" w:charSpace="0"/>
        </w:sectPr>
      </w:pPr>
    </w:p>
    <w:p w14:paraId="7707460E">
      <w:pPr>
        <w:jc w:val="left"/>
        <w:rPr>
          <w:rFonts w:hint="eastAsia" w:ascii="宋体" w:hAnsi="宋体"/>
          <w:b/>
          <w:bCs/>
          <w:sz w:val="24"/>
          <w:szCs w:val="24"/>
          <w:lang w:val="en-US" w:eastAsia="zh-CN"/>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5B9D1FCC">
      <w:pPr>
        <w:jc w:val="left"/>
        <w:rPr>
          <w:rFonts w:hint="eastAsia" w:ascii="宋体" w:hAnsi="宋体"/>
          <w:b/>
          <w:bCs/>
          <w:sz w:val="24"/>
          <w:szCs w:val="24"/>
          <w:lang w:val="en-US" w:eastAsia="zh-CN"/>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p w14:paraId="64DA618D">
      <w:pPr>
        <w:jc w:val="left"/>
        <w:rPr>
          <w:rFonts w:hint="eastAsia" w:ascii="宋体" w:hAnsi="宋体"/>
          <w:b/>
          <w:bCs/>
          <w:sz w:val="24"/>
          <w:szCs w:val="24"/>
          <w:lang w:val="en-US" w:eastAsia="zh-CN"/>
        </w:rPr>
      </w:pPr>
    </w:p>
    <w:p w14:paraId="5CE6FBCB">
      <w:pPr>
        <w:jc w:val="left"/>
        <w:rPr>
          <w:rFonts w:hint="eastAsia" w:ascii="宋体" w:hAnsi="宋体"/>
          <w:b/>
          <w:bCs/>
          <w:sz w:val="24"/>
          <w:szCs w:val="24"/>
          <w:lang w:val="en-US" w:eastAsia="zh-CN"/>
        </w:rPr>
      </w:pPr>
    </w:p>
    <w:p w14:paraId="3EAEDEF0">
      <w:pPr>
        <w:jc w:val="left"/>
        <w:rPr>
          <w:rFonts w:hint="eastAsia" w:ascii="宋体" w:hAnsi="宋体"/>
          <w:b/>
          <w:bCs/>
          <w:sz w:val="24"/>
          <w:szCs w:val="24"/>
          <w:lang w:val="en-US" w:eastAsia="zh-CN"/>
        </w:rPr>
      </w:pPr>
    </w:p>
    <w:p w14:paraId="7978E008">
      <w:pPr>
        <w:jc w:val="left"/>
        <w:rPr>
          <w:rFonts w:hint="eastAsia" w:ascii="宋体" w:hAnsi="宋体"/>
          <w:b/>
          <w:bCs/>
          <w:color w:val="FF0000"/>
          <w:sz w:val="24"/>
          <w:szCs w:val="24"/>
          <w:lang w:val="en-US" w:eastAsia="zh-CN"/>
        </w:rPr>
      </w:pPr>
    </w:p>
    <w:p w14:paraId="57205717">
      <w:pPr>
        <w:jc w:val="left"/>
        <w:rPr>
          <w:rFonts w:hint="eastAsia" w:ascii="宋体" w:hAnsi="宋体"/>
          <w:b/>
          <w:bCs/>
          <w:color w:val="FF0000"/>
          <w:sz w:val="24"/>
          <w:szCs w:val="24"/>
          <w:lang w:val="en-US" w:eastAsia="zh-CN"/>
        </w:rPr>
      </w:pPr>
      <w:r>
        <w:rPr>
          <w:rFonts w:hint="eastAsia" w:ascii="宋体" w:hAnsi="宋体"/>
          <w:b/>
          <w:bCs/>
          <w:color w:val="FF0000"/>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6EB617E6">
      <w:pPr>
        <w:spacing w:line="440" w:lineRule="exact"/>
        <w:jc w:val="both"/>
        <w:rPr>
          <w:rFonts w:hint="eastAsia"/>
          <w:b/>
          <w:sz w:val="32"/>
          <w:szCs w:val="32"/>
        </w:rPr>
      </w:pPr>
    </w:p>
    <w:p w14:paraId="68834B73">
      <w:pPr>
        <w:spacing w:line="440" w:lineRule="exact"/>
        <w:jc w:val="both"/>
        <w:rPr>
          <w:rFonts w:hint="eastAsia"/>
          <w:b/>
          <w:sz w:val="32"/>
          <w:szCs w:val="32"/>
        </w:rPr>
      </w:pPr>
    </w:p>
    <w:p w14:paraId="529DCEFC">
      <w:pPr>
        <w:spacing w:line="440" w:lineRule="exact"/>
        <w:jc w:val="both"/>
        <w:rPr>
          <w:rFonts w:hint="eastAsia"/>
          <w:b/>
          <w:sz w:val="32"/>
          <w:szCs w:val="32"/>
        </w:rPr>
      </w:pPr>
    </w:p>
    <w:p w14:paraId="3AF6AA13">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2C074776">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05228851">
      <w:pPr>
        <w:numPr>
          <w:ilvl w:val="0"/>
          <w:numId w:val="3"/>
        </w:num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总则：</w:t>
      </w:r>
    </w:p>
    <w:p w14:paraId="69FE3504">
      <w:pPr>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中标服务费、售后服务、</w:t>
      </w:r>
      <w:r>
        <w:rPr>
          <w:color w:val="auto"/>
          <w:sz w:val="21"/>
          <w:highlight w:val="none"/>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负责相关费用，采购人将不再支付任何费用。</w:t>
      </w:r>
    </w:p>
    <w:p w14:paraId="3AC9742B">
      <w:pPr>
        <w:pStyle w:val="4"/>
        <w:numPr>
          <w:ilvl w:val="0"/>
          <w:numId w:val="4"/>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中凡有“★”标识的内容条款为关键条款，</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必须对此</w:t>
      </w:r>
      <w:r>
        <w:rPr>
          <w:rFonts w:hint="eastAsia" w:ascii="宋体" w:hAnsi="宋体" w:eastAsia="宋体" w:cs="宋体"/>
          <w:color w:val="auto"/>
          <w:sz w:val="21"/>
          <w:szCs w:val="21"/>
          <w:highlight w:val="none"/>
          <w:lang w:eastAsia="zh-CN"/>
        </w:rPr>
        <w:t>做出</w:t>
      </w:r>
      <w:r>
        <w:rPr>
          <w:rFonts w:hint="eastAsia" w:ascii="宋体" w:hAnsi="宋体" w:eastAsia="宋体" w:cs="宋体"/>
          <w:color w:val="auto"/>
          <w:sz w:val="21"/>
          <w:szCs w:val="21"/>
          <w:highlight w:val="none"/>
        </w:rPr>
        <w:t>回答并完全满足这些要求不可以出现任何负偏离，对这些关键条款的任何负偏离将视为无效投标。</w:t>
      </w:r>
    </w:p>
    <w:p w14:paraId="26D28204">
      <w:pPr>
        <w:pStyle w:val="4"/>
        <w:numPr>
          <w:ilvl w:val="0"/>
          <w:numId w:val="4"/>
        </w:num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加注“▲”的内容为重点评标项目，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必须对该标识项目按照要求进行真实应答描述。但不作为无效投标条款。</w:t>
      </w:r>
    </w:p>
    <w:p w14:paraId="31BEA60B">
      <w:pPr>
        <w:pStyle w:val="4"/>
        <w:numPr>
          <w:ilvl w:val="0"/>
          <w:numId w:val="4"/>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投标人所投设备如属于医疗器械设备（含医用耗材），</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应该符合《医疗器械经营质量管理规范》和《医疗器械监督管理条例》规定，并结合本项目特性提供</w:t>
      </w:r>
      <w:r>
        <w:rPr>
          <w:rFonts w:hint="eastAsia" w:ascii="宋体" w:hAnsi="宋体" w:eastAsia="宋体" w:cs="宋体"/>
          <w:color w:val="auto"/>
          <w:sz w:val="21"/>
          <w:szCs w:val="21"/>
          <w:highlight w:val="none"/>
          <w:lang w:val="en-US" w:eastAsia="zh-CN"/>
        </w:rPr>
        <w:t>设备或耗材的</w:t>
      </w:r>
      <w:r>
        <w:rPr>
          <w:rFonts w:hint="eastAsia" w:ascii="宋体" w:hAnsi="宋体" w:eastAsia="宋体" w:cs="宋体"/>
          <w:color w:val="auto"/>
          <w:sz w:val="21"/>
          <w:szCs w:val="21"/>
          <w:highlight w:val="none"/>
        </w:rPr>
        <w:t>有效医疗器械注册</w:t>
      </w:r>
      <w:r>
        <w:rPr>
          <w:rFonts w:hint="eastAsia" w:ascii="宋体" w:hAnsi="宋体" w:eastAsia="宋体" w:cs="宋体"/>
          <w:color w:val="auto"/>
          <w:sz w:val="21"/>
          <w:szCs w:val="21"/>
          <w:highlight w:val="none"/>
          <w:lang w:val="en-US" w:eastAsia="zh-CN"/>
        </w:rPr>
        <w:t>证或</w:t>
      </w:r>
      <w:r>
        <w:rPr>
          <w:rFonts w:hint="eastAsia" w:ascii="宋体" w:hAnsi="宋体" w:eastAsia="宋体" w:cs="宋体"/>
          <w:color w:val="auto"/>
          <w:sz w:val="21"/>
          <w:szCs w:val="21"/>
          <w:highlight w:val="none"/>
        </w:rPr>
        <w:t>备案证明材料和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的经营许可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备案证明材料</w:t>
      </w:r>
      <w:r>
        <w:rPr>
          <w:rFonts w:hint="eastAsia" w:ascii="宋体" w:hAnsi="宋体" w:eastAsia="宋体" w:cs="宋体"/>
          <w:color w:val="auto"/>
          <w:kern w:val="2"/>
          <w:sz w:val="21"/>
          <w:szCs w:val="21"/>
          <w:highlight w:val="none"/>
          <w:lang w:val="en-US" w:eastAsia="zh-CN" w:bidi="ar-SA"/>
        </w:rPr>
        <w:t>（提供证明材料复印件加盖公章）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bidi="ar-SA"/>
        </w:rPr>
        <w:t>所投设备（含医用耗材）必须是在医疗器械注册证或备案证明有效期内生产的产品。不属于医疗器械设备无须提供医疗器械注册证或备案证。</w:t>
      </w:r>
    </w:p>
    <w:p w14:paraId="2AB7D66C">
      <w:pPr>
        <w:pStyle w:val="4"/>
        <w:numPr>
          <w:ilvl w:val="0"/>
          <w:numId w:val="4"/>
        </w:num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本文的“质保期”是指中标标的物经约定的验收机构完成验收之日起算，截至</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承诺的期限。</w:t>
      </w:r>
    </w:p>
    <w:p w14:paraId="44A9694E">
      <w:pPr>
        <w:numPr>
          <w:ilvl w:val="0"/>
          <w:numId w:val="3"/>
        </w:num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0CF2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6E2E4D4">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268" w:type="dxa"/>
          </w:tcPr>
          <w:p w14:paraId="321A7E8A">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需求科室/部门</w:t>
            </w:r>
          </w:p>
        </w:tc>
        <w:tc>
          <w:tcPr>
            <w:tcW w:w="2508" w:type="dxa"/>
          </w:tcPr>
          <w:p w14:paraId="57C7645C">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数量（套）</w:t>
            </w:r>
          </w:p>
        </w:tc>
      </w:tr>
      <w:tr w14:paraId="6B75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0AE827AF">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全自动核酸检测分析仪</w:t>
            </w:r>
          </w:p>
        </w:tc>
        <w:tc>
          <w:tcPr>
            <w:tcW w:w="2268" w:type="dxa"/>
          </w:tcPr>
          <w:p w14:paraId="4024E571">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检验科</w:t>
            </w:r>
          </w:p>
        </w:tc>
        <w:tc>
          <w:tcPr>
            <w:tcW w:w="2508" w:type="dxa"/>
          </w:tcPr>
          <w:p w14:paraId="7EDDAED7">
            <w:pPr>
              <w:spacing w:line="44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r>
    </w:tbl>
    <w:p w14:paraId="1B2AA0E7">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核心产品：全自动核酸检测分析仪</w:t>
      </w:r>
    </w:p>
    <w:p w14:paraId="2E5BE308">
      <w:pPr>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用途：</w:t>
      </w:r>
      <w:r>
        <w:rPr>
          <w:rFonts w:hint="default" w:ascii="宋体" w:hAnsi="宋体" w:eastAsia="宋体" w:cs="宋体"/>
          <w:color w:val="auto"/>
          <w:sz w:val="21"/>
          <w:szCs w:val="21"/>
          <w:highlight w:val="none"/>
          <w:lang w:val="en-US" w:eastAsia="zh-CN"/>
        </w:rPr>
        <w:t>用于临床样本的全自动核酸提取与检测，开展各类感染性疾病病原体的核酸检测，为临床感染性疾病的诊断、治疗监测及传染病防控提供精准的分子检测支持，满足检验科日常检测、发热门诊/急诊快速分流、传染病防控等临床与公共卫生需求。</w:t>
      </w:r>
    </w:p>
    <w:p w14:paraId="6E2FECDC">
      <w:pPr>
        <w:spacing w:line="440" w:lineRule="exact"/>
        <w:rPr>
          <w:rFonts w:hint="eastAsia" w:ascii="宋体" w:hAnsi="宋体" w:eastAsia="宋体" w:cs="宋体"/>
          <w:color w:val="auto"/>
          <w:sz w:val="21"/>
          <w:szCs w:val="21"/>
          <w:highlight w:val="none"/>
          <w:lang w:val="en-US" w:eastAsia="zh-CN"/>
        </w:rPr>
      </w:pPr>
    </w:p>
    <w:p w14:paraId="47D2FDC4">
      <w:pPr>
        <w:spacing w:line="440" w:lineRule="exact"/>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设备符合中山市物价收费名目：</w:t>
      </w:r>
    </w:p>
    <w:tbl>
      <w:tblPr>
        <w:tblStyle w:val="9"/>
        <w:tblW w:w="85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3"/>
        <w:gridCol w:w="2130"/>
        <w:gridCol w:w="2926"/>
        <w:gridCol w:w="2130"/>
      </w:tblGrid>
      <w:tr w14:paraId="7D5C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2E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使用科室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9A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中山市物价编码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9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收费项目名称</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A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收费单价（元）</w:t>
            </w:r>
          </w:p>
        </w:tc>
      </w:tr>
      <w:tr w14:paraId="7157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3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检验科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F9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250403065-1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DB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各类病原体DNA测定-定性</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2D3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r>
      <w:tr w14:paraId="4A9F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60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检验科</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9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250403089S-1</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5B2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各类病原体RNA测定</w:t>
            </w:r>
          </w:p>
          <w:p w14:paraId="0771514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(核酸恒温扩增法)</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89D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r>
      <w:tr w14:paraId="79CC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5B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检验科</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CEE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250403089S-2</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4BF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 xml:space="preserve">Real-time PCR </w:t>
            </w:r>
          </w:p>
          <w:p w14:paraId="0A179EF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（实时荧光定量PCR）</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9F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151</w:t>
            </w:r>
          </w:p>
        </w:tc>
      </w:tr>
      <w:tr w14:paraId="2D78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jc w:val="center"/>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检验科</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21B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250403089S-2/2</w:t>
            </w:r>
          </w:p>
        </w:tc>
        <w:tc>
          <w:tcPr>
            <w:tcW w:w="2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237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新型冠状病毒RNA测定（单样检测）</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D4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检测服务费以及试剂费用总和不得超过每人份13.5元</w:t>
            </w:r>
          </w:p>
        </w:tc>
      </w:tr>
    </w:tbl>
    <w:p w14:paraId="554273A8">
      <w:pPr>
        <w:spacing w:line="440" w:lineRule="exact"/>
        <w:rPr>
          <w:rFonts w:hint="eastAsia" w:ascii="宋体" w:hAnsi="宋体" w:eastAsia="宋体" w:cs="宋体"/>
          <w:b/>
          <w:color w:val="auto"/>
          <w:sz w:val="21"/>
          <w:szCs w:val="21"/>
          <w:highlight w:val="none"/>
        </w:rPr>
      </w:pPr>
    </w:p>
    <w:p w14:paraId="3733E946">
      <w:pPr>
        <w:numPr>
          <w:ilvl w:val="0"/>
          <w:numId w:val="3"/>
        </w:num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655"/>
        <w:gridCol w:w="7171"/>
      </w:tblGrid>
      <w:tr w14:paraId="5C77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Pr>
          <w:p w14:paraId="2B02209A">
            <w:pPr>
              <w:spacing w:line="440" w:lineRule="exact"/>
              <w:jc w:val="center"/>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参数性质</w:t>
            </w:r>
          </w:p>
        </w:tc>
        <w:tc>
          <w:tcPr>
            <w:tcW w:w="655" w:type="dxa"/>
          </w:tcPr>
          <w:p w14:paraId="244627C6">
            <w:pPr>
              <w:spacing w:line="440" w:lineRule="exact"/>
              <w:jc w:val="center"/>
              <w:rPr>
                <w:rFonts w:ascii="宋体" w:hAnsi="宋体"/>
                <w:color w:val="auto"/>
                <w:szCs w:val="21"/>
                <w:highlight w:val="none"/>
              </w:rPr>
            </w:pPr>
            <w:r>
              <w:rPr>
                <w:rFonts w:hint="eastAsia" w:ascii="宋体" w:hAnsi="宋体"/>
                <w:color w:val="auto"/>
                <w:szCs w:val="21"/>
                <w:highlight w:val="none"/>
              </w:rPr>
              <w:t>序号</w:t>
            </w:r>
          </w:p>
        </w:tc>
        <w:tc>
          <w:tcPr>
            <w:tcW w:w="7171" w:type="dxa"/>
          </w:tcPr>
          <w:p w14:paraId="4D836B93">
            <w:pPr>
              <w:spacing w:line="440" w:lineRule="exact"/>
              <w:jc w:val="center"/>
              <w:rPr>
                <w:rFonts w:ascii="宋体" w:hAnsi="宋体"/>
                <w:color w:val="auto"/>
                <w:szCs w:val="21"/>
                <w:highlight w:val="none"/>
              </w:rPr>
            </w:pPr>
            <w:r>
              <w:rPr>
                <w:rFonts w:hint="eastAsia" w:ascii="宋体" w:hAnsi="宋体"/>
                <w:color w:val="auto"/>
                <w:szCs w:val="21"/>
                <w:highlight w:val="none"/>
              </w:rPr>
              <w:t>要求</w:t>
            </w:r>
          </w:p>
        </w:tc>
      </w:tr>
      <w:tr w14:paraId="0005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5A1AA149">
            <w:pPr>
              <w:spacing w:line="440" w:lineRule="exact"/>
              <w:jc w:val="center"/>
              <w:rPr>
                <w:rFonts w:hint="eastAsia"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655" w:type="dxa"/>
            <w:vAlign w:val="center"/>
          </w:tcPr>
          <w:p w14:paraId="45AD1EFC">
            <w:pPr>
              <w:spacing w:line="440" w:lineRule="exact"/>
              <w:jc w:val="center"/>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szCs w:val="21"/>
                <w:highlight w:val="none"/>
                <w:lang w:val="en-US" w:eastAsia="zh-CN"/>
              </w:rPr>
              <w:t>1</w:t>
            </w:r>
          </w:p>
        </w:tc>
        <w:tc>
          <w:tcPr>
            <w:tcW w:w="7171" w:type="dxa"/>
            <w:vAlign w:val="center"/>
          </w:tcPr>
          <w:p w14:paraId="2BBA6054">
            <w:pPr>
              <w:spacing w:line="440" w:lineRule="exact"/>
              <w:jc w:val="left"/>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荧光通道：</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 xml:space="preserve"> 4。</w:t>
            </w:r>
          </w:p>
        </w:tc>
      </w:tr>
      <w:tr w14:paraId="33A4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6A69CC83">
            <w:pPr>
              <w:spacing w:line="440" w:lineRule="exact"/>
              <w:jc w:val="center"/>
              <w:rPr>
                <w:rFonts w:hint="default" w:ascii="Times New Roman" w:hAnsi="Times New Roman" w:cs="Times New Roman"/>
                <w:color w:val="auto"/>
                <w:szCs w:val="21"/>
                <w:highlight w:val="none"/>
              </w:rPr>
            </w:pPr>
          </w:p>
        </w:tc>
        <w:tc>
          <w:tcPr>
            <w:tcW w:w="655" w:type="dxa"/>
            <w:vAlign w:val="center"/>
          </w:tcPr>
          <w:p w14:paraId="44A50726">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w:t>
            </w:r>
          </w:p>
        </w:tc>
        <w:tc>
          <w:tcPr>
            <w:tcW w:w="7171" w:type="dxa"/>
            <w:vAlign w:val="center"/>
          </w:tcPr>
          <w:p w14:paraId="793AA048">
            <w:pPr>
              <w:spacing w:line="440" w:lineRule="exact"/>
              <w:jc w:val="both"/>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检验原理：恒温扩增法或实时荧光定量PCR</w:t>
            </w:r>
          </w:p>
        </w:tc>
      </w:tr>
      <w:tr w14:paraId="1567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51BB82E3">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5" w:type="dxa"/>
            <w:vAlign w:val="center"/>
          </w:tcPr>
          <w:p w14:paraId="734AA8D4">
            <w:pPr>
              <w:spacing w:line="440" w:lineRule="exact"/>
              <w:jc w:val="center"/>
              <w:rPr>
                <w:rFonts w:hint="eastAsia" w:ascii="Times New Roman" w:hAnsi="Times New Roman" w:cs="Times New Roman" w:eastAsiaTheme="minorEastAsia"/>
                <w:color w:val="auto"/>
                <w:szCs w:val="21"/>
                <w:highlight w:val="none"/>
                <w:lang w:eastAsia="zh-CN"/>
              </w:rPr>
            </w:pPr>
            <w:r>
              <w:rPr>
                <w:rFonts w:hint="eastAsia" w:ascii="Times New Roman" w:hAnsi="Times New Roman" w:cs="Times New Roman"/>
                <w:color w:val="auto"/>
                <w:szCs w:val="21"/>
                <w:highlight w:val="none"/>
                <w:lang w:val="en-US" w:eastAsia="zh-CN"/>
              </w:rPr>
              <w:t>3</w:t>
            </w:r>
          </w:p>
        </w:tc>
        <w:tc>
          <w:tcPr>
            <w:tcW w:w="7171" w:type="dxa"/>
            <w:vAlign w:val="center"/>
          </w:tcPr>
          <w:p w14:paraId="2A84EDBC">
            <w:pPr>
              <w:spacing w:line="440" w:lineRule="exact"/>
              <w:jc w:val="left"/>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检测模块：各模块间相互独立，互不干扰，</w:t>
            </w:r>
            <w:r>
              <w:rPr>
                <w:rFonts w:hint="default" w:ascii="Times New Roman" w:hAnsi="Times New Roman" w:cs="Times New Roman" w:eastAsiaTheme="minorEastAsia"/>
                <w:b w:val="0"/>
                <w:bCs w:val="0"/>
                <w:color w:val="auto"/>
                <w:kern w:val="2"/>
                <w:sz w:val="21"/>
                <w:szCs w:val="21"/>
                <w:highlight w:val="none"/>
                <w:lang w:val="en-US" w:eastAsia="zh-CN" w:bidi="ar-SA"/>
              </w:rPr>
              <w:t>实现不同样本、不同检测项目随到随检</w:t>
            </w:r>
            <w:r>
              <w:rPr>
                <w:rFonts w:hint="eastAsia" w:ascii="Times New Roman" w:hAnsi="Times New Roman" w:cs="Times New Roman" w:eastAsiaTheme="minorEastAsia"/>
                <w:b w:val="0"/>
                <w:bCs w:val="0"/>
                <w:color w:val="auto"/>
                <w:kern w:val="2"/>
                <w:sz w:val="21"/>
                <w:szCs w:val="21"/>
                <w:highlight w:val="none"/>
                <w:lang w:val="en-US" w:eastAsia="zh-CN" w:bidi="ar-SA"/>
              </w:rPr>
              <w:t>。</w:t>
            </w:r>
          </w:p>
        </w:tc>
      </w:tr>
      <w:tr w14:paraId="244D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6528C9C3">
            <w:pPr>
              <w:spacing w:line="440" w:lineRule="exact"/>
              <w:jc w:val="center"/>
              <w:rPr>
                <w:rFonts w:hint="default" w:ascii="Times New Roman" w:hAnsi="Times New Roman" w:cs="Times New Roman"/>
                <w:color w:val="auto"/>
                <w:szCs w:val="21"/>
                <w:highlight w:val="none"/>
              </w:rPr>
            </w:pPr>
          </w:p>
        </w:tc>
        <w:tc>
          <w:tcPr>
            <w:tcW w:w="655" w:type="dxa"/>
            <w:vAlign w:val="center"/>
          </w:tcPr>
          <w:p w14:paraId="64F5A57F">
            <w:pPr>
              <w:spacing w:line="440" w:lineRule="exact"/>
              <w:jc w:val="center"/>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4</w:t>
            </w:r>
          </w:p>
        </w:tc>
        <w:tc>
          <w:tcPr>
            <w:tcW w:w="7171" w:type="dxa"/>
            <w:vAlign w:val="center"/>
          </w:tcPr>
          <w:p w14:paraId="022B6DC8">
            <w:pPr>
              <w:spacing w:line="440" w:lineRule="exact"/>
              <w:jc w:val="left"/>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样本通量：单台设备可同时检测 </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 xml:space="preserve"> 16份样本。</w:t>
            </w:r>
          </w:p>
        </w:tc>
      </w:tr>
      <w:tr w14:paraId="741B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5" w:type="dxa"/>
            <w:vAlign w:val="center"/>
          </w:tcPr>
          <w:p w14:paraId="4C8B1802">
            <w:pPr>
              <w:spacing w:line="4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5" w:type="dxa"/>
            <w:vAlign w:val="center"/>
          </w:tcPr>
          <w:p w14:paraId="4E3BC341">
            <w:pPr>
              <w:spacing w:line="440" w:lineRule="exact"/>
              <w:jc w:val="center"/>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5</w:t>
            </w:r>
          </w:p>
        </w:tc>
        <w:tc>
          <w:tcPr>
            <w:tcW w:w="7171" w:type="dxa"/>
            <w:shd w:val="clear" w:color="auto" w:fill="auto"/>
            <w:vAlign w:val="center"/>
          </w:tcPr>
          <w:p w14:paraId="6C99BA60">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自动化程度：核酸提取、扩增检测均在同一封闭试剂内完成；原始样本加样后上机至结果报告过程，无需任何手工操作。</w:t>
            </w:r>
          </w:p>
        </w:tc>
      </w:tr>
      <w:tr w14:paraId="5E40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5398744C">
            <w:pPr>
              <w:spacing w:line="440" w:lineRule="exact"/>
              <w:jc w:val="center"/>
              <w:rPr>
                <w:rFonts w:hint="eastAsia"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655" w:type="dxa"/>
            <w:vAlign w:val="center"/>
          </w:tcPr>
          <w:p w14:paraId="186045B0">
            <w:pPr>
              <w:spacing w:line="440" w:lineRule="exact"/>
              <w:jc w:val="center"/>
              <w:rPr>
                <w:rFonts w:hint="eastAsia"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6</w:t>
            </w:r>
          </w:p>
        </w:tc>
        <w:tc>
          <w:tcPr>
            <w:tcW w:w="7171" w:type="dxa"/>
            <w:shd w:val="clear" w:color="auto" w:fill="auto"/>
            <w:vAlign w:val="center"/>
          </w:tcPr>
          <w:p w14:paraId="5885838F">
            <w:pPr>
              <w:spacing w:line="440" w:lineRule="exact"/>
              <w:jc w:val="left"/>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Cs w:val="21"/>
                <w:highlight w:val="none"/>
              </w:rPr>
              <w:t>各检验项目的单例</w:t>
            </w:r>
            <w:r>
              <w:rPr>
                <w:rFonts w:hint="eastAsia" w:ascii="Times New Roman" w:hAnsi="Times New Roman" w:cs="Times New Roman"/>
                <w:color w:val="auto"/>
                <w:szCs w:val="21"/>
                <w:highlight w:val="none"/>
                <w:lang w:val="en-US" w:eastAsia="zh-CN"/>
              </w:rPr>
              <w:t>样本试剂</w:t>
            </w:r>
            <w:r>
              <w:rPr>
                <w:rFonts w:hint="default" w:ascii="Times New Roman" w:hAnsi="Times New Roman" w:cs="Times New Roman"/>
                <w:color w:val="auto"/>
                <w:szCs w:val="21"/>
                <w:highlight w:val="none"/>
              </w:rPr>
              <w:t>耗材成本</w:t>
            </w:r>
            <w:r>
              <w:rPr>
                <w:rFonts w:hint="default"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rPr>
              <w:t>该项目收费标准的</w:t>
            </w:r>
            <w:r>
              <w:rPr>
                <w:rFonts w:hint="default" w:ascii="Times New Roman" w:hAnsi="Times New Roman" w:cs="Times New Roman"/>
                <w:color w:val="FF0000"/>
                <w:szCs w:val="21"/>
                <w:highlight w:val="none"/>
              </w:rPr>
              <w:t>30%</w:t>
            </w:r>
            <w:r>
              <w:rPr>
                <w:rFonts w:hint="eastAsia" w:ascii="Times New Roman" w:hAnsi="Times New Roman" w:cs="Times New Roman"/>
                <w:color w:val="0000FF"/>
                <w:szCs w:val="21"/>
                <w:highlight w:val="none"/>
                <w:lang w:eastAsia="zh-CN"/>
              </w:rPr>
              <w:t>（</w:t>
            </w:r>
            <w:r>
              <w:rPr>
                <w:rFonts w:hint="eastAsia" w:ascii="Times New Roman" w:hAnsi="Times New Roman" w:cs="Times New Roman"/>
                <w:color w:val="0000FF"/>
                <w:szCs w:val="21"/>
                <w:highlight w:val="none"/>
                <w:lang w:val="en-US" w:eastAsia="zh-CN"/>
              </w:rPr>
              <w:t>后续会调整</w:t>
            </w:r>
            <w:r>
              <w:rPr>
                <w:rFonts w:hint="eastAsia" w:ascii="Times New Roman" w:hAnsi="Times New Roman" w:cs="Times New Roman"/>
                <w:color w:val="0000FF"/>
                <w:szCs w:val="21"/>
                <w:highlight w:val="none"/>
                <w:lang w:eastAsia="zh-CN"/>
              </w:rPr>
              <w:t>）</w:t>
            </w:r>
            <w:r>
              <w:rPr>
                <w:rFonts w:hint="default" w:ascii="Times New Roman" w:hAnsi="Times New Roman" w:cs="Times New Roman"/>
                <w:color w:val="auto"/>
                <w:szCs w:val="21"/>
                <w:highlight w:val="none"/>
              </w:rPr>
              <w:t>。</w:t>
            </w:r>
          </w:p>
        </w:tc>
      </w:tr>
      <w:tr w14:paraId="2F07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center"/>
          </w:tcPr>
          <w:p w14:paraId="0C63FB07">
            <w:pPr>
              <w:spacing w:line="440" w:lineRule="exact"/>
              <w:jc w:val="center"/>
              <w:rPr>
                <w:rFonts w:hint="eastAsia"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655" w:type="dxa"/>
            <w:shd w:val="clear" w:color="auto" w:fill="auto"/>
            <w:vAlign w:val="center"/>
          </w:tcPr>
          <w:p w14:paraId="3C0C2B08">
            <w:pPr>
              <w:spacing w:line="440" w:lineRule="exact"/>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7</w:t>
            </w:r>
          </w:p>
        </w:tc>
        <w:tc>
          <w:tcPr>
            <w:tcW w:w="7171" w:type="dxa"/>
            <w:shd w:val="clear" w:color="auto" w:fill="auto"/>
            <w:vAlign w:val="center"/>
          </w:tcPr>
          <w:p w14:paraId="4635880F">
            <w:pPr>
              <w:keepNext w:val="0"/>
              <w:keepLines w:val="0"/>
              <w:widowControl/>
              <w:suppressLineNumbers w:val="0"/>
              <w:spacing w:line="360" w:lineRule="auto"/>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平台通用性：可开展甲型流感病毒、乙型流感病毒、新型冠状病毒、呼吸道合胞病毒、</w:t>
            </w:r>
            <w:r>
              <w:rPr>
                <w:rFonts w:hint="eastAsia" w:ascii="宋体" w:hAnsi="宋体" w:eastAsia="宋体" w:cs="宋体"/>
                <w:b w:val="0"/>
                <w:bCs w:val="0"/>
                <w:color w:val="auto"/>
                <w:sz w:val="22"/>
                <w:szCs w:val="22"/>
                <w:highlight w:val="none"/>
                <w:lang w:val="en-US" w:eastAsia="zh-CN"/>
              </w:rPr>
              <w:t>结核复合群分枝杆菌、</w:t>
            </w:r>
            <w:r>
              <w:rPr>
                <w:rFonts w:hint="eastAsia" w:ascii="Times New Roman" w:hAnsi="Times New Roman" w:cs="Times New Roman"/>
                <w:color w:val="auto"/>
                <w:szCs w:val="21"/>
                <w:highlight w:val="none"/>
                <w:lang w:val="en-US" w:eastAsia="zh-CN"/>
              </w:rPr>
              <w:t>肺炎支原体</w:t>
            </w:r>
            <w:r>
              <w:rPr>
                <w:rFonts w:hint="eastAsia" w:ascii="Times New Roman" w:hAnsi="Times New Roman" w:cs="Times New Roman"/>
                <w:color w:val="FF0000"/>
                <w:szCs w:val="21"/>
                <w:highlight w:val="none"/>
                <w:lang w:val="en-US" w:eastAsia="zh-CN"/>
              </w:rPr>
              <w:t>（已开展RNA单项，DNA未开展）</w:t>
            </w:r>
            <w:r>
              <w:rPr>
                <w:rFonts w:hint="eastAsia" w:ascii="Times New Roman" w:hAnsi="Times New Roman" w:cs="Times New Roman"/>
                <w:color w:val="auto"/>
                <w:szCs w:val="21"/>
                <w:highlight w:val="none"/>
                <w:lang w:val="en-US" w:eastAsia="zh-CN"/>
              </w:rPr>
              <w:t>、鼻病毒</w:t>
            </w:r>
            <w:r>
              <w:rPr>
                <w:rFonts w:hint="eastAsia" w:ascii="Times New Roman" w:hAnsi="Times New Roman" w:cs="Times New Roman"/>
                <w:color w:val="FF0000"/>
                <w:szCs w:val="21"/>
                <w:highlight w:val="none"/>
                <w:lang w:val="en-US" w:eastAsia="zh-CN"/>
              </w:rPr>
              <w:t>（未开展）</w:t>
            </w:r>
            <w:r>
              <w:rPr>
                <w:rFonts w:hint="eastAsia" w:ascii="Times New Roman" w:hAnsi="Times New Roman" w:cs="Times New Roman"/>
                <w:color w:val="auto"/>
                <w:szCs w:val="21"/>
                <w:highlight w:val="none"/>
                <w:lang w:val="en-US" w:eastAsia="zh-CN"/>
              </w:rPr>
              <w:t>、偏肺病毒</w:t>
            </w:r>
            <w:r>
              <w:rPr>
                <w:rFonts w:hint="eastAsia" w:ascii="Times New Roman" w:hAnsi="Times New Roman" w:cs="Times New Roman"/>
                <w:color w:val="FF0000"/>
                <w:szCs w:val="21"/>
                <w:highlight w:val="none"/>
                <w:lang w:val="en-US" w:eastAsia="zh-CN"/>
              </w:rPr>
              <w:t>（未开展）</w:t>
            </w:r>
            <w:r>
              <w:rPr>
                <w:rFonts w:hint="eastAsia" w:ascii="Times New Roman" w:hAnsi="Times New Roman" w:cs="Times New Roman"/>
                <w:color w:val="auto"/>
                <w:szCs w:val="21"/>
                <w:highlight w:val="none"/>
                <w:lang w:val="en-US" w:eastAsia="zh-CN"/>
              </w:rPr>
              <w:t>、腺病毒</w:t>
            </w:r>
            <w:r>
              <w:rPr>
                <w:rFonts w:hint="eastAsia" w:ascii="Times New Roman" w:hAnsi="Times New Roman" w:cs="Times New Roman"/>
                <w:color w:val="FF0000"/>
                <w:szCs w:val="21"/>
                <w:highlight w:val="none"/>
                <w:lang w:val="en-US" w:eastAsia="zh-CN"/>
              </w:rPr>
              <w:t>（有组套，单项未开展）</w:t>
            </w:r>
            <w:r>
              <w:rPr>
                <w:rFonts w:hint="eastAsia" w:ascii="Times New Roman" w:hAnsi="Times New Roman" w:cs="Times New Roman"/>
                <w:color w:val="auto"/>
                <w:szCs w:val="21"/>
                <w:highlight w:val="none"/>
                <w:lang w:val="en-US" w:eastAsia="zh-CN"/>
              </w:rPr>
              <w:t>、副流感病毒</w:t>
            </w:r>
            <w:r>
              <w:rPr>
                <w:rFonts w:hint="eastAsia" w:ascii="Times New Roman" w:hAnsi="Times New Roman" w:cs="Times New Roman"/>
                <w:color w:val="FF0000"/>
                <w:szCs w:val="21"/>
                <w:highlight w:val="none"/>
                <w:lang w:val="en-US" w:eastAsia="zh-CN"/>
              </w:rPr>
              <w:t>（有组套，单项未开展）</w:t>
            </w:r>
            <w:r>
              <w:rPr>
                <w:rFonts w:hint="eastAsia" w:ascii="Times New Roman" w:hAnsi="Times New Roman" w:cs="Times New Roman"/>
                <w:color w:val="auto"/>
                <w:szCs w:val="21"/>
                <w:highlight w:val="none"/>
                <w:lang w:val="en-US" w:eastAsia="zh-CN"/>
              </w:rPr>
              <w:t>、</w:t>
            </w:r>
            <w:r>
              <w:rPr>
                <w:rFonts w:hint="eastAsia" w:ascii="宋体" w:hAnsi="宋体" w:eastAsia="宋体" w:cs="宋体"/>
                <w:b w:val="0"/>
                <w:bCs w:val="0"/>
                <w:color w:val="auto"/>
                <w:sz w:val="22"/>
                <w:szCs w:val="22"/>
                <w:highlight w:val="none"/>
                <w:lang w:val="en-US" w:eastAsia="zh-CN"/>
              </w:rPr>
              <w:t>非结核复合群分枝杆菌</w:t>
            </w:r>
            <w:r>
              <w:rPr>
                <w:rFonts w:hint="eastAsia" w:ascii="Times New Roman" w:hAnsi="Times New Roman" w:cs="Times New Roman"/>
                <w:color w:val="FF0000"/>
                <w:szCs w:val="21"/>
                <w:highlight w:val="none"/>
                <w:lang w:val="en-US" w:eastAsia="zh-CN"/>
              </w:rPr>
              <w:t>（未开展）</w:t>
            </w:r>
            <w:r>
              <w:rPr>
                <w:rFonts w:hint="eastAsia" w:ascii="Times New Roman" w:hAnsi="Times New Roman" w:cs="Times New Roman"/>
                <w:color w:val="auto"/>
                <w:szCs w:val="21"/>
                <w:highlight w:val="none"/>
                <w:lang w:val="en-US" w:eastAsia="zh-CN"/>
              </w:rPr>
              <w:t>、基孔肯雅病毒</w:t>
            </w:r>
            <w:r>
              <w:rPr>
                <w:rFonts w:hint="eastAsia" w:ascii="Times New Roman" w:hAnsi="Times New Roman" w:cs="Times New Roman"/>
                <w:color w:val="FF0000"/>
                <w:szCs w:val="21"/>
                <w:highlight w:val="none"/>
                <w:lang w:val="en-US" w:eastAsia="zh-CN"/>
              </w:rPr>
              <w:t>（已开展，疫情专项，不收费）</w:t>
            </w:r>
            <w:r>
              <w:rPr>
                <w:rFonts w:hint="eastAsia" w:ascii="Times New Roman" w:hAnsi="Times New Roman" w:cs="Times New Roman"/>
                <w:color w:val="auto"/>
                <w:szCs w:val="21"/>
                <w:highlight w:val="none"/>
                <w:lang w:val="en-US" w:eastAsia="zh-CN"/>
              </w:rPr>
              <w:t>等多种病原体核酸单检或多联检。</w:t>
            </w:r>
          </w:p>
        </w:tc>
      </w:tr>
      <w:tr w14:paraId="5A23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4844E580">
            <w:pPr>
              <w:spacing w:line="440" w:lineRule="exact"/>
              <w:jc w:val="center"/>
              <w:rPr>
                <w:rFonts w:hint="eastAsia" w:ascii="Times New Roman" w:hAnsi="Times New Roman" w:cs="Times New Roman"/>
                <w:color w:val="auto"/>
                <w:szCs w:val="21"/>
                <w:highlight w:val="none"/>
                <w:lang w:val="en-US" w:eastAsia="zh-CN"/>
              </w:rPr>
            </w:pPr>
          </w:p>
        </w:tc>
        <w:tc>
          <w:tcPr>
            <w:tcW w:w="655" w:type="dxa"/>
            <w:vAlign w:val="center"/>
          </w:tcPr>
          <w:p w14:paraId="07E65465">
            <w:pPr>
              <w:spacing w:line="440" w:lineRule="exact"/>
              <w:jc w:val="center"/>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8</w:t>
            </w:r>
          </w:p>
        </w:tc>
        <w:tc>
          <w:tcPr>
            <w:tcW w:w="7171" w:type="dxa"/>
            <w:shd w:val="clear" w:color="auto" w:fill="auto"/>
            <w:vAlign w:val="center"/>
          </w:tcPr>
          <w:p w14:paraId="5E95D19F">
            <w:pPr>
              <w:keepNext w:val="0"/>
              <w:keepLines w:val="0"/>
              <w:widowControl/>
              <w:suppressLineNumbers w:val="0"/>
              <w:jc w:val="left"/>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升温速率：</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lang w:val="en-US" w:eastAsia="zh-CN"/>
              </w:rPr>
              <w:t>0.5℃/s</w:t>
            </w:r>
            <w:r>
              <w:rPr>
                <w:rFonts w:hint="eastAsia" w:ascii="Times New Roman" w:hAnsi="Times New Roman" w:cs="Times New Roman"/>
                <w:color w:val="auto"/>
                <w:szCs w:val="21"/>
                <w:highlight w:val="none"/>
                <w:lang w:val="en-US" w:eastAsia="zh-CN"/>
              </w:rPr>
              <w:t>。</w:t>
            </w:r>
          </w:p>
        </w:tc>
      </w:tr>
      <w:tr w14:paraId="12B6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3C30AD24">
            <w:pPr>
              <w:spacing w:line="440" w:lineRule="exact"/>
              <w:jc w:val="center"/>
              <w:rPr>
                <w:rFonts w:hint="eastAsia" w:ascii="Times New Roman" w:hAnsi="Times New Roman" w:cs="Times New Roman"/>
                <w:color w:val="auto"/>
                <w:szCs w:val="21"/>
                <w:highlight w:val="none"/>
                <w:lang w:val="en-US" w:eastAsia="zh-CN"/>
              </w:rPr>
            </w:pPr>
          </w:p>
        </w:tc>
        <w:tc>
          <w:tcPr>
            <w:tcW w:w="655" w:type="dxa"/>
            <w:vAlign w:val="center"/>
          </w:tcPr>
          <w:p w14:paraId="734102D0">
            <w:pPr>
              <w:spacing w:line="440" w:lineRule="exact"/>
              <w:jc w:val="center"/>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color w:val="auto"/>
                <w:szCs w:val="21"/>
                <w:highlight w:val="none"/>
                <w:lang w:val="en-US" w:eastAsia="zh-CN"/>
              </w:rPr>
              <w:t>9</w:t>
            </w:r>
          </w:p>
        </w:tc>
        <w:tc>
          <w:tcPr>
            <w:tcW w:w="7171" w:type="dxa"/>
            <w:shd w:val="clear" w:color="auto" w:fill="auto"/>
            <w:vAlign w:val="center"/>
          </w:tcPr>
          <w:p w14:paraId="43C453EB">
            <w:pPr>
              <w:keepNext w:val="0"/>
              <w:keepLines w:val="0"/>
              <w:widowControl/>
              <w:suppressLineNumbers w:val="0"/>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温度准确性：</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 xml:space="preserve"> 0.5℃。</w:t>
            </w:r>
          </w:p>
        </w:tc>
      </w:tr>
      <w:tr w14:paraId="3A85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5" w:type="dxa"/>
            <w:vAlign w:val="center"/>
          </w:tcPr>
          <w:p w14:paraId="6C078626">
            <w:pPr>
              <w:spacing w:line="440" w:lineRule="exact"/>
              <w:jc w:val="center"/>
              <w:rPr>
                <w:rFonts w:hint="eastAsia" w:ascii="Times New Roman" w:hAnsi="Times New Roman" w:cs="Times New Roman"/>
                <w:color w:val="auto"/>
                <w:szCs w:val="21"/>
                <w:highlight w:val="none"/>
                <w:lang w:val="en-US" w:eastAsia="zh-CN"/>
              </w:rPr>
            </w:pPr>
          </w:p>
        </w:tc>
        <w:tc>
          <w:tcPr>
            <w:tcW w:w="655" w:type="dxa"/>
            <w:vAlign w:val="center"/>
          </w:tcPr>
          <w:p w14:paraId="63AD6C74">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10</w:t>
            </w:r>
          </w:p>
        </w:tc>
        <w:tc>
          <w:tcPr>
            <w:tcW w:w="7171" w:type="dxa"/>
            <w:shd w:val="clear" w:color="auto" w:fill="auto"/>
            <w:vAlign w:val="center"/>
          </w:tcPr>
          <w:p w14:paraId="27FBF81B">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color w:val="auto"/>
                <w:szCs w:val="21"/>
                <w:highlight w:val="none"/>
                <w:lang w:val="en-US" w:eastAsia="zh-CN"/>
              </w:rPr>
              <w:t>控温精度</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lang w:val="en-US" w:eastAsia="zh-CN"/>
              </w:rPr>
              <w:t xml:space="preserve"> 0.5℃。</w:t>
            </w:r>
          </w:p>
        </w:tc>
      </w:tr>
      <w:tr w14:paraId="1616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center"/>
          </w:tcPr>
          <w:p w14:paraId="188AAD33">
            <w:pPr>
              <w:spacing w:line="440" w:lineRule="exact"/>
              <w:jc w:val="center"/>
              <w:rPr>
                <w:rFonts w:hint="eastAsia" w:ascii="Times New Roman" w:hAnsi="Times New Roman" w:cs="Times New Roman"/>
                <w:color w:val="auto"/>
                <w:szCs w:val="21"/>
                <w:highlight w:val="none"/>
                <w:lang w:val="en-US" w:eastAsia="zh-CN"/>
              </w:rPr>
            </w:pPr>
          </w:p>
        </w:tc>
        <w:tc>
          <w:tcPr>
            <w:tcW w:w="655" w:type="dxa"/>
            <w:vAlign w:val="center"/>
          </w:tcPr>
          <w:p w14:paraId="140E8E04">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11</w:t>
            </w:r>
          </w:p>
        </w:tc>
        <w:tc>
          <w:tcPr>
            <w:tcW w:w="7171" w:type="dxa"/>
            <w:shd w:val="clear" w:color="auto" w:fill="auto"/>
            <w:vAlign w:val="center"/>
          </w:tcPr>
          <w:p w14:paraId="47DB48DE">
            <w:pPr>
              <w:keepNext w:val="0"/>
              <w:keepLines w:val="0"/>
              <w:widowControl/>
              <w:suppressLineNumbers w:val="0"/>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荧光强度检测重复性：CV值&lt; 3%。</w:t>
            </w:r>
          </w:p>
        </w:tc>
      </w:tr>
      <w:tr w14:paraId="0558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vAlign w:val="top"/>
          </w:tcPr>
          <w:p w14:paraId="723E4DA2">
            <w:pPr>
              <w:spacing w:line="440" w:lineRule="exact"/>
              <w:jc w:val="center"/>
              <w:rPr>
                <w:rFonts w:hint="eastAsia" w:ascii="Times New Roman" w:hAnsi="Times New Roman" w:cs="Times New Roman"/>
                <w:color w:val="auto"/>
                <w:szCs w:val="21"/>
                <w:highlight w:val="none"/>
                <w:lang w:val="en-US" w:eastAsia="zh-CN"/>
              </w:rPr>
            </w:pPr>
          </w:p>
        </w:tc>
        <w:tc>
          <w:tcPr>
            <w:tcW w:w="655" w:type="dxa"/>
            <w:vAlign w:val="top"/>
          </w:tcPr>
          <w:p w14:paraId="5A275066">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12</w:t>
            </w:r>
          </w:p>
        </w:tc>
        <w:tc>
          <w:tcPr>
            <w:tcW w:w="7171" w:type="dxa"/>
            <w:shd w:val="clear" w:color="auto" w:fill="auto"/>
            <w:vAlign w:val="center"/>
          </w:tcPr>
          <w:p w14:paraId="3A2C0234">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荧光强度检测精密度：CV值&lt; 5%。</w:t>
            </w:r>
          </w:p>
        </w:tc>
      </w:tr>
      <w:tr w14:paraId="4E1B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top"/>
          </w:tcPr>
          <w:p w14:paraId="69D5E41C">
            <w:pPr>
              <w:spacing w:line="440" w:lineRule="exact"/>
              <w:jc w:val="center"/>
              <w:rPr>
                <w:rFonts w:hint="eastAsia" w:ascii="Times New Roman" w:hAnsi="Times New Roman" w:cs="Times New Roman"/>
                <w:color w:val="auto"/>
                <w:szCs w:val="21"/>
                <w:highlight w:val="none"/>
                <w:lang w:val="en-US" w:eastAsia="zh-CN"/>
              </w:rPr>
            </w:pPr>
          </w:p>
        </w:tc>
        <w:tc>
          <w:tcPr>
            <w:tcW w:w="655" w:type="dxa"/>
            <w:shd w:val="clear" w:color="auto" w:fill="auto"/>
            <w:vAlign w:val="top"/>
          </w:tcPr>
          <w:p w14:paraId="655EB1DB">
            <w:pPr>
              <w:spacing w:line="44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13</w:t>
            </w:r>
          </w:p>
        </w:tc>
        <w:tc>
          <w:tcPr>
            <w:tcW w:w="7171" w:type="dxa"/>
            <w:shd w:val="clear" w:color="auto" w:fill="auto"/>
            <w:vAlign w:val="center"/>
          </w:tcPr>
          <w:p w14:paraId="3F7E2DAB">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结果判读及报告：系统仪器可实时采集荧光信号并自动生成实时荧光曲线，通过对荧光信号变化的分析实现自动判定并报告检测结果。</w:t>
            </w:r>
          </w:p>
        </w:tc>
      </w:tr>
      <w:tr w14:paraId="56BC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top"/>
          </w:tcPr>
          <w:p w14:paraId="2371F731">
            <w:pPr>
              <w:spacing w:line="440" w:lineRule="exact"/>
              <w:jc w:val="center"/>
              <w:rPr>
                <w:rFonts w:hint="eastAsia"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w:t>
            </w:r>
          </w:p>
        </w:tc>
        <w:tc>
          <w:tcPr>
            <w:tcW w:w="655" w:type="dxa"/>
            <w:shd w:val="clear" w:color="auto" w:fill="auto"/>
            <w:vAlign w:val="top"/>
          </w:tcPr>
          <w:p w14:paraId="11E55F7F">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14</w:t>
            </w:r>
          </w:p>
        </w:tc>
        <w:tc>
          <w:tcPr>
            <w:tcW w:w="7171" w:type="dxa"/>
            <w:shd w:val="clear" w:color="auto" w:fill="auto"/>
            <w:vAlign w:val="center"/>
          </w:tcPr>
          <w:p w14:paraId="2EAA659C">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需要连接</w:t>
            </w:r>
            <w:r>
              <w:rPr>
                <w:rFonts w:hint="eastAsia" w:ascii="Times New Roman" w:hAnsi="Times New Roman" w:cs="Times New Roman"/>
                <w:color w:val="auto"/>
                <w:kern w:val="2"/>
                <w:sz w:val="21"/>
                <w:szCs w:val="21"/>
                <w:highlight w:val="none"/>
                <w:lang w:val="en-US" w:eastAsia="zh-CN" w:bidi="ar-SA"/>
              </w:rPr>
              <w:t>医院</w:t>
            </w:r>
            <w:r>
              <w:rPr>
                <w:rFonts w:hint="default" w:ascii="Times New Roman" w:hAnsi="Times New Roman" w:cs="Times New Roman" w:eastAsiaTheme="minorEastAsia"/>
                <w:color w:val="auto"/>
                <w:kern w:val="2"/>
                <w:sz w:val="21"/>
                <w:szCs w:val="21"/>
                <w:highlight w:val="none"/>
                <w:lang w:val="en-US" w:eastAsia="zh-CN" w:bidi="ar-SA"/>
              </w:rPr>
              <w:t>LIS系统，</w:t>
            </w:r>
            <w:r>
              <w:rPr>
                <w:rFonts w:hint="eastAsia" w:ascii="Times New Roman" w:hAnsi="Times New Roman" w:cs="Times New Roman"/>
                <w:color w:val="auto"/>
                <w:kern w:val="2"/>
                <w:sz w:val="21"/>
                <w:szCs w:val="21"/>
                <w:highlight w:val="none"/>
                <w:lang w:val="en-US" w:eastAsia="zh-CN" w:bidi="ar-SA"/>
              </w:rPr>
              <w:t>中标人</w:t>
            </w:r>
            <w:r>
              <w:rPr>
                <w:rFonts w:hint="default" w:ascii="Times New Roman" w:hAnsi="Times New Roman" w:cs="Times New Roman" w:eastAsiaTheme="minorEastAsia"/>
                <w:color w:val="auto"/>
                <w:kern w:val="2"/>
                <w:sz w:val="21"/>
                <w:szCs w:val="21"/>
                <w:highlight w:val="none"/>
                <w:lang w:val="en-US" w:eastAsia="zh-CN" w:bidi="ar-SA"/>
              </w:rPr>
              <w:t>应负责完成设备</w:t>
            </w:r>
            <w:r>
              <w:rPr>
                <w:rFonts w:hint="eastAsia" w:ascii="Times New Roman" w:hAnsi="Times New Roman" w:cs="Times New Roman"/>
                <w:color w:val="auto"/>
                <w:kern w:val="2"/>
                <w:sz w:val="21"/>
                <w:szCs w:val="21"/>
                <w:highlight w:val="none"/>
                <w:lang w:val="en-US" w:eastAsia="zh-CN" w:bidi="ar-SA"/>
              </w:rPr>
              <w:t>所有开展项目</w:t>
            </w:r>
            <w:r>
              <w:rPr>
                <w:rFonts w:hint="default" w:ascii="Times New Roman" w:hAnsi="Times New Roman" w:cs="Times New Roman" w:eastAsiaTheme="minorEastAsia"/>
                <w:color w:val="auto"/>
                <w:kern w:val="2"/>
                <w:sz w:val="21"/>
                <w:szCs w:val="21"/>
                <w:highlight w:val="none"/>
                <w:lang w:val="en-US" w:eastAsia="zh-CN" w:bidi="ar-SA"/>
              </w:rPr>
              <w:t>与实验室信息管理系统的全部接口开发、调试及验收工作。包含但不限于：接口开发费用、系统联调测试费用、 临床数据迁移（如需）、首次对接失败的二次开发费用，上述费用均包含在投标总价中，采购人不再另行支付。</w:t>
            </w:r>
          </w:p>
        </w:tc>
      </w:tr>
      <w:tr w14:paraId="675A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top"/>
          </w:tcPr>
          <w:p w14:paraId="7A2BF737">
            <w:pPr>
              <w:spacing w:line="440" w:lineRule="exact"/>
              <w:jc w:val="center"/>
              <w:rPr>
                <w:rFonts w:hint="eastAsia" w:ascii="Times New Roman" w:hAnsi="Times New Roman" w:cs="Times New Roman"/>
                <w:color w:val="auto"/>
                <w:szCs w:val="21"/>
                <w:highlight w:val="none"/>
                <w:lang w:val="en-US" w:eastAsia="zh-CN"/>
              </w:rPr>
            </w:pPr>
          </w:p>
        </w:tc>
        <w:tc>
          <w:tcPr>
            <w:tcW w:w="655" w:type="dxa"/>
            <w:shd w:val="clear" w:color="auto" w:fill="auto"/>
            <w:vAlign w:val="top"/>
          </w:tcPr>
          <w:p w14:paraId="00FAA2B3">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15</w:t>
            </w:r>
          </w:p>
        </w:tc>
        <w:tc>
          <w:tcPr>
            <w:tcW w:w="7171" w:type="dxa"/>
            <w:shd w:val="clear" w:color="auto" w:fill="auto"/>
            <w:vAlign w:val="center"/>
          </w:tcPr>
          <w:p w14:paraId="54A29AE0">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设备使用年限≥8年。</w:t>
            </w:r>
          </w:p>
        </w:tc>
      </w:tr>
      <w:tr w14:paraId="218C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shd w:val="clear" w:color="auto" w:fill="auto"/>
            <w:vAlign w:val="top"/>
          </w:tcPr>
          <w:p w14:paraId="06570E04">
            <w:pPr>
              <w:spacing w:line="440" w:lineRule="exact"/>
              <w:jc w:val="center"/>
              <w:rPr>
                <w:rFonts w:hint="eastAsia" w:ascii="Times New Roman" w:hAnsi="Times New Roman" w:cs="Times New Roman"/>
                <w:color w:val="auto"/>
                <w:szCs w:val="21"/>
                <w:highlight w:val="none"/>
                <w:lang w:val="en-US" w:eastAsia="zh-CN"/>
              </w:rPr>
            </w:pPr>
          </w:p>
        </w:tc>
        <w:tc>
          <w:tcPr>
            <w:tcW w:w="655" w:type="dxa"/>
            <w:shd w:val="clear" w:color="auto" w:fill="auto"/>
            <w:vAlign w:val="top"/>
          </w:tcPr>
          <w:p w14:paraId="5ABFAC55">
            <w:pPr>
              <w:spacing w:line="440" w:lineRule="exact"/>
              <w:jc w:val="center"/>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16</w:t>
            </w:r>
          </w:p>
        </w:tc>
        <w:tc>
          <w:tcPr>
            <w:tcW w:w="7171" w:type="dxa"/>
            <w:shd w:val="clear" w:color="auto" w:fill="auto"/>
            <w:vAlign w:val="center"/>
          </w:tcPr>
          <w:p w14:paraId="7F772F72">
            <w:pPr>
              <w:spacing w:line="440" w:lineRule="exact"/>
              <w:jc w:val="left"/>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FF0000"/>
                <w:kern w:val="2"/>
                <w:sz w:val="21"/>
                <w:szCs w:val="21"/>
                <w:highlight w:val="none"/>
                <w:lang w:val="en-US" w:eastAsia="zh-CN" w:bidi="ar-SA"/>
              </w:rPr>
              <w:t>耗材限价待定</w:t>
            </w:r>
          </w:p>
        </w:tc>
      </w:tr>
    </w:tbl>
    <w:p w14:paraId="2BEB17A1">
      <w:pPr>
        <w:pStyle w:val="12"/>
        <w:spacing w:line="440" w:lineRule="exact"/>
        <w:ind w:left="0" w:leftChars="0" w:firstLine="0" w:firstLineChars="0"/>
        <w:rPr>
          <w:rFonts w:hint="eastAsia" w:ascii="宋体" w:hAnsi="宋体" w:eastAsia="宋体" w:cs="宋体"/>
          <w:b/>
          <w:color w:val="auto"/>
          <w:sz w:val="21"/>
          <w:szCs w:val="21"/>
          <w:highlight w:val="none"/>
        </w:rPr>
      </w:pPr>
    </w:p>
    <w:p w14:paraId="0B1F0F0B">
      <w:pPr>
        <w:numPr>
          <w:ilvl w:val="0"/>
          <w:numId w:val="0"/>
        </w:num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17.每套设备配置要求（</w:t>
      </w:r>
      <w:r>
        <w:rPr>
          <w:rFonts w:hint="eastAsia" w:ascii="宋体" w:hAnsi="宋体" w:eastAsia="宋体" w:cs="宋体"/>
          <w:b/>
          <w:color w:val="auto"/>
          <w:sz w:val="21"/>
          <w:szCs w:val="21"/>
          <w:highlight w:val="none"/>
        </w:rPr>
        <w:t>标准套至少包含以下内容</w:t>
      </w:r>
      <w:r>
        <w:rPr>
          <w:rFonts w:hint="eastAsia" w:ascii="宋体" w:hAnsi="宋体" w:eastAsia="宋体" w:cs="宋体"/>
          <w:b/>
          <w:color w:val="auto"/>
          <w:sz w:val="21"/>
          <w:szCs w:val="21"/>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256"/>
        <w:gridCol w:w="2625"/>
        <w:gridCol w:w="1000"/>
        <w:gridCol w:w="877"/>
      </w:tblGrid>
      <w:tr w14:paraId="2FF5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D77A733">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56" w:type="dxa"/>
          </w:tcPr>
          <w:p w14:paraId="3A6002FF">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2625" w:type="dxa"/>
          </w:tcPr>
          <w:p w14:paraId="51A013DC">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w:t>
            </w:r>
          </w:p>
        </w:tc>
        <w:tc>
          <w:tcPr>
            <w:tcW w:w="1000" w:type="dxa"/>
          </w:tcPr>
          <w:p w14:paraId="64EFB70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77" w:type="dxa"/>
          </w:tcPr>
          <w:p w14:paraId="6E8650D2">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r>
      <w:tr w14:paraId="45DC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5F6F2ED">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56" w:type="dxa"/>
          </w:tcPr>
          <w:p w14:paraId="1810F69C">
            <w:pPr>
              <w:spacing w:line="440" w:lineRule="exac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全自动核酸检测分析仪</w:t>
            </w:r>
          </w:p>
        </w:tc>
        <w:tc>
          <w:tcPr>
            <w:tcW w:w="2625" w:type="dxa"/>
          </w:tcPr>
          <w:p w14:paraId="05CA3E28">
            <w:pPr>
              <w:spacing w:line="4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按上述参数</w:t>
            </w:r>
          </w:p>
        </w:tc>
        <w:tc>
          <w:tcPr>
            <w:tcW w:w="1000" w:type="dxa"/>
          </w:tcPr>
          <w:p w14:paraId="696C10E7">
            <w:pPr>
              <w:spacing w:line="4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7" w:type="dxa"/>
          </w:tcPr>
          <w:p w14:paraId="425DCF3B">
            <w:pPr>
              <w:spacing w:line="4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4FEC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625D0E8">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56" w:type="dxa"/>
            <w:shd w:val="clear" w:color="auto" w:fill="auto"/>
            <w:vAlign w:val="top"/>
          </w:tcPr>
          <w:p w14:paraId="6C06112C">
            <w:pPr>
              <w:widowControl w:val="0"/>
              <w:numPr>
                <w:ilvl w:val="0"/>
                <w:numId w:val="0"/>
              </w:numPr>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工作椅子</w:t>
            </w:r>
          </w:p>
        </w:tc>
        <w:tc>
          <w:tcPr>
            <w:tcW w:w="2625" w:type="dxa"/>
            <w:shd w:val="clear" w:color="auto" w:fill="auto"/>
            <w:vAlign w:val="top"/>
          </w:tcPr>
          <w:p w14:paraId="313E2C3E">
            <w:pPr>
              <w:widowControl w:val="0"/>
              <w:numPr>
                <w:ilvl w:val="0"/>
                <w:numId w:val="0"/>
              </w:numPr>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有靠背，有扶手</w:t>
            </w:r>
          </w:p>
        </w:tc>
        <w:tc>
          <w:tcPr>
            <w:tcW w:w="1000" w:type="dxa"/>
            <w:shd w:val="clear" w:color="auto" w:fill="auto"/>
            <w:vAlign w:val="top"/>
          </w:tcPr>
          <w:p w14:paraId="54E2B515">
            <w:pPr>
              <w:widowControl w:val="0"/>
              <w:numPr>
                <w:ilvl w:val="0"/>
                <w:numId w:val="0"/>
              </w:numPr>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77" w:type="dxa"/>
            <w:shd w:val="clear" w:color="auto" w:fill="auto"/>
            <w:vAlign w:val="top"/>
          </w:tcPr>
          <w:p w14:paraId="34B7BCC1">
            <w:pPr>
              <w:widowControl w:val="0"/>
              <w:numPr>
                <w:ilvl w:val="0"/>
                <w:numId w:val="0"/>
              </w:numPr>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w:t>
            </w:r>
          </w:p>
        </w:tc>
      </w:tr>
      <w:tr w14:paraId="123F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6CA266E">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56" w:type="dxa"/>
            <w:shd w:val="clear" w:color="auto" w:fill="auto"/>
            <w:vAlign w:val="top"/>
          </w:tcPr>
          <w:p w14:paraId="7620237B">
            <w:pPr>
              <w:widowControl w:val="0"/>
              <w:numPr>
                <w:ilvl w:val="0"/>
                <w:numId w:val="0"/>
              </w:numPr>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中文说明书、中文维修手册、中文操作流程卡（另电子版1份）</w:t>
            </w:r>
          </w:p>
        </w:tc>
        <w:tc>
          <w:tcPr>
            <w:tcW w:w="2625" w:type="dxa"/>
            <w:shd w:val="clear" w:color="auto" w:fill="auto"/>
            <w:vAlign w:val="top"/>
          </w:tcPr>
          <w:p w14:paraId="399BA21C">
            <w:pPr>
              <w:widowControl w:val="0"/>
              <w:numPr>
                <w:ilvl w:val="0"/>
                <w:numId w:val="0"/>
              </w:numPr>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000" w:type="dxa"/>
            <w:shd w:val="clear" w:color="auto" w:fill="auto"/>
            <w:vAlign w:val="top"/>
          </w:tcPr>
          <w:p w14:paraId="1A5F4A42">
            <w:pPr>
              <w:widowControl w:val="0"/>
              <w:numPr>
                <w:ilvl w:val="0"/>
                <w:numId w:val="0"/>
              </w:numPr>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77" w:type="dxa"/>
            <w:shd w:val="clear" w:color="auto" w:fill="auto"/>
            <w:vAlign w:val="top"/>
          </w:tcPr>
          <w:p w14:paraId="619C54F5">
            <w:pPr>
              <w:widowControl w:val="0"/>
              <w:numPr>
                <w:ilvl w:val="0"/>
                <w:numId w:val="0"/>
              </w:numPr>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份</w:t>
            </w:r>
          </w:p>
        </w:tc>
      </w:tr>
      <w:tr w14:paraId="4E06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62" w:type="dxa"/>
          </w:tcPr>
          <w:p w14:paraId="5F3FF511">
            <w:pPr>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256" w:type="dxa"/>
            <w:shd w:val="clear" w:color="auto" w:fill="auto"/>
            <w:vAlign w:val="top"/>
          </w:tcPr>
          <w:p w14:paraId="440DFAC3">
            <w:pPr>
              <w:widowControl w:val="0"/>
              <w:numPr>
                <w:ilvl w:val="0"/>
                <w:numId w:val="0"/>
              </w:numPr>
              <w:spacing w:line="440" w:lineRule="exact"/>
              <w:ind w:leftChars="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配齐与主机相匹配的附件设备</w:t>
            </w:r>
          </w:p>
          <w:p w14:paraId="6BF28E80">
            <w:pPr>
              <w:spacing w:line="440" w:lineRule="exact"/>
              <w:jc w:val="both"/>
              <w:rPr>
                <w:rFonts w:hint="eastAsia" w:ascii="宋体" w:hAnsi="宋体" w:eastAsia="宋体" w:cs="宋体"/>
                <w:b/>
                <w:color w:val="auto"/>
                <w:kern w:val="2"/>
                <w:sz w:val="21"/>
                <w:szCs w:val="21"/>
                <w:highlight w:val="none"/>
                <w:lang w:val="en-US" w:eastAsia="zh-CN" w:bidi="ar-SA"/>
              </w:rPr>
            </w:pPr>
          </w:p>
        </w:tc>
        <w:tc>
          <w:tcPr>
            <w:tcW w:w="2625" w:type="dxa"/>
            <w:shd w:val="clear" w:color="auto" w:fill="auto"/>
            <w:vAlign w:val="top"/>
          </w:tcPr>
          <w:p w14:paraId="408837E9">
            <w:pPr>
              <w:widowControl w:val="0"/>
              <w:numPr>
                <w:ilvl w:val="0"/>
                <w:numId w:val="0"/>
              </w:numPr>
              <w:spacing w:line="440" w:lineRule="exact"/>
              <w:ind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如连接管、连线、架子、特殊插座插头和工具等</w:t>
            </w:r>
          </w:p>
        </w:tc>
        <w:tc>
          <w:tcPr>
            <w:tcW w:w="1000" w:type="dxa"/>
            <w:shd w:val="clear" w:color="auto" w:fill="auto"/>
            <w:vAlign w:val="top"/>
          </w:tcPr>
          <w:p w14:paraId="1E7F24B3">
            <w:pPr>
              <w:spacing w:line="4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77" w:type="dxa"/>
            <w:shd w:val="clear" w:color="auto" w:fill="auto"/>
            <w:vAlign w:val="top"/>
          </w:tcPr>
          <w:p w14:paraId="417AE6E5">
            <w:pPr>
              <w:spacing w:line="440" w:lineRule="exact"/>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bl>
    <w:p w14:paraId="0A94F15D">
      <w:pPr>
        <w:widowControl w:val="0"/>
        <w:numPr>
          <w:ilvl w:val="0"/>
          <w:numId w:val="0"/>
        </w:numPr>
        <w:spacing w:line="440" w:lineRule="exact"/>
        <w:jc w:val="both"/>
        <w:rPr>
          <w:rFonts w:hint="eastAsia" w:ascii="宋体" w:hAnsi="宋体" w:eastAsia="宋体" w:cs="宋体"/>
          <w:b/>
          <w:color w:val="auto"/>
          <w:sz w:val="21"/>
          <w:szCs w:val="21"/>
          <w:highlight w:val="none"/>
        </w:rPr>
      </w:pPr>
    </w:p>
    <w:p w14:paraId="03E05791">
      <w:pPr>
        <w:numPr>
          <w:ilvl w:val="0"/>
          <w:numId w:val="3"/>
        </w:num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主要</w:t>
      </w:r>
      <w:r>
        <w:rPr>
          <w:rFonts w:hint="eastAsia" w:ascii="宋体" w:hAnsi="宋体" w:eastAsia="宋体" w:cs="宋体"/>
          <w:b/>
          <w:color w:val="auto"/>
          <w:sz w:val="21"/>
          <w:szCs w:val="21"/>
          <w:highlight w:val="none"/>
        </w:rPr>
        <w:t>商务要求：</w:t>
      </w:r>
    </w:p>
    <w:p w14:paraId="3D490004">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1.交货及安装、验收要求</w:t>
      </w:r>
    </w:p>
    <w:p w14:paraId="15535DF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1.1交货地点：采购人指定地点。</w:t>
      </w:r>
    </w:p>
    <w:p w14:paraId="368797C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1.2交货期：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应当在中标通知书发出之日起30日内按</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的投标文件确定的事项与采购人签订合同，签订合同后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p w14:paraId="651A8F70">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须保证中标后所提供的设备为原装、全新合格的产品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且原装进口产品生产日期与交货日期差值≤12个月；国产产品生产日期与交货日期差值≤3个月。</w:t>
      </w:r>
    </w:p>
    <w:p w14:paraId="6FF3147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p w14:paraId="42394A5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和《中山市小榄人民医院医疗设备验收管理制度》</w:t>
      </w:r>
      <w:r>
        <w:rPr>
          <w:rFonts w:hint="eastAsia" w:ascii="宋体" w:hAnsi="宋体" w:eastAsia="宋体" w:cs="宋体"/>
          <w:color w:val="auto"/>
          <w:sz w:val="21"/>
          <w:szCs w:val="21"/>
          <w:highlight w:val="none"/>
        </w:rPr>
        <w:t>。</w:t>
      </w:r>
    </w:p>
    <w:p w14:paraId="2B591A5D">
      <w:pPr>
        <w:spacing w:line="4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w:t>
      </w:r>
      <w:r>
        <w:rPr>
          <w:rFonts w:hint="eastAsia" w:ascii="宋体" w:hAnsi="宋体" w:eastAsia="宋体" w:cs="宋体"/>
          <w:color w:val="auto"/>
          <w:sz w:val="21"/>
          <w:szCs w:val="21"/>
          <w:highlight w:val="none"/>
          <w:lang w:eastAsia="zh-CN"/>
        </w:rPr>
        <w:t>件中</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该项目完整的授权书。</w:t>
      </w:r>
    </w:p>
    <w:p w14:paraId="6A12B97D">
      <w:pPr>
        <w:spacing w:line="44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2.售后服务要求</w:t>
      </w:r>
    </w:p>
    <w:p w14:paraId="50C0127E">
      <w:pPr>
        <w:tabs>
          <w:tab w:val="left" w:pos="42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必须在中国境内有售后服务机构，并附有售后服务能力说明。</w:t>
      </w:r>
    </w:p>
    <w:p w14:paraId="52B97E1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须提供设备原厂质保（设备原厂质量保修范围和保修期）至少</w:t>
      </w:r>
      <w:r>
        <w:rPr>
          <w:rFonts w:hint="eastAsia" w:ascii="宋体" w:hAnsi="宋体" w:eastAsia="宋体" w:cs="宋体"/>
          <w:b/>
          <w:bCs/>
          <w:color w:val="auto"/>
          <w:sz w:val="21"/>
          <w:szCs w:val="21"/>
          <w:highlight w:val="yellow"/>
        </w:rPr>
        <w:t>为</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u w:val="single"/>
          <w:lang w:val="en-US" w:eastAsia="zh-CN"/>
        </w:rPr>
        <w:t>8</w:t>
      </w:r>
      <w:r>
        <w:rPr>
          <w:rFonts w:hint="eastAsia" w:ascii="宋体" w:hAnsi="宋体" w:eastAsia="宋体" w:cs="宋体"/>
          <w:b/>
          <w:bCs/>
          <w:color w:val="auto"/>
          <w:sz w:val="21"/>
          <w:szCs w:val="21"/>
          <w:highlight w:val="yellow"/>
          <w:u w:val="single"/>
        </w:rPr>
        <w:t xml:space="preserve">  </w:t>
      </w:r>
      <w:r>
        <w:rPr>
          <w:rFonts w:hint="eastAsia" w:ascii="宋体" w:hAnsi="宋体" w:eastAsia="宋体" w:cs="宋体"/>
          <w:b/>
          <w:bCs/>
          <w:color w:val="auto"/>
          <w:sz w:val="21"/>
          <w:szCs w:val="21"/>
          <w:highlight w:val="yellow"/>
        </w:rPr>
        <w:t>年</w:t>
      </w:r>
      <w:r>
        <w:rPr>
          <w:rFonts w:hint="eastAsia" w:ascii="宋体" w:hAnsi="宋体" w:eastAsia="宋体" w:cs="宋体"/>
          <w:b/>
          <w:bCs/>
          <w:color w:val="auto"/>
          <w:sz w:val="21"/>
          <w:szCs w:val="21"/>
          <w:highlight w:val="none"/>
        </w:rPr>
        <w:t>。</w:t>
      </w:r>
    </w:p>
    <w:p w14:paraId="3BE95D3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2.3在售后期内，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在接到用户的维修通知，响应时间为半小时内，工程师到达现场时间为4小时内，排除故障时限为到达现场后8小时内。</w:t>
      </w:r>
    </w:p>
    <w:p w14:paraId="46F0A49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2.4如果产品故障在检修12小时后仍无法排除，</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应在24小时内提供不低于故障产品规格型号档次的备用产品供采购人使用，直至故障产品修复。</w:t>
      </w:r>
    </w:p>
    <w:p w14:paraId="1FE85AFA">
      <w:pPr>
        <w:spacing w:line="440" w:lineRule="exact"/>
        <w:rPr>
          <w:rFonts w:hint="eastAsia" w:ascii="宋体" w:hAnsi="宋体" w:eastAsia="宋体" w:cs="宋体"/>
          <w:b/>
          <w:color w:val="auto"/>
          <w:sz w:val="21"/>
          <w:szCs w:val="21"/>
          <w:highlight w:val="none"/>
        </w:rPr>
      </w:pPr>
    </w:p>
    <w:p w14:paraId="5D90EE86">
      <w:pPr>
        <w:spacing w:line="44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3.付款方式</w:t>
      </w:r>
    </w:p>
    <w:p w14:paraId="41F3EB3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3.1本合同的每笔款项以人民币转账方式支付</w:t>
      </w:r>
      <w:r>
        <w:rPr>
          <w:rFonts w:hint="eastAsia" w:ascii="宋体" w:hAnsi="宋体" w:eastAsia="宋体" w:cs="宋体"/>
          <w:color w:val="auto"/>
          <w:sz w:val="21"/>
          <w:szCs w:val="21"/>
          <w:highlight w:val="none"/>
          <w:lang w:eastAsia="zh-CN"/>
        </w:rPr>
        <w:t>。</w:t>
      </w:r>
    </w:p>
    <w:p w14:paraId="0E16C044">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3.2合同签订后，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中标人即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支付合同总金额的</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5%；合同总金额的5%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作为第二期款项，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lang w:val="en-US" w:eastAsia="zh-CN"/>
        </w:rPr>
        <w:t xml:space="preserve"> 质保期满</w:t>
      </w:r>
      <w:r>
        <w:rPr>
          <w:rFonts w:hint="eastAsia" w:ascii="宋体" w:hAnsi="宋体" w:eastAsia="宋体" w:cs="宋体"/>
          <w:color w:val="auto"/>
          <w:sz w:val="21"/>
          <w:szCs w:val="21"/>
          <w:highlight w:val="none"/>
        </w:rPr>
        <w:t>后一次性无息</w:t>
      </w:r>
      <w:r>
        <w:rPr>
          <w:rFonts w:hint="eastAsia" w:ascii="宋体" w:hAnsi="宋体" w:eastAsia="宋体" w:cs="宋体"/>
          <w:color w:val="auto"/>
          <w:sz w:val="21"/>
          <w:szCs w:val="21"/>
          <w:highlight w:val="none"/>
          <w:lang w:val="en-US" w:eastAsia="zh-CN"/>
        </w:rPr>
        <w:t>支付</w:t>
      </w:r>
      <w:r>
        <w:rPr>
          <w:rFonts w:hint="eastAsia" w:ascii="宋体" w:hAnsi="宋体" w:eastAsia="宋体" w:cs="宋体"/>
          <w:color w:val="auto"/>
          <w:sz w:val="21"/>
          <w:szCs w:val="21"/>
          <w:highlight w:val="none"/>
        </w:rPr>
        <w:t>。</w:t>
      </w:r>
    </w:p>
    <w:p w14:paraId="083E13EE">
      <w:pPr>
        <w:pStyle w:val="4"/>
        <w:rPr>
          <w:rFonts w:hint="eastAsia" w:ascii="宋体" w:hAnsi="宋体" w:eastAsia="宋体" w:cs="宋体"/>
          <w:color w:val="auto"/>
          <w:sz w:val="21"/>
          <w:szCs w:val="21"/>
          <w:highlight w:val="none"/>
        </w:rPr>
      </w:pPr>
    </w:p>
    <w:p w14:paraId="65D79EED">
      <w:pPr>
        <w:numPr>
          <w:ilvl w:val="0"/>
          <w:numId w:val="0"/>
        </w:numPr>
        <w:ind w:leftChars="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六、其他商务要求</w:t>
      </w:r>
    </w:p>
    <w:p w14:paraId="502F4128">
      <w:pPr>
        <w:numPr>
          <w:ilvl w:val="0"/>
          <w:numId w:val="5"/>
        </w:numPr>
        <w:spacing w:line="440" w:lineRule="exact"/>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投标人须对本项目的采购标的进行整体投标，任何只对本项目采购标的其中一部分内容、数量进行的投标都被视为无效投标。</w:t>
      </w:r>
    </w:p>
    <w:p w14:paraId="33305AB0">
      <w:pPr>
        <w:numPr>
          <w:ilvl w:val="0"/>
          <w:numId w:val="5"/>
        </w:numPr>
        <w:spacing w:line="440" w:lineRule="exact"/>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投标人应分别列明该项目所有设备的总报价和分项报价。</w:t>
      </w:r>
    </w:p>
    <w:p w14:paraId="6480D920">
      <w:pPr>
        <w:numPr>
          <w:ilvl w:val="0"/>
          <w:numId w:val="5"/>
        </w:numPr>
        <w:spacing w:line="440" w:lineRule="exact"/>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474334D6">
      <w:pPr>
        <w:numPr>
          <w:ilvl w:val="0"/>
          <w:numId w:val="5"/>
        </w:numPr>
        <w:spacing w:line="440" w:lineRule="exact"/>
        <w:ind w:left="425" w:leftChars="0" w:hanging="425"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auto"/>
          <w:sz w:val="21"/>
          <w:szCs w:val="21"/>
          <w:highlight w:val="none"/>
        </w:rPr>
        <w:t xml:space="preserve"> </w:t>
      </w:r>
    </w:p>
    <w:p w14:paraId="6919123C">
      <w:pPr>
        <w:numPr>
          <w:ilvl w:val="0"/>
          <w:numId w:val="5"/>
        </w:numPr>
        <w:spacing w:line="44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设备配套耗材及试剂报价要求</w:t>
      </w:r>
    </w:p>
    <w:p w14:paraId="6354B667">
      <w:pPr>
        <w:numPr>
          <w:ilvl w:val="0"/>
          <w:numId w:val="6"/>
        </w:numPr>
        <w:spacing w:line="440" w:lineRule="exact"/>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★响应供应商必须按照每个检测项目，分别列明所包含的主要试剂耗材及配套耗材（如质控品、校准品、清洗液、定标液等）的清单；</w:t>
      </w:r>
    </w:p>
    <w:p w14:paraId="567AD8E6">
      <w:pPr>
        <w:numPr>
          <w:ilvl w:val="0"/>
          <w:numId w:val="6"/>
        </w:numPr>
        <w:spacing w:line="440" w:lineRule="exact"/>
        <w:ind w:left="425" w:leftChars="0" w:hanging="425"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★按照每个检测项目对主要试剂耗材进行报价（含每人份单价和按供货规格整体报价）；</w:t>
      </w:r>
    </w:p>
    <w:p w14:paraId="41FC863B">
      <w:pPr>
        <w:numPr>
          <w:ilvl w:val="0"/>
          <w:numId w:val="6"/>
        </w:numPr>
        <w:spacing w:line="440" w:lineRule="exact"/>
        <w:ind w:left="425" w:leftChars="0" w:hanging="425" w:firstLineChars="0"/>
        <w:rPr>
          <w:rFonts w:ascii="宋体" w:hAnsi="宋体" w:eastAsia="宋体" w:cs="宋体"/>
          <w:bCs/>
          <w:color w:val="auto"/>
          <w:szCs w:val="21"/>
          <w:highlight w:val="none"/>
        </w:rPr>
      </w:pPr>
      <w:r>
        <w:rPr>
          <w:rFonts w:hint="eastAsia" w:ascii="宋体" w:hAnsi="宋体" w:eastAsia="宋体" w:cs="宋体"/>
          <w:color w:val="auto"/>
          <w:szCs w:val="21"/>
          <w:highlight w:val="none"/>
        </w:rPr>
        <w:t>★配套耗材不再单独报价，成本由供应商自行列入主要试剂耗材每人份成</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rPr>
        <w:t>中。</w:t>
      </w:r>
    </w:p>
    <w:p w14:paraId="5C0AE598">
      <w:pPr>
        <w:numPr>
          <w:ilvl w:val="0"/>
          <w:numId w:val="6"/>
        </w:numPr>
        <w:spacing w:line="440" w:lineRule="exact"/>
        <w:ind w:left="425" w:leftChars="0" w:hanging="425" w:firstLineChars="0"/>
        <w:rPr>
          <w:rFonts w:hint="eastAsia"/>
          <w:lang w:val="zh-CN" w:eastAsia="zh-CN"/>
        </w:rPr>
      </w:pPr>
      <w:r>
        <w:rPr>
          <w:rFonts w:hint="eastAsia" w:ascii="宋体" w:hAnsi="宋体" w:eastAsia="宋体" w:cs="宋体"/>
          <w:color w:val="auto"/>
          <w:szCs w:val="21"/>
          <w:highlight w:val="none"/>
        </w:rPr>
        <w:t>所投设备的可收费配套耗材须有正规国家医保耗材码</w:t>
      </w:r>
      <w:r>
        <w:rPr>
          <w:rFonts w:hint="eastAsia" w:ascii="宋体" w:hAnsi="宋体" w:cs="宋体"/>
          <w:color w:val="auto"/>
          <w:szCs w:val="21"/>
          <w:highlight w:val="none"/>
          <w:lang w:eastAsia="zh-CN"/>
        </w:rPr>
        <w:t>。</w:t>
      </w:r>
    </w:p>
    <w:p w14:paraId="5EFEEC7E">
      <w:pPr>
        <w:bidi w:val="0"/>
        <w:rPr>
          <w:rFonts w:hint="eastAsia" w:ascii="Times New Roman" w:hAnsi="Times New Roman" w:eastAsia="宋体" w:cs="Times New Roman"/>
          <w:kern w:val="2"/>
          <w:sz w:val="21"/>
          <w:szCs w:val="24"/>
          <w:lang w:val="zh-CN" w:eastAsia="zh-CN" w:bidi="ar-SA"/>
        </w:rPr>
      </w:pPr>
    </w:p>
    <w:p w14:paraId="6A67FB36">
      <w:pPr>
        <w:bidi w:val="0"/>
        <w:rPr>
          <w:rFonts w:hint="eastAsia"/>
          <w:lang w:val="zh-CN" w:eastAsia="zh-CN"/>
        </w:rPr>
      </w:pPr>
    </w:p>
    <w:p w14:paraId="208FE420">
      <w:pPr>
        <w:bidi w:val="0"/>
        <w:rPr>
          <w:rFonts w:hint="eastAsia"/>
          <w:lang w:val="zh-CN" w:eastAsia="zh-CN"/>
        </w:rPr>
      </w:pPr>
    </w:p>
    <w:p w14:paraId="216DCAF6">
      <w:pPr>
        <w:bidi w:val="0"/>
        <w:rPr>
          <w:rFonts w:hint="eastAsia"/>
          <w:lang w:val="zh-CN" w:eastAsia="zh-CN"/>
        </w:rPr>
      </w:pPr>
    </w:p>
    <w:p w14:paraId="28006A40">
      <w:pPr>
        <w:bidi w:val="0"/>
        <w:rPr>
          <w:rFonts w:hint="eastAsia"/>
          <w:lang w:val="zh-CN" w:eastAsia="zh-CN"/>
        </w:rPr>
      </w:pPr>
    </w:p>
    <w:p w14:paraId="797DF91D">
      <w:pPr>
        <w:bidi w:val="0"/>
        <w:rPr>
          <w:rFonts w:hint="eastAsia"/>
          <w:lang w:val="zh-CN" w:eastAsia="zh-CN"/>
        </w:rPr>
      </w:pPr>
    </w:p>
    <w:p w14:paraId="635C47F6">
      <w:pPr>
        <w:bidi w:val="0"/>
        <w:rPr>
          <w:rFonts w:hint="eastAsia"/>
          <w:lang w:val="zh-CN" w:eastAsia="zh-CN"/>
        </w:rPr>
      </w:pPr>
    </w:p>
    <w:p w14:paraId="6F37861F">
      <w:pPr>
        <w:bidi w:val="0"/>
        <w:rPr>
          <w:rFonts w:hint="eastAsia"/>
          <w:lang w:val="zh-CN" w:eastAsia="zh-CN"/>
        </w:rPr>
      </w:pPr>
    </w:p>
    <w:p w14:paraId="2EFAC54D">
      <w:pPr>
        <w:bidi w:val="0"/>
        <w:rPr>
          <w:rFonts w:hint="eastAsia"/>
          <w:lang w:val="zh-CN" w:eastAsia="zh-CN"/>
        </w:rPr>
      </w:pPr>
    </w:p>
    <w:p w14:paraId="5ECB6678">
      <w:pPr>
        <w:bidi w:val="0"/>
        <w:rPr>
          <w:rFonts w:hint="eastAsia"/>
          <w:lang w:val="zh-CN" w:eastAsia="zh-CN"/>
        </w:rPr>
      </w:pPr>
    </w:p>
    <w:p w14:paraId="5D4A2194">
      <w:pPr>
        <w:bidi w:val="0"/>
        <w:rPr>
          <w:rFonts w:hint="eastAsia"/>
          <w:lang w:val="zh-CN" w:eastAsia="zh-CN"/>
        </w:rPr>
      </w:pPr>
    </w:p>
    <w:p w14:paraId="250ED82F">
      <w:pPr>
        <w:bidi w:val="0"/>
        <w:rPr>
          <w:rFonts w:hint="eastAsia"/>
          <w:lang w:val="zh-CN" w:eastAsia="zh-CN"/>
        </w:rPr>
      </w:pPr>
    </w:p>
    <w:p w14:paraId="7E3CBE25">
      <w:pPr>
        <w:bidi w:val="0"/>
        <w:rPr>
          <w:rFonts w:hint="eastAsia"/>
          <w:lang w:val="zh-CN" w:eastAsia="zh-CN"/>
        </w:rPr>
      </w:pPr>
      <w:bookmarkStart w:id="0" w:name="_GoBack"/>
      <w:bookmarkEnd w:id="0"/>
    </w:p>
    <w:p w14:paraId="5FD00BBC">
      <w:pPr>
        <w:bidi w:val="0"/>
        <w:rPr>
          <w:rFonts w:hint="eastAsia"/>
          <w:lang w:val="zh-CN" w:eastAsia="zh-CN"/>
        </w:rPr>
      </w:pPr>
    </w:p>
    <w:p w14:paraId="76093805">
      <w:pPr>
        <w:bidi w:val="0"/>
        <w:rPr>
          <w:rFonts w:hint="eastAsia"/>
          <w:lang w:val="zh-CN" w:eastAsia="zh-CN"/>
        </w:rPr>
      </w:pPr>
    </w:p>
    <w:p w14:paraId="3807CA0B">
      <w:pPr>
        <w:bidi w:val="0"/>
        <w:rPr>
          <w:rFonts w:hint="eastAsia"/>
          <w:lang w:val="zh-CN" w:eastAsia="zh-CN"/>
        </w:rPr>
      </w:pPr>
    </w:p>
    <w:p w14:paraId="3A2B1B5B">
      <w:pPr>
        <w:tabs>
          <w:tab w:val="left" w:pos="3522"/>
        </w:tabs>
        <w:bidi w:val="0"/>
        <w:jc w:val="left"/>
        <w:rPr>
          <w:rFonts w:hint="default"/>
          <w:lang w:val="en-US" w:eastAsia="zh-CN"/>
        </w:rPr>
      </w:pPr>
    </w:p>
    <w:sectPr>
      <w:footerReference r:id="rId3" w:type="default"/>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5574CA4A">
        <w:pPr>
          <w:pStyle w:val="6"/>
        </w:pPr>
        <w:r>
          <w:pict>
            <v:shape id="文本框 1025" o:spid="_x0000_s2049"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v:imagedata o:title=""/>
              <o:lock v:ext="edit" aspectratio="f"/>
              <v:textbox inset="0mm,0mm,0mm,0mm" style="mso-fit-shape-to-text:t;">
                <w:txbxContent>
                  <w:p w14:paraId="196627F1">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6</w:t>
                    </w:r>
                    <w:r>
                      <w:rPr>
                        <w:b/>
                        <w:sz w:val="24"/>
                      </w:rPr>
                      <w:fldChar w:fldCharType="end"/>
                    </w:r>
                  </w:p>
                </w:txbxContent>
              </v:textbox>
            </v:shape>
          </w:pict>
        </w:r>
      </w:p>
      <w:p w14:paraId="4114F3F0">
        <w:pPr>
          <w:pStyle w:val="6"/>
        </w:pPr>
      </w:p>
    </w:sdtContent>
  </w:sdt>
  <w:p w14:paraId="38E17460"/>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42D45E6"/>
    <w:multiLevelType w:val="singleLevel"/>
    <w:tmpl w:val="142D45E6"/>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5B86E5A"/>
    <w:multiLevelType w:val="singleLevel"/>
    <w:tmpl w:val="75B86E5A"/>
    <w:lvl w:ilvl="0" w:tentative="0">
      <w:start w:val="1"/>
      <w:numFmt w:val="decimal"/>
      <w:lvlText w:val="%1."/>
      <w:lvlJc w:val="left"/>
      <w:pPr>
        <w:ind w:left="425" w:hanging="425"/>
      </w:pPr>
      <w:rPr>
        <w:rFont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A249C3"/>
    <w:rsid w:val="01C15ED7"/>
    <w:rsid w:val="01E933D0"/>
    <w:rsid w:val="02467A44"/>
    <w:rsid w:val="027B1205"/>
    <w:rsid w:val="048653C5"/>
    <w:rsid w:val="04C2183F"/>
    <w:rsid w:val="05AE53ED"/>
    <w:rsid w:val="062976FD"/>
    <w:rsid w:val="0662564C"/>
    <w:rsid w:val="07620875"/>
    <w:rsid w:val="08940560"/>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97B60"/>
    <w:rsid w:val="182F3FFC"/>
    <w:rsid w:val="184F47E9"/>
    <w:rsid w:val="18986748"/>
    <w:rsid w:val="18E875A5"/>
    <w:rsid w:val="195B4CD4"/>
    <w:rsid w:val="19F434AB"/>
    <w:rsid w:val="19F46800"/>
    <w:rsid w:val="1A4E463B"/>
    <w:rsid w:val="1AC04D91"/>
    <w:rsid w:val="1AEC6A9B"/>
    <w:rsid w:val="1B4537E4"/>
    <w:rsid w:val="1B480550"/>
    <w:rsid w:val="1B9B3432"/>
    <w:rsid w:val="1C125497"/>
    <w:rsid w:val="1C5D648C"/>
    <w:rsid w:val="1D9E5E8E"/>
    <w:rsid w:val="1DA578BD"/>
    <w:rsid w:val="20372DFC"/>
    <w:rsid w:val="206831B1"/>
    <w:rsid w:val="22D309D5"/>
    <w:rsid w:val="23683A18"/>
    <w:rsid w:val="23E7584F"/>
    <w:rsid w:val="258D2337"/>
    <w:rsid w:val="25C97958"/>
    <w:rsid w:val="268A1BB3"/>
    <w:rsid w:val="28BF1285"/>
    <w:rsid w:val="28E70654"/>
    <w:rsid w:val="2A885D27"/>
    <w:rsid w:val="2AA33888"/>
    <w:rsid w:val="2C0F05B0"/>
    <w:rsid w:val="2CAA0DDE"/>
    <w:rsid w:val="2D5D7614"/>
    <w:rsid w:val="2D687FBF"/>
    <w:rsid w:val="2D8169D8"/>
    <w:rsid w:val="2DBE4A06"/>
    <w:rsid w:val="2E0B376C"/>
    <w:rsid w:val="2E712EDD"/>
    <w:rsid w:val="2E894875"/>
    <w:rsid w:val="2EBD544A"/>
    <w:rsid w:val="2EE55694"/>
    <w:rsid w:val="2F4263DE"/>
    <w:rsid w:val="2F980E41"/>
    <w:rsid w:val="2FB36F7C"/>
    <w:rsid w:val="32A966F2"/>
    <w:rsid w:val="33CD5810"/>
    <w:rsid w:val="34326E09"/>
    <w:rsid w:val="34AF794B"/>
    <w:rsid w:val="352058F9"/>
    <w:rsid w:val="35C763F7"/>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E353F81"/>
    <w:rsid w:val="3F196F49"/>
    <w:rsid w:val="407E146F"/>
    <w:rsid w:val="40C43099"/>
    <w:rsid w:val="41B0738E"/>
    <w:rsid w:val="42E42773"/>
    <w:rsid w:val="434A3516"/>
    <w:rsid w:val="44237489"/>
    <w:rsid w:val="446B0669"/>
    <w:rsid w:val="447A3E90"/>
    <w:rsid w:val="45815466"/>
    <w:rsid w:val="45B122E0"/>
    <w:rsid w:val="472D7E58"/>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4B5067"/>
    <w:rsid w:val="4EDE287A"/>
    <w:rsid w:val="4EF626EF"/>
    <w:rsid w:val="4F4C0510"/>
    <w:rsid w:val="4FEB0AE2"/>
    <w:rsid w:val="513F009D"/>
    <w:rsid w:val="516D03D0"/>
    <w:rsid w:val="51CA70EA"/>
    <w:rsid w:val="53223453"/>
    <w:rsid w:val="54B34A9B"/>
    <w:rsid w:val="54BE38C9"/>
    <w:rsid w:val="54C41E6B"/>
    <w:rsid w:val="562C6AB3"/>
    <w:rsid w:val="56633810"/>
    <w:rsid w:val="5670574F"/>
    <w:rsid w:val="56AB1A08"/>
    <w:rsid w:val="56CF2CD9"/>
    <w:rsid w:val="57AC4455"/>
    <w:rsid w:val="58F06F37"/>
    <w:rsid w:val="59480742"/>
    <w:rsid w:val="596334BB"/>
    <w:rsid w:val="5B06785A"/>
    <w:rsid w:val="5B576610"/>
    <w:rsid w:val="5C9522CF"/>
    <w:rsid w:val="5CEB018E"/>
    <w:rsid w:val="5D1761F3"/>
    <w:rsid w:val="5D4446FE"/>
    <w:rsid w:val="5EA36E58"/>
    <w:rsid w:val="5EC71180"/>
    <w:rsid w:val="5F580C6B"/>
    <w:rsid w:val="5F585957"/>
    <w:rsid w:val="5F7A755A"/>
    <w:rsid w:val="5F8F08C0"/>
    <w:rsid w:val="5FA44E0F"/>
    <w:rsid w:val="5FE15E62"/>
    <w:rsid w:val="60122426"/>
    <w:rsid w:val="60182200"/>
    <w:rsid w:val="60743588"/>
    <w:rsid w:val="60872EF7"/>
    <w:rsid w:val="60ED3004"/>
    <w:rsid w:val="615269E1"/>
    <w:rsid w:val="61F160E0"/>
    <w:rsid w:val="628D32EA"/>
    <w:rsid w:val="63895A12"/>
    <w:rsid w:val="644C371A"/>
    <w:rsid w:val="64B61FC6"/>
    <w:rsid w:val="650F04DD"/>
    <w:rsid w:val="668E3985"/>
    <w:rsid w:val="66AF192B"/>
    <w:rsid w:val="67302F6D"/>
    <w:rsid w:val="6741119A"/>
    <w:rsid w:val="677850FC"/>
    <w:rsid w:val="6AC879A3"/>
    <w:rsid w:val="6C1727C7"/>
    <w:rsid w:val="6C1D026B"/>
    <w:rsid w:val="6C40415C"/>
    <w:rsid w:val="6C851FDC"/>
    <w:rsid w:val="6DCA297E"/>
    <w:rsid w:val="6E7D7016"/>
    <w:rsid w:val="6EE6418B"/>
    <w:rsid w:val="6F8010C8"/>
    <w:rsid w:val="6F957CEC"/>
    <w:rsid w:val="6FB54CDB"/>
    <w:rsid w:val="706F7E0C"/>
    <w:rsid w:val="71F07CE7"/>
    <w:rsid w:val="73A94275"/>
    <w:rsid w:val="73C966C4"/>
    <w:rsid w:val="74A149C7"/>
    <w:rsid w:val="74A86E06"/>
    <w:rsid w:val="7547180C"/>
    <w:rsid w:val="77A6081B"/>
    <w:rsid w:val="78192432"/>
    <w:rsid w:val="7873205D"/>
    <w:rsid w:val="78EF7DAC"/>
    <w:rsid w:val="79070A07"/>
    <w:rsid w:val="79907C4E"/>
    <w:rsid w:val="79A3457A"/>
    <w:rsid w:val="79B30757"/>
    <w:rsid w:val="7A5F2F89"/>
    <w:rsid w:val="7A6660F8"/>
    <w:rsid w:val="7A903C7E"/>
    <w:rsid w:val="7AFB2199"/>
    <w:rsid w:val="7B47043A"/>
    <w:rsid w:val="7B4C229B"/>
    <w:rsid w:val="7B69139A"/>
    <w:rsid w:val="7B6A77B1"/>
    <w:rsid w:val="7BB00769"/>
    <w:rsid w:val="7BDC306D"/>
    <w:rsid w:val="7C83261F"/>
    <w:rsid w:val="7C853D90"/>
    <w:rsid w:val="7DE70FFB"/>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2134</Words>
  <Characters>2210</Characters>
  <Lines>5</Lines>
  <Paragraphs>1</Paragraphs>
  <TotalTime>72</TotalTime>
  <ScaleCrop>false</ScaleCrop>
  <LinksUpToDate>false</LinksUpToDate>
  <CharactersWithSpaces>2264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2026-07-07T06:59:54Z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