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神经肌肉电刺激仪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中医康复科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default" w:ascii="仿宋" w:hAnsi="仿宋" w:eastAsia="仿宋" w:cs="仿宋"/>
          <w:color w:val="000000" w:themeColor="text1"/>
          <w:sz w:val="24"/>
          <w:lang w:val="en-US" w:eastAsia="zh-CN"/>
        </w:rPr>
        <w:t>神经肌肉电刺激仪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highlight w:val="none"/>
          <w:lang w:val="en-US" w:eastAsia="zh-CN"/>
        </w:rPr>
        <w:t>通过低频脉冲电流刺激失神经支配肌肉，使其产生节律性收缩，提高肌肉张力，延缓肌肉萎缩，促进神经恢复。</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7EB197F4">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★1、4路输出，输出电缆包括电极线，电极包括圆电极和方电极。</w:t>
      </w:r>
    </w:p>
    <w:p w14:paraId="04607E8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w:t>
      </w:r>
      <w:r>
        <w:rPr>
          <w:rFonts w:hint="eastAsia" w:ascii="仿宋" w:hAnsi="仿宋" w:eastAsia="仿宋" w:cs="仿宋"/>
          <w:b w:val="0"/>
          <w:bCs/>
          <w:color w:val="000000" w:themeColor="text1"/>
          <w:sz w:val="24"/>
        </w:rPr>
        <w:t>、输出波形：脉冲波形为双向不对称方波（矩形波），调制波为方波。</w:t>
      </w:r>
    </w:p>
    <w:p w14:paraId="531BA38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rPr>
        <w:t>输出脉冲频率为0.5Hz～5Hz。允差为每档最高频率的±15%。</w:t>
      </w:r>
    </w:p>
    <w:p w14:paraId="1D0738A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、脉冲宽度和调制波脉宽：治疗选择第Ⅰ档：输出脉冲宽度为1ms，调制波脉宽为10ms。允差±30%</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rPr>
        <w:t>治疗选择第Ⅱ档：输出脉冲宽度为10ms。允差±30%。</w:t>
      </w:r>
    </w:p>
    <w:p w14:paraId="0FC34F5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4、输出强度：仪器各路独立输出,在500Ω负载阻抗时,每路输出电流峰值Ip从0mA～100mA连续可调。最大输出值允差±30%。</w:t>
      </w:r>
    </w:p>
    <w:p w14:paraId="604075B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5、定时时间：定时设置分为5min、10min、15min、20min、25min、30min</w:t>
      </w:r>
      <w:r>
        <w:rPr>
          <w:rFonts w:hint="eastAsia" w:ascii="仿宋" w:hAnsi="仿宋" w:eastAsia="仿宋" w:cs="仿宋"/>
          <w:b w:val="0"/>
          <w:bCs/>
          <w:color w:val="000000" w:themeColor="text1"/>
          <w:sz w:val="24"/>
          <w:lang w:val="en-US" w:eastAsia="zh-CN"/>
        </w:rPr>
        <w:t>等</w:t>
      </w:r>
      <w:r>
        <w:rPr>
          <w:rFonts w:hint="eastAsia" w:ascii="仿宋" w:hAnsi="仿宋" w:eastAsia="仿宋" w:cs="仿宋"/>
          <w:b w:val="0"/>
          <w:bCs/>
          <w:color w:val="000000" w:themeColor="text1"/>
          <w:sz w:val="24"/>
        </w:rPr>
        <w:t>档</w:t>
      </w:r>
      <w:r>
        <w:rPr>
          <w:rFonts w:hint="eastAsia" w:ascii="仿宋" w:hAnsi="仿宋" w:eastAsia="仿宋" w:cs="仿宋"/>
          <w:b w:val="0"/>
          <w:bCs/>
          <w:color w:val="000000" w:themeColor="text1"/>
          <w:sz w:val="24"/>
          <w:lang w:val="en-US" w:eastAsia="zh-CN"/>
        </w:rPr>
        <w:t>位</w:t>
      </w:r>
      <w:r>
        <w:rPr>
          <w:rFonts w:hint="eastAsia" w:ascii="仿宋" w:hAnsi="仿宋" w:eastAsia="仿宋" w:cs="仿宋"/>
          <w:b w:val="0"/>
          <w:bCs/>
          <w:color w:val="000000" w:themeColor="text1"/>
          <w:sz w:val="24"/>
        </w:rPr>
        <w:t>，允许偏差±10%。</w:t>
      </w:r>
    </w:p>
    <w:p w14:paraId="257F32FA">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6、连续工作时间：仪器连续工作时间不少于4h。</w:t>
      </w:r>
    </w:p>
    <w:p w14:paraId="2C1CE66D">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★7、肿瘤病人适用</w:t>
      </w:r>
      <w:r>
        <w:rPr>
          <w:rFonts w:hint="eastAsia" w:ascii="仿宋" w:hAnsi="仿宋" w:eastAsia="仿宋" w:cs="仿宋"/>
          <w:color w:val="000000"/>
          <w:kern w:val="0"/>
          <w:sz w:val="24"/>
          <w:szCs w:val="18"/>
          <w:lang w:val="en-US" w:eastAsia="zh-CN"/>
        </w:rPr>
        <w:t>（附说明书禁忌症证明）</w:t>
      </w:r>
      <w:r>
        <w:rPr>
          <w:rFonts w:hint="eastAsia" w:ascii="仿宋" w:hAnsi="仿宋" w:eastAsia="仿宋" w:cs="仿宋"/>
          <w:b w:val="0"/>
          <w:bCs/>
          <w:color w:val="000000" w:themeColor="text1"/>
          <w:sz w:val="24"/>
          <w:lang w:val="en-US" w:eastAsia="zh-CN"/>
        </w:rPr>
        <w:t>。</w:t>
      </w:r>
    </w:p>
    <w:p w14:paraId="4F84CC56">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★8、设备使用年限≥8年。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39"/>
        <w:gridCol w:w="1546"/>
        <w:gridCol w:w="1396"/>
      </w:tblGrid>
      <w:tr w14:paraId="062D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tcPr>
          <w:p w14:paraId="238725D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639" w:type="dxa"/>
          </w:tcPr>
          <w:p w14:paraId="5D9E3C2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546" w:type="dxa"/>
          </w:tcPr>
          <w:p w14:paraId="42EBDA5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396" w:type="dxa"/>
          </w:tcPr>
          <w:p w14:paraId="72AE1F1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264C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8E6FF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639" w:type="dxa"/>
          </w:tcPr>
          <w:p w14:paraId="0E388602">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输出线</w:t>
            </w:r>
          </w:p>
        </w:tc>
        <w:tc>
          <w:tcPr>
            <w:tcW w:w="1546" w:type="dxa"/>
          </w:tcPr>
          <w:p w14:paraId="57E21879">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4</w:t>
            </w:r>
          </w:p>
        </w:tc>
        <w:tc>
          <w:tcPr>
            <w:tcW w:w="1396" w:type="dxa"/>
          </w:tcPr>
          <w:p w14:paraId="5523BB21">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条</w:t>
            </w:r>
          </w:p>
        </w:tc>
      </w:tr>
      <w:tr w14:paraId="3CA1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3BB6D7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639" w:type="dxa"/>
          </w:tcPr>
          <w:p w14:paraId="14D6F36A">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电极片</w:t>
            </w:r>
          </w:p>
        </w:tc>
        <w:tc>
          <w:tcPr>
            <w:tcW w:w="1546" w:type="dxa"/>
          </w:tcPr>
          <w:p w14:paraId="37DD97FD">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12</w:t>
            </w:r>
          </w:p>
        </w:tc>
        <w:tc>
          <w:tcPr>
            <w:tcW w:w="1396" w:type="dxa"/>
          </w:tcPr>
          <w:p w14:paraId="1CA5624C">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片</w:t>
            </w:r>
          </w:p>
        </w:tc>
      </w:tr>
      <w:tr w14:paraId="13A8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58E10B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4639" w:type="dxa"/>
          </w:tcPr>
          <w:p w14:paraId="6AB527D9">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绷带</w:t>
            </w:r>
          </w:p>
        </w:tc>
        <w:tc>
          <w:tcPr>
            <w:tcW w:w="1546" w:type="dxa"/>
          </w:tcPr>
          <w:p w14:paraId="69EF27E3">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3</w:t>
            </w:r>
          </w:p>
        </w:tc>
        <w:tc>
          <w:tcPr>
            <w:tcW w:w="1396" w:type="dxa"/>
          </w:tcPr>
          <w:p w14:paraId="35BCE554">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捆</w:t>
            </w:r>
          </w:p>
        </w:tc>
      </w:tr>
      <w:tr w14:paraId="3184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AA1677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4639" w:type="dxa"/>
          </w:tcPr>
          <w:p w14:paraId="1910D192">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棉垫</w:t>
            </w:r>
          </w:p>
        </w:tc>
        <w:tc>
          <w:tcPr>
            <w:tcW w:w="1546" w:type="dxa"/>
          </w:tcPr>
          <w:p w14:paraId="12FEF7A3">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96" w:type="dxa"/>
          </w:tcPr>
          <w:p w14:paraId="02ABF173">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包</w:t>
            </w:r>
          </w:p>
        </w:tc>
      </w:tr>
      <w:tr w14:paraId="6623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91B91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4639" w:type="dxa"/>
          </w:tcPr>
          <w:p w14:paraId="2DC2F685">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合格证、保修卡、说明书</w:t>
            </w:r>
          </w:p>
        </w:tc>
        <w:tc>
          <w:tcPr>
            <w:tcW w:w="1546" w:type="dxa"/>
          </w:tcPr>
          <w:p w14:paraId="5D132E99">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96" w:type="dxa"/>
          </w:tcPr>
          <w:p w14:paraId="4E20911F">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bl>
    <w:p w14:paraId="724A3D85">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0961FB5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投标供应商须要在投标文件做出具承诺函，该承诺函包括但不限于以下内容:</w:t>
      </w:r>
    </w:p>
    <w:p w14:paraId="729863C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bookmarkStart w:id="0" w:name="_GoBack"/>
      <w:bookmarkEnd w:id="0"/>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w:t>
      </w:r>
      <w:r>
        <w:rPr>
          <w:rFonts w:hint="eastAsia" w:ascii="仿宋" w:hAnsi="仿宋" w:eastAsia="仿宋" w:cs="仿宋"/>
          <w:color w:val="auto"/>
          <w:sz w:val="24"/>
          <w:highlight w:val="none"/>
          <w:lang w:val="en-US" w:eastAsia="zh-CN"/>
        </w:rPr>
        <w:t>质保期</w:t>
      </w:r>
      <w:r>
        <w:rPr>
          <w:rFonts w:hint="eastAsia" w:ascii="仿宋" w:hAnsi="仿宋" w:eastAsia="仿宋" w:cs="仿宋"/>
          <w:color w:val="auto"/>
          <w:sz w:val="24"/>
          <w:highlight w:val="none"/>
        </w:rPr>
        <w:t>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3167C9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E497832"/>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2026-07-03T02:13:36Z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