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76F3DF5D">
      <w:pPr>
        <w:pStyle w:val="3"/>
        <w:rPr>
          <w:rFonts w:hint="eastAsia"/>
          <w:b/>
          <w:sz w:val="32"/>
          <w:szCs w:val="32"/>
        </w:rPr>
      </w:pPr>
    </w:p>
    <w:p w14:paraId="75D7215B">
      <w:pPr>
        <w:pStyle w:val="3"/>
        <w:rPr>
          <w:rFonts w:hint="eastAsia"/>
          <w:b/>
          <w:sz w:val="32"/>
          <w:szCs w:val="32"/>
        </w:rPr>
      </w:pPr>
    </w:p>
    <w:p w14:paraId="5FA590D9">
      <w:pPr>
        <w:spacing w:line="440" w:lineRule="exact"/>
        <w:jc w:val="both"/>
        <w:rPr>
          <w:rFonts w:hint="eastAsia"/>
          <w:b/>
          <w:sz w:val="32"/>
          <w:szCs w:val="32"/>
        </w:rPr>
      </w:pPr>
    </w:p>
    <w:p w14:paraId="62EE893C">
      <w:pPr>
        <w:spacing w:line="440" w:lineRule="exact"/>
        <w:jc w:val="center"/>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3051A1A3">
      <w:pPr>
        <w:tabs>
          <w:tab w:val="left" w:pos="720"/>
        </w:tabs>
        <w:spacing w:line="340" w:lineRule="exact"/>
        <w:jc w:val="left"/>
        <w:rPr>
          <w:rFonts w:ascii="宋体" w:hAnsi="宋体"/>
          <w:b/>
          <w:bCs/>
          <w:sz w:val="30"/>
          <w:szCs w:val="30"/>
        </w:rPr>
      </w:pPr>
    </w:p>
    <w:p w14:paraId="6F3CCC8D">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5.本文的“质保期”是指中标标的物经约定的验收机构完成验收之日起算，截至中标供应商承诺的期限。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中频治疗仪</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中医康复科</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中频治疗仪</w:t>
      </w:r>
    </w:p>
    <w:p w14:paraId="26B12F7A">
      <w:pPr>
        <w:spacing w:line="440" w:lineRule="exact"/>
        <w:rPr>
          <w:rFonts w:ascii="仿宋" w:hAnsi="仿宋" w:eastAsia="仿宋" w:cs="仿宋"/>
          <w:color w:val="000000" w:themeColor="text1"/>
          <w:sz w:val="24"/>
        </w:rPr>
      </w:pPr>
    </w:p>
    <w:p w14:paraId="0131614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w:t>
      </w:r>
      <w:r>
        <w:rPr>
          <w:rFonts w:hint="eastAsia" w:ascii="仿宋" w:hAnsi="仿宋" w:eastAsia="仿宋" w:cs="仿宋"/>
          <w:color w:val="000000" w:themeColor="text1"/>
          <w:sz w:val="24"/>
          <w:highlight w:val="none"/>
          <w:lang w:val="en-US" w:eastAsia="zh-CN"/>
        </w:rPr>
        <w:t>通过中频电流抑制传导疼痛感觉的细纤维，从而达到镇痛效果；中频电流还可使细胞膜电位去极化，兴奋神经肌肉，产生肌肉收缩，起到锻炼肌肉的作用。</w:t>
      </w:r>
    </w:p>
    <w:p w14:paraId="247ACE54">
      <w:pPr>
        <w:spacing w:line="440" w:lineRule="exact"/>
        <w:rPr>
          <w:rFonts w:ascii="仿宋" w:hAnsi="仿宋" w:eastAsia="仿宋" w:cs="仿宋"/>
          <w:b/>
          <w:color w:val="000000" w:themeColor="text1"/>
          <w:sz w:val="24"/>
        </w:rPr>
      </w:pPr>
    </w:p>
    <w:p w14:paraId="426AD8A4">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p w14:paraId="49F74796">
      <w:pPr>
        <w:spacing w:line="276" w:lineRule="auto"/>
        <w:rPr>
          <w:rFonts w:hint="default" w:ascii="仿宋" w:hAnsi="仿宋" w:eastAsia="仿宋" w:cs="仿宋"/>
          <w:color w:val="000000"/>
          <w:kern w:val="0"/>
          <w:sz w:val="24"/>
          <w:szCs w:val="18"/>
          <w:lang w:val="en-US"/>
        </w:rPr>
      </w:pPr>
      <w:r>
        <w:rPr>
          <w:rFonts w:hint="eastAsia" w:ascii="仿宋" w:hAnsi="仿宋" w:eastAsia="仿宋" w:cs="仿宋"/>
          <w:color w:val="000000" w:themeColor="text1"/>
          <w:sz w:val="24"/>
        </w:rPr>
        <w:t>★</w:t>
      </w:r>
      <w:r>
        <w:rPr>
          <w:rFonts w:hint="eastAsia" w:ascii="仿宋" w:hAnsi="仿宋" w:eastAsia="仿宋" w:cs="仿宋"/>
          <w:color w:val="000000"/>
          <w:kern w:val="0"/>
          <w:sz w:val="24"/>
          <w:szCs w:val="18"/>
          <w:lang w:val="en-US" w:eastAsia="zh-CN"/>
        </w:rPr>
        <w:t>1、四通道输出。四个通道即可同步工作，也可异步工作。</w:t>
      </w:r>
    </w:p>
    <w:p w14:paraId="2D8C9C8C">
      <w:pPr>
        <w:spacing w:line="276" w:lineRule="auto"/>
        <w:rPr>
          <w:rFonts w:hint="eastAsia" w:ascii="仿宋" w:hAnsi="仿宋" w:eastAsia="仿宋" w:cs="仿宋"/>
          <w:color w:val="000000"/>
          <w:kern w:val="0"/>
          <w:sz w:val="24"/>
          <w:szCs w:val="18"/>
          <w:lang w:val="en-US" w:eastAsia="zh-CN"/>
        </w:rPr>
      </w:pPr>
      <w:r>
        <w:rPr>
          <w:rFonts w:hint="eastAsia" w:ascii="仿宋" w:hAnsi="仿宋" w:eastAsia="仿宋" w:cs="仿宋"/>
          <w:color w:val="000000"/>
          <w:kern w:val="0"/>
          <w:sz w:val="24"/>
          <w:szCs w:val="18"/>
          <w:lang w:val="en-US" w:eastAsia="zh-CN"/>
        </w:rPr>
        <w:t>2、</w:t>
      </w:r>
      <w:r>
        <w:rPr>
          <w:rFonts w:hint="eastAsia" w:ascii="仿宋" w:hAnsi="仿宋" w:eastAsia="仿宋" w:cs="仿宋"/>
          <w:color w:val="000000"/>
          <w:kern w:val="0"/>
          <w:sz w:val="24"/>
          <w:szCs w:val="18"/>
        </w:rPr>
        <w:t>工作频率：1kHz～10kHz，允差±10%。</w:t>
      </w:r>
    </w:p>
    <w:p w14:paraId="5DFD11FE">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lang w:val="en-US" w:eastAsia="zh-CN"/>
        </w:rPr>
        <w:t>3</w:t>
      </w:r>
      <w:r>
        <w:rPr>
          <w:rFonts w:hint="eastAsia" w:ascii="仿宋" w:hAnsi="仿宋" w:eastAsia="仿宋" w:cs="仿宋"/>
          <w:color w:val="000000"/>
          <w:kern w:val="0"/>
          <w:sz w:val="24"/>
          <w:szCs w:val="18"/>
        </w:rPr>
        <w:t>、输出电流</w:t>
      </w:r>
      <w:r>
        <w:rPr>
          <w:rFonts w:hint="eastAsia" w:ascii="仿宋" w:hAnsi="仿宋" w:eastAsia="仿宋" w:cs="仿宋"/>
          <w:color w:val="000000"/>
          <w:kern w:val="0"/>
          <w:sz w:val="24"/>
          <w:szCs w:val="18"/>
          <w:lang w:eastAsia="zh-CN"/>
        </w:rPr>
        <w:t>：</w:t>
      </w:r>
      <w:r>
        <w:rPr>
          <w:rFonts w:hint="eastAsia" w:ascii="仿宋" w:hAnsi="仿宋" w:eastAsia="仿宋" w:cs="仿宋"/>
          <w:color w:val="000000"/>
          <w:kern w:val="0"/>
          <w:sz w:val="24"/>
          <w:szCs w:val="18"/>
        </w:rPr>
        <w:t xml:space="preserve"> 在500Ω负载电阻下，输出电流不超过以下的限值：频率≤1500Hz，为80mA（r.m.s），频率＞1500Hz为100 mA（r.m.s）。</w:t>
      </w:r>
    </w:p>
    <w:p w14:paraId="374C36B9">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lang w:val="en-US" w:eastAsia="zh-CN"/>
        </w:rPr>
        <w:t>4</w:t>
      </w:r>
      <w:r>
        <w:rPr>
          <w:rFonts w:hint="eastAsia" w:ascii="仿宋" w:hAnsi="仿宋" w:eastAsia="仿宋" w:cs="仿宋"/>
          <w:color w:val="000000"/>
          <w:kern w:val="0"/>
          <w:sz w:val="24"/>
          <w:szCs w:val="18"/>
        </w:rPr>
        <w:t>、输出电流稳定度：≤5%。</w:t>
      </w:r>
    </w:p>
    <w:p w14:paraId="5425186D">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lang w:val="en-US" w:eastAsia="zh-CN"/>
        </w:rPr>
        <w:t>5</w:t>
      </w:r>
      <w:r>
        <w:rPr>
          <w:rFonts w:hint="eastAsia" w:ascii="仿宋" w:hAnsi="仿宋" w:eastAsia="仿宋" w:cs="仿宋"/>
          <w:color w:val="000000"/>
          <w:kern w:val="0"/>
          <w:sz w:val="24"/>
          <w:szCs w:val="18"/>
        </w:rPr>
        <w:t>、输出波形数据包括输出电压或电流的任何直流分量、脉冲宽度、脉冲重复频率、最大幅度等。负载阻抗对这些参数的影响：当用500Ω±10%的负载电阻进行测量时，测量值对设备的中频频率和输出幅度值，包括任何直流分量的偏差≤±10%。</w:t>
      </w:r>
    </w:p>
    <w:p w14:paraId="1C92F9B6">
      <w:pPr>
        <w:spacing w:line="276" w:lineRule="auto"/>
        <w:rPr>
          <w:rFonts w:hint="eastAsia" w:ascii="仿宋" w:hAnsi="仿宋" w:eastAsia="仿宋" w:cs="仿宋"/>
          <w:color w:val="000000" w:themeColor="text1"/>
          <w:kern w:val="0"/>
          <w:sz w:val="24"/>
          <w:szCs w:val="18"/>
        </w:rPr>
      </w:pPr>
      <w:r>
        <w:rPr>
          <w:rFonts w:hint="eastAsia" w:ascii="仿宋" w:hAnsi="仿宋" w:eastAsia="仿宋" w:cs="仿宋"/>
          <w:color w:val="000000" w:themeColor="text1"/>
          <w:kern w:val="0"/>
          <w:sz w:val="24"/>
          <w:szCs w:val="18"/>
          <w:lang w:val="en-US" w:eastAsia="zh-CN"/>
        </w:rPr>
        <w:t>6</w:t>
      </w:r>
      <w:r>
        <w:rPr>
          <w:rFonts w:hint="eastAsia" w:ascii="仿宋" w:hAnsi="仿宋" w:eastAsia="仿宋" w:cs="仿宋"/>
          <w:color w:val="000000" w:themeColor="text1"/>
          <w:kern w:val="0"/>
          <w:sz w:val="24"/>
          <w:szCs w:val="18"/>
        </w:rPr>
        <w:t>、调制频率范围：0Hz～150Hz。</w:t>
      </w:r>
    </w:p>
    <w:p w14:paraId="4D3FED59">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lang w:val="en-US" w:eastAsia="zh-CN"/>
        </w:rPr>
        <w:t>7</w:t>
      </w:r>
      <w:r>
        <w:rPr>
          <w:rFonts w:hint="eastAsia" w:ascii="仿宋" w:hAnsi="仿宋" w:eastAsia="仿宋" w:cs="仿宋"/>
          <w:color w:val="000000"/>
          <w:kern w:val="0"/>
          <w:sz w:val="24"/>
          <w:szCs w:val="18"/>
        </w:rPr>
        <w:t>、调幅度：设有100%调幅度，允差±5%。</w:t>
      </w:r>
    </w:p>
    <w:p w14:paraId="6EDA078D">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lang w:val="en-US" w:eastAsia="zh-CN"/>
        </w:rPr>
        <w:t>8</w:t>
      </w:r>
      <w:r>
        <w:rPr>
          <w:rFonts w:hint="eastAsia" w:ascii="仿宋" w:hAnsi="仿宋" w:eastAsia="仿宋" w:cs="仿宋"/>
          <w:color w:val="000000"/>
          <w:kern w:val="0"/>
          <w:sz w:val="24"/>
          <w:szCs w:val="18"/>
        </w:rPr>
        <w:t>、差频频率范围：在0—100Hz范围内。</w:t>
      </w:r>
    </w:p>
    <w:p w14:paraId="0836B930">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lang w:val="en-US" w:eastAsia="zh-CN"/>
        </w:rPr>
        <w:t>9</w:t>
      </w:r>
      <w:r>
        <w:rPr>
          <w:rFonts w:hint="eastAsia" w:ascii="仿宋" w:hAnsi="仿宋" w:eastAsia="仿宋" w:cs="仿宋"/>
          <w:color w:val="000000"/>
          <w:kern w:val="0"/>
          <w:sz w:val="24"/>
          <w:szCs w:val="18"/>
        </w:rPr>
        <w:t>、动态节律：4s～10s。</w:t>
      </w:r>
    </w:p>
    <w:p w14:paraId="6CFF2579">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lang w:val="en-US" w:eastAsia="zh-CN"/>
        </w:rPr>
        <w:t>0</w:t>
      </w:r>
      <w:r>
        <w:rPr>
          <w:rFonts w:hint="eastAsia" w:ascii="仿宋" w:hAnsi="仿宋" w:eastAsia="仿宋" w:cs="仿宋"/>
          <w:color w:val="000000"/>
          <w:kern w:val="0"/>
          <w:sz w:val="24"/>
          <w:szCs w:val="18"/>
        </w:rPr>
        <w:t>、差频变化周期：15s～30s。</w:t>
      </w:r>
    </w:p>
    <w:p w14:paraId="69D0F927">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rPr>
        <w:t>1</w:t>
      </w:r>
      <w:r>
        <w:rPr>
          <w:rFonts w:hint="eastAsia" w:ascii="仿宋" w:hAnsi="仿宋" w:eastAsia="仿宋" w:cs="仿宋"/>
          <w:color w:val="000000"/>
          <w:kern w:val="0"/>
          <w:sz w:val="24"/>
          <w:szCs w:val="18"/>
          <w:lang w:val="en-US" w:eastAsia="zh-CN"/>
        </w:rPr>
        <w:t>1</w:t>
      </w:r>
      <w:r>
        <w:rPr>
          <w:rFonts w:hint="eastAsia" w:ascii="仿宋" w:hAnsi="仿宋" w:eastAsia="仿宋" w:cs="仿宋"/>
          <w:color w:val="000000"/>
          <w:kern w:val="0"/>
          <w:sz w:val="24"/>
          <w:szCs w:val="18"/>
        </w:rPr>
        <w:t>、调制波形：方波、正弦波、三角波、尖波、指数波、锯齿波、梯形波</w:t>
      </w:r>
      <w:r>
        <w:rPr>
          <w:rFonts w:hint="eastAsia" w:ascii="仿宋" w:hAnsi="仿宋" w:eastAsia="仿宋" w:cs="仿宋"/>
          <w:color w:val="000000"/>
          <w:kern w:val="0"/>
          <w:sz w:val="24"/>
          <w:szCs w:val="18"/>
          <w:lang w:val="en-US" w:eastAsia="zh-CN"/>
        </w:rPr>
        <w:t>等</w:t>
      </w:r>
      <w:r>
        <w:rPr>
          <w:rFonts w:hint="eastAsia" w:ascii="仿宋" w:hAnsi="仿宋" w:eastAsia="仿宋" w:cs="仿宋"/>
          <w:color w:val="000000"/>
          <w:kern w:val="0"/>
          <w:sz w:val="24"/>
          <w:szCs w:val="18"/>
        </w:rPr>
        <w:t>。</w:t>
      </w:r>
    </w:p>
    <w:p w14:paraId="3B9A9F3B">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rPr>
        <w:t>1</w:t>
      </w:r>
      <w:r>
        <w:rPr>
          <w:rFonts w:hint="eastAsia" w:ascii="仿宋" w:hAnsi="仿宋" w:eastAsia="仿宋" w:cs="仿宋"/>
          <w:color w:val="000000"/>
          <w:kern w:val="0"/>
          <w:sz w:val="24"/>
          <w:szCs w:val="18"/>
          <w:lang w:val="en-US" w:eastAsia="zh-CN"/>
        </w:rPr>
        <w:t>2</w:t>
      </w:r>
      <w:r>
        <w:rPr>
          <w:rFonts w:hint="eastAsia" w:ascii="仿宋" w:hAnsi="仿宋" w:eastAsia="仿宋" w:cs="仿宋"/>
          <w:color w:val="000000"/>
          <w:kern w:val="0"/>
          <w:sz w:val="24"/>
          <w:szCs w:val="18"/>
        </w:rPr>
        <w:t>、基波波形：方波。</w:t>
      </w:r>
    </w:p>
    <w:p w14:paraId="1B90E436">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rPr>
        <w:t>1</w:t>
      </w:r>
      <w:r>
        <w:rPr>
          <w:rFonts w:hint="eastAsia" w:ascii="仿宋" w:hAnsi="仿宋" w:eastAsia="仿宋" w:cs="仿宋"/>
          <w:color w:val="000000"/>
          <w:kern w:val="0"/>
          <w:sz w:val="24"/>
          <w:szCs w:val="18"/>
          <w:lang w:val="en-US" w:eastAsia="zh-CN"/>
        </w:rPr>
        <w:t>3</w:t>
      </w:r>
      <w:r>
        <w:rPr>
          <w:rFonts w:hint="eastAsia" w:ascii="仿宋" w:hAnsi="仿宋" w:eastAsia="仿宋" w:cs="仿宋"/>
          <w:color w:val="000000"/>
          <w:kern w:val="0"/>
          <w:sz w:val="24"/>
          <w:szCs w:val="18"/>
        </w:rPr>
        <w:t>、单向波输出电压：输出电压最大值应不超过60V。</w:t>
      </w:r>
    </w:p>
    <w:p w14:paraId="1EF075C7">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rPr>
        <w:t>1</w:t>
      </w:r>
      <w:r>
        <w:rPr>
          <w:rFonts w:hint="eastAsia" w:ascii="仿宋" w:hAnsi="仿宋" w:eastAsia="仿宋" w:cs="仿宋"/>
          <w:color w:val="000000"/>
          <w:kern w:val="0"/>
          <w:sz w:val="24"/>
          <w:szCs w:val="18"/>
          <w:lang w:val="en-US" w:eastAsia="zh-CN"/>
        </w:rPr>
        <w:t>4</w:t>
      </w:r>
      <w:r>
        <w:rPr>
          <w:rFonts w:hint="eastAsia" w:ascii="仿宋" w:hAnsi="仿宋" w:eastAsia="仿宋" w:cs="仿宋"/>
          <w:color w:val="000000"/>
          <w:kern w:val="0"/>
          <w:sz w:val="24"/>
          <w:szCs w:val="18"/>
        </w:rPr>
        <w:t>、输出电流调节方式：用按键递增、递减（100档，每档1mA）。</w:t>
      </w:r>
    </w:p>
    <w:p w14:paraId="2C35FEA3">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rPr>
        <w:t>1</w:t>
      </w:r>
      <w:r>
        <w:rPr>
          <w:rFonts w:hint="eastAsia" w:ascii="仿宋" w:hAnsi="仿宋" w:eastAsia="仿宋" w:cs="仿宋"/>
          <w:color w:val="000000"/>
          <w:kern w:val="0"/>
          <w:sz w:val="24"/>
          <w:szCs w:val="18"/>
          <w:lang w:val="en-US" w:eastAsia="zh-CN"/>
        </w:rPr>
        <w:t>5</w:t>
      </w:r>
      <w:r>
        <w:rPr>
          <w:rFonts w:hint="eastAsia" w:ascii="仿宋" w:hAnsi="仿宋" w:eastAsia="仿宋" w:cs="仿宋"/>
          <w:color w:val="000000"/>
          <w:kern w:val="0"/>
          <w:sz w:val="24"/>
          <w:szCs w:val="18"/>
        </w:rPr>
        <w:t>、连续工作时间：不小于4h。</w:t>
      </w:r>
    </w:p>
    <w:p w14:paraId="2FF29BB0">
      <w:pPr>
        <w:spacing w:line="276" w:lineRule="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rPr>
        <w:t>1</w:t>
      </w:r>
      <w:r>
        <w:rPr>
          <w:rFonts w:hint="eastAsia" w:ascii="仿宋" w:hAnsi="仿宋" w:eastAsia="仿宋" w:cs="仿宋"/>
          <w:color w:val="000000"/>
          <w:kern w:val="0"/>
          <w:sz w:val="24"/>
          <w:szCs w:val="18"/>
          <w:lang w:val="en-US" w:eastAsia="zh-CN"/>
        </w:rPr>
        <w:t>6</w:t>
      </w:r>
      <w:r>
        <w:rPr>
          <w:rFonts w:hint="eastAsia" w:ascii="仿宋" w:hAnsi="仿宋" w:eastAsia="仿宋" w:cs="仿宋"/>
          <w:color w:val="000000"/>
          <w:kern w:val="0"/>
          <w:sz w:val="24"/>
          <w:szCs w:val="18"/>
        </w:rPr>
        <w:t>、时间可调：默认处方时间：10min～45min，误差±10%。可调时间1min～99min，步长1min，误差±10%。</w:t>
      </w:r>
    </w:p>
    <w:p w14:paraId="6C73572C">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仿宋" w:hAnsi="仿宋" w:eastAsia="仿宋" w:cs="仿宋"/>
          <w:b/>
          <w:color w:val="000000"/>
          <w:kern w:val="0"/>
          <w:sz w:val="24"/>
          <w:szCs w:val="18"/>
        </w:rPr>
      </w:pPr>
      <w:r>
        <w:rPr>
          <w:rFonts w:hint="eastAsia" w:ascii="仿宋" w:hAnsi="仿宋" w:eastAsia="仿宋" w:cs="仿宋"/>
          <w:color w:val="000000"/>
          <w:kern w:val="0"/>
          <w:sz w:val="24"/>
          <w:szCs w:val="18"/>
        </w:rPr>
        <w:t>1</w:t>
      </w:r>
      <w:r>
        <w:rPr>
          <w:rFonts w:hint="eastAsia" w:ascii="仿宋" w:hAnsi="仿宋" w:eastAsia="仿宋" w:cs="仿宋"/>
          <w:color w:val="000000"/>
          <w:kern w:val="0"/>
          <w:sz w:val="24"/>
          <w:szCs w:val="18"/>
          <w:lang w:val="en-US" w:eastAsia="zh-CN"/>
        </w:rPr>
        <w:t>7</w:t>
      </w:r>
      <w:r>
        <w:rPr>
          <w:rFonts w:hint="eastAsia" w:ascii="仿宋" w:hAnsi="仿宋" w:eastAsia="仿宋" w:cs="仿宋"/>
          <w:color w:val="000000"/>
          <w:kern w:val="0"/>
          <w:sz w:val="24"/>
          <w:szCs w:val="18"/>
        </w:rPr>
        <w:t>、温度可调：热电极温度37℃～41℃，通过按键5档控制温度，0档＝不加热，1-5档加热温度依次增高。</w:t>
      </w:r>
    </w:p>
    <w:p w14:paraId="6112F967">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仿宋" w:hAnsi="仿宋" w:eastAsia="仿宋" w:cs="仿宋"/>
          <w:color w:val="000000"/>
          <w:kern w:val="0"/>
          <w:sz w:val="24"/>
          <w:szCs w:val="18"/>
        </w:rPr>
      </w:pPr>
      <w:r>
        <w:rPr>
          <w:rFonts w:hint="eastAsia" w:ascii="仿宋" w:hAnsi="仿宋" w:eastAsia="仿宋" w:cs="仿宋"/>
          <w:color w:val="000000"/>
          <w:kern w:val="0"/>
          <w:sz w:val="24"/>
          <w:szCs w:val="18"/>
        </w:rPr>
        <w:t>1</w:t>
      </w:r>
      <w:r>
        <w:rPr>
          <w:rFonts w:hint="eastAsia" w:ascii="仿宋" w:hAnsi="仿宋" w:eastAsia="仿宋" w:cs="仿宋"/>
          <w:color w:val="000000"/>
          <w:kern w:val="0"/>
          <w:sz w:val="24"/>
          <w:szCs w:val="18"/>
          <w:lang w:val="en-US" w:eastAsia="zh-CN"/>
        </w:rPr>
        <w:t>8</w:t>
      </w:r>
      <w:r>
        <w:rPr>
          <w:rFonts w:hint="eastAsia" w:ascii="仿宋" w:hAnsi="仿宋" w:eastAsia="仿宋" w:cs="仿宋"/>
          <w:color w:val="000000"/>
          <w:kern w:val="0"/>
          <w:sz w:val="24"/>
          <w:szCs w:val="18"/>
        </w:rPr>
        <w:t>、抗短路开路能力：最大输出时，将电极开路运行10min后，再短路运行5 min，治疗仪能正常工作。</w:t>
      </w:r>
    </w:p>
    <w:p w14:paraId="14CD8231">
      <w:pPr>
        <w:keepNext w:val="0"/>
        <w:keepLines w:val="0"/>
        <w:pageBreakBefore w:val="0"/>
        <w:widowControl w:val="0"/>
        <w:kinsoku/>
        <w:wordWrap/>
        <w:overflowPunct/>
        <w:topLinePunct w:val="0"/>
        <w:autoSpaceDE/>
        <w:autoSpaceDN/>
        <w:bidi w:val="0"/>
        <w:adjustRightInd/>
        <w:snapToGrid/>
        <w:spacing w:line="276" w:lineRule="auto"/>
        <w:textAlignment w:val="auto"/>
        <w:rPr>
          <w:rFonts w:hint="default" w:ascii="仿宋" w:hAnsi="仿宋" w:eastAsia="仿宋" w:cs="仿宋"/>
          <w:color w:val="000000"/>
          <w:kern w:val="0"/>
          <w:sz w:val="24"/>
          <w:szCs w:val="18"/>
          <w:lang w:val="en-US" w:eastAsia="zh-CN"/>
        </w:rPr>
      </w:pPr>
      <w:r>
        <w:rPr>
          <w:rFonts w:hint="eastAsia" w:ascii="仿宋" w:hAnsi="仿宋" w:eastAsia="仿宋" w:cs="仿宋"/>
          <w:color w:val="000000" w:themeColor="text1"/>
          <w:sz w:val="24"/>
        </w:rPr>
        <w:t>★</w:t>
      </w:r>
      <w:r>
        <w:rPr>
          <w:rFonts w:hint="eastAsia" w:ascii="仿宋" w:hAnsi="仿宋" w:eastAsia="仿宋" w:cs="仿宋"/>
          <w:color w:val="000000"/>
          <w:kern w:val="0"/>
          <w:sz w:val="24"/>
          <w:szCs w:val="18"/>
          <w:lang w:val="en-US" w:eastAsia="zh-CN"/>
        </w:rPr>
        <w:t>19、肿瘤病人适用（附说明书禁忌症证明）。</w:t>
      </w:r>
    </w:p>
    <w:p w14:paraId="01140411">
      <w:pPr>
        <w:keepNext w:val="0"/>
        <w:keepLines w:val="0"/>
        <w:pageBreakBefore w:val="0"/>
        <w:widowControl w:val="0"/>
        <w:numPr>
          <w:ilvl w:val="0"/>
          <w:numId w:val="0"/>
        </w:numPr>
        <w:kinsoku/>
        <w:wordWrap/>
        <w:overflowPunct/>
        <w:topLinePunct w:val="0"/>
        <w:autoSpaceDE/>
        <w:autoSpaceDN/>
        <w:bidi w:val="0"/>
        <w:adjustRightInd/>
        <w:snapToGrid/>
        <w:spacing w:line="276" w:lineRule="auto"/>
        <w:textAlignment w:val="auto"/>
        <w:rPr>
          <w:rFonts w:hint="eastAsia" w:ascii="仿宋" w:hAnsi="仿宋" w:eastAsia="仿宋" w:cs="仿宋"/>
          <w:b/>
          <w:color w:val="000000" w:themeColor="text1"/>
          <w:sz w:val="24"/>
        </w:rPr>
      </w:pPr>
      <w:r>
        <w:rPr>
          <w:rFonts w:hint="eastAsia" w:ascii="仿宋" w:hAnsi="仿宋" w:eastAsia="仿宋" w:cs="仿宋"/>
          <w:color w:val="000000" w:themeColor="text1"/>
          <w:sz w:val="24"/>
        </w:rPr>
        <w:t>★</w:t>
      </w:r>
      <w:r>
        <w:rPr>
          <w:rFonts w:hint="eastAsia" w:ascii="仿宋" w:hAnsi="仿宋" w:eastAsia="仿宋" w:cs="仿宋"/>
          <w:b w:val="0"/>
          <w:bCs/>
          <w:color w:val="000000" w:themeColor="text1"/>
          <w:sz w:val="24"/>
          <w:lang w:val="en-US" w:eastAsia="zh-CN"/>
        </w:rPr>
        <w:t>20、设备使用年限≥5年。</w:t>
      </w:r>
    </w:p>
    <w:p w14:paraId="2D9C1BC3">
      <w:pPr>
        <w:numPr>
          <w:ilvl w:val="0"/>
          <w:numId w:val="0"/>
        </w:numPr>
        <w:spacing w:line="440" w:lineRule="exact"/>
        <w:rPr>
          <w:rFonts w:hint="eastAsia" w:ascii="仿宋" w:hAnsi="仿宋" w:eastAsia="仿宋" w:cs="仿宋"/>
          <w:b/>
          <w:color w:val="000000" w:themeColor="text1"/>
          <w:sz w:val="24"/>
        </w:rPr>
      </w:pPr>
    </w:p>
    <w:p w14:paraId="5B198E0B">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四、</w:t>
      </w:r>
      <w:r>
        <w:rPr>
          <w:rFonts w:hint="eastAsia" w:ascii="仿宋" w:hAnsi="仿宋" w:eastAsia="仿宋" w:cs="仿宋"/>
          <w:b/>
          <w:color w:val="000000" w:themeColor="text1"/>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889"/>
        <w:gridCol w:w="1834"/>
        <w:gridCol w:w="1835"/>
      </w:tblGrid>
      <w:tr w14:paraId="13FA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AF609D5">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序号</w:t>
            </w:r>
          </w:p>
        </w:tc>
        <w:tc>
          <w:tcPr>
            <w:tcW w:w="3889" w:type="dxa"/>
          </w:tcPr>
          <w:p w14:paraId="48AB5608">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名称</w:t>
            </w:r>
          </w:p>
        </w:tc>
        <w:tc>
          <w:tcPr>
            <w:tcW w:w="1834" w:type="dxa"/>
          </w:tcPr>
          <w:p w14:paraId="7533B943">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数量</w:t>
            </w:r>
          </w:p>
        </w:tc>
        <w:tc>
          <w:tcPr>
            <w:tcW w:w="1835" w:type="dxa"/>
          </w:tcPr>
          <w:p w14:paraId="138ED706">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单位</w:t>
            </w:r>
          </w:p>
        </w:tc>
      </w:tr>
      <w:tr w14:paraId="5B84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C3325F8">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1</w:t>
            </w:r>
          </w:p>
        </w:tc>
        <w:tc>
          <w:tcPr>
            <w:tcW w:w="3889" w:type="dxa"/>
            <w:shd w:val="clear" w:color="auto" w:fill="auto"/>
            <w:vAlign w:val="center"/>
          </w:tcPr>
          <w:p w14:paraId="61EB4CD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主机</w:t>
            </w:r>
          </w:p>
        </w:tc>
        <w:tc>
          <w:tcPr>
            <w:tcW w:w="1834" w:type="dxa"/>
            <w:shd w:val="clear" w:color="auto" w:fill="auto"/>
            <w:vAlign w:val="center"/>
          </w:tcPr>
          <w:p w14:paraId="5B83C76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1835" w:type="dxa"/>
            <w:shd w:val="clear" w:color="auto" w:fill="auto"/>
            <w:vAlign w:val="center"/>
          </w:tcPr>
          <w:p w14:paraId="0F339EF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r>
      <w:tr w14:paraId="3E2C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A18490D">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2</w:t>
            </w:r>
          </w:p>
        </w:tc>
        <w:tc>
          <w:tcPr>
            <w:tcW w:w="3889" w:type="dxa"/>
            <w:shd w:val="clear" w:color="auto" w:fill="auto"/>
            <w:vAlign w:val="center"/>
          </w:tcPr>
          <w:p w14:paraId="27C6ECD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普通输出线</w:t>
            </w:r>
          </w:p>
        </w:tc>
        <w:tc>
          <w:tcPr>
            <w:tcW w:w="1834" w:type="dxa"/>
            <w:shd w:val="clear" w:color="auto" w:fill="auto"/>
            <w:vAlign w:val="center"/>
          </w:tcPr>
          <w:p w14:paraId="06C77B5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w:t>
            </w:r>
          </w:p>
        </w:tc>
        <w:tc>
          <w:tcPr>
            <w:tcW w:w="1835" w:type="dxa"/>
            <w:shd w:val="clear" w:color="auto" w:fill="auto"/>
            <w:vAlign w:val="center"/>
          </w:tcPr>
          <w:p w14:paraId="7E63F22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条</w:t>
            </w:r>
          </w:p>
        </w:tc>
      </w:tr>
      <w:tr w14:paraId="13FD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7BA6F30">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3</w:t>
            </w:r>
          </w:p>
        </w:tc>
        <w:tc>
          <w:tcPr>
            <w:tcW w:w="3889" w:type="dxa"/>
            <w:shd w:val="clear" w:color="auto" w:fill="auto"/>
            <w:vAlign w:val="center"/>
          </w:tcPr>
          <w:p w14:paraId="2B30DAF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电源线</w:t>
            </w:r>
          </w:p>
        </w:tc>
        <w:tc>
          <w:tcPr>
            <w:tcW w:w="1834" w:type="dxa"/>
            <w:shd w:val="clear" w:color="auto" w:fill="auto"/>
            <w:vAlign w:val="center"/>
          </w:tcPr>
          <w:p w14:paraId="60DB4BC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1835" w:type="dxa"/>
            <w:shd w:val="clear" w:color="auto" w:fill="auto"/>
            <w:vAlign w:val="center"/>
          </w:tcPr>
          <w:p w14:paraId="380B5B0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条</w:t>
            </w:r>
          </w:p>
        </w:tc>
      </w:tr>
      <w:tr w14:paraId="59A3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E2F1E52">
            <w:pPr>
              <w:spacing w:line="440" w:lineRule="exact"/>
              <w:jc w:val="center"/>
              <w:rPr>
                <w:rFonts w:hint="eastAsia"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4</w:t>
            </w:r>
          </w:p>
        </w:tc>
        <w:tc>
          <w:tcPr>
            <w:tcW w:w="3889" w:type="dxa"/>
            <w:shd w:val="clear" w:color="auto" w:fill="auto"/>
            <w:vAlign w:val="center"/>
          </w:tcPr>
          <w:p w14:paraId="76668464">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合格证、保修卡、说明书</w:t>
            </w:r>
          </w:p>
        </w:tc>
        <w:tc>
          <w:tcPr>
            <w:tcW w:w="1834" w:type="dxa"/>
            <w:shd w:val="clear" w:color="auto" w:fill="auto"/>
            <w:vAlign w:val="center"/>
          </w:tcPr>
          <w:p w14:paraId="38F9C9A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835" w:type="dxa"/>
            <w:shd w:val="clear" w:color="auto" w:fill="auto"/>
            <w:vAlign w:val="center"/>
          </w:tcPr>
          <w:p w14:paraId="5156F73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份</w:t>
            </w:r>
          </w:p>
        </w:tc>
      </w:tr>
    </w:tbl>
    <w:p w14:paraId="222A5CAD">
      <w:pPr>
        <w:spacing w:line="440" w:lineRule="exact"/>
        <w:rPr>
          <w:rFonts w:ascii="仿宋" w:hAnsi="仿宋" w:eastAsia="仿宋" w:cs="仿宋"/>
          <w:b/>
          <w:color w:val="000000" w:themeColor="text1"/>
          <w:sz w:val="24"/>
        </w:rPr>
      </w:pPr>
    </w:p>
    <w:p w14:paraId="11AD96EA">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五、</w:t>
      </w:r>
      <w:r>
        <w:rPr>
          <w:rFonts w:hint="eastAsia" w:ascii="仿宋" w:hAnsi="仿宋" w:eastAsia="仿宋" w:cs="仿宋"/>
          <w:b/>
          <w:color w:val="000000" w:themeColor="text1"/>
          <w:sz w:val="24"/>
        </w:rPr>
        <w:t>商务要求：</w:t>
      </w:r>
    </w:p>
    <w:p w14:paraId="446DF9B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0092BC5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日内完成设备的安装调试。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0961FB57">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投标供应商须要在投标文件做出具承诺函，该承诺函包括但不限于以下内容:</w:t>
      </w:r>
    </w:p>
    <w:p w14:paraId="729863C2">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承诺中标后须在中标公告发布之日起五个工作日内提供设备制造厂商开具并盖章的合法有效的授权函原件（盖鲜章）、售后服务承诺函原件（盖鲜章）。</w:t>
      </w:r>
    </w:p>
    <w:p w14:paraId="255B0B76">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★1.7乙方所投设备属于计量仪器的，需通过具有国家部门颁发专业检测资质证书的第三方计量检测单位检测并提供合格报告。</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w:t>
      </w:r>
      <w:r>
        <w:rPr>
          <w:rFonts w:hint="eastAsia" w:ascii="仿宋" w:hAnsi="仿宋" w:eastAsia="仿宋" w:cs="仿宋"/>
          <w:color w:val="auto"/>
          <w:sz w:val="24"/>
          <w:highlight w:val="none"/>
          <w:lang w:val="en-US" w:eastAsia="zh-CN"/>
        </w:rPr>
        <w:t>质保期</w:t>
      </w:r>
      <w:bookmarkStart w:id="0" w:name="_GoBack"/>
      <w:bookmarkEnd w:id="0"/>
      <w:r>
        <w:rPr>
          <w:rFonts w:hint="eastAsia" w:ascii="仿宋" w:hAnsi="仿宋" w:eastAsia="仿宋" w:cs="仿宋"/>
          <w:color w:val="auto"/>
          <w:sz w:val="24"/>
          <w:highlight w:val="none"/>
        </w:rPr>
        <w:t>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1BE3E54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58F33168">
      <w:pPr>
        <w:numPr>
          <w:ilvl w:val="0"/>
          <w:numId w:val="0"/>
        </w:numPr>
        <w:ind w:leftChars="0"/>
        <w:rPr>
          <w:rFonts w:hint="eastAsia" w:ascii="仿宋" w:hAnsi="仿宋" w:eastAsia="仿宋" w:cs="仿宋"/>
          <w:b/>
          <w:color w:val="auto"/>
          <w:sz w:val="24"/>
          <w:highlight w:val="none"/>
          <w:lang w:val="en-US" w:eastAsia="zh-CN"/>
        </w:rPr>
      </w:pP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2"/>
          <w:sz w:val="24"/>
          <w:szCs w:val="24"/>
          <w:highlight w:val="none"/>
          <w:lang w:val="en-US" w:eastAsia="zh-CN" w:bidi="ar-SA"/>
        </w:rPr>
        <w:t>投标人同意采购人以任何形式对其投标文件内容及采购人认为有必要的相关资料的真实性和有效性进行审查、验证。</w:t>
      </w:r>
    </w:p>
    <w:p w14:paraId="15144C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66E6E"/>
    <w:rsid w:val="0EDA5F4A"/>
    <w:rsid w:val="11215D00"/>
    <w:rsid w:val="11533B31"/>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921199"/>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24857"/>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2870</Words>
  <Characters>3115</Characters>
  <Lines>5</Lines>
  <Paragraphs>1</Paragraphs>
  <TotalTime>0</TotalTime>
  <ScaleCrop>false</ScaleCrop>
  <LinksUpToDate>false</LinksUpToDate>
  <CharactersWithSpaces>3130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2026-07-03T02:12:46Z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