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bookmarkStart w:id="0" w:name="_GoBack"/>
            <w:bookmarkEnd w:id="0"/>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2"/>
        <w:gridCol w:w="2904"/>
        <w:gridCol w:w="2014"/>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132"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904"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014"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132"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低频体外膈肌起搏器</w:t>
            </w:r>
          </w:p>
        </w:tc>
        <w:tc>
          <w:tcPr>
            <w:tcW w:w="2904"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中医康复医学中心</w:t>
            </w:r>
          </w:p>
        </w:tc>
        <w:tc>
          <w:tcPr>
            <w:tcW w:w="2014"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26B12F7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低频体外膈肌起搏器</w:t>
      </w:r>
    </w:p>
    <w:p w14:paraId="247ACE54">
      <w:pPr>
        <w:spacing w:line="440" w:lineRule="exact"/>
        <w:rPr>
          <w:rFonts w:ascii="仿宋" w:hAnsi="仿宋" w:eastAsia="仿宋" w:cs="仿宋"/>
          <w:b/>
          <w:color w:val="000000" w:themeColor="text1"/>
          <w:sz w:val="24"/>
        </w:rPr>
      </w:pPr>
      <w:r>
        <w:rPr>
          <w:rFonts w:hint="eastAsia" w:ascii="仿宋" w:hAnsi="仿宋" w:eastAsia="仿宋" w:cs="仿宋"/>
          <w:color w:val="auto"/>
          <w:sz w:val="24"/>
          <w:lang w:eastAsia="zh-CN"/>
        </w:rPr>
        <w:t>用途：</w:t>
      </w:r>
      <w:r>
        <w:rPr>
          <w:rFonts w:hint="eastAsia" w:ascii="仿宋" w:hAnsi="仿宋" w:eastAsia="仿宋" w:cs="仿宋"/>
          <w:color w:val="auto"/>
          <w:sz w:val="24"/>
          <w:lang w:val="en-US" w:eastAsia="zh-CN"/>
        </w:rPr>
        <w:t>通过体表低频电脉冲刺激膈神经，驱动膈肌被动收缩与舒张，以辅助通气、康复呼吸肌、改善排痰。</w:t>
      </w:r>
    </w:p>
    <w:p w14:paraId="65E9A54C">
      <w:pPr>
        <w:numPr>
          <w:ilvl w:val="0"/>
          <w:numId w:val="0"/>
        </w:numPr>
        <w:spacing w:line="440" w:lineRule="exact"/>
        <w:rPr>
          <w:rFonts w:hint="eastAsia" w:ascii="仿宋" w:hAnsi="仿宋" w:eastAsia="仿宋" w:cs="仿宋"/>
          <w:b w:val="0"/>
          <w:bCs w:val="0"/>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259035F8">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sz w:val="24"/>
        </w:rPr>
        <w:t>▲</w:t>
      </w:r>
      <w:r>
        <w:rPr>
          <w:rFonts w:hint="eastAsia" w:ascii="仿宋" w:hAnsi="仿宋" w:eastAsia="仿宋" w:cs="仿宋"/>
          <w:b w:val="0"/>
          <w:bCs w:val="0"/>
          <w:sz w:val="24"/>
        </w:rPr>
        <w:t>脉冲频率：可调单频，30-50Hz可选择，步进5Hz。</w:t>
      </w:r>
    </w:p>
    <w:p w14:paraId="49DF6130">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highlight w:val="none"/>
        </w:rPr>
        <w:t>★</w:t>
      </w:r>
      <w:r>
        <w:rPr>
          <w:rFonts w:hint="eastAsia" w:ascii="仿宋" w:hAnsi="仿宋" w:eastAsia="仿宋" w:cs="仿宋"/>
          <w:b w:val="0"/>
          <w:bCs w:val="0"/>
          <w:sz w:val="24"/>
        </w:rPr>
        <w:t>脉冲宽度≤200us。</w:t>
      </w:r>
    </w:p>
    <w:p w14:paraId="7AEF626C">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▲起搏次数：5-15次/分钟可</w:t>
      </w:r>
      <w:r>
        <w:rPr>
          <w:rFonts w:hint="eastAsia" w:ascii="仿宋" w:hAnsi="仿宋" w:eastAsia="仿宋" w:cs="仿宋"/>
          <w:b w:val="0"/>
          <w:bCs w:val="0"/>
          <w:sz w:val="24"/>
          <w:lang w:val="en-US" w:eastAsia="zh-CN"/>
        </w:rPr>
        <w:t>调，默认9次/分钟</w:t>
      </w:r>
      <w:r>
        <w:rPr>
          <w:rFonts w:hint="eastAsia" w:ascii="仿宋" w:hAnsi="仿宋" w:eastAsia="仿宋" w:cs="仿宋"/>
          <w:b w:val="0"/>
          <w:bCs w:val="0"/>
          <w:sz w:val="24"/>
        </w:rPr>
        <w:t>。</w:t>
      </w:r>
    </w:p>
    <w:p w14:paraId="4E763A34">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▲刺激强度：0-30单位（0-27V）可选择，默认0单位。</w:t>
      </w:r>
    </w:p>
    <w:p w14:paraId="283370A7">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治疗时间：5-120min可选择。</w:t>
      </w:r>
    </w:p>
    <w:p w14:paraId="557E3529">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脉冲幅度值：在负载阻抗为510Ω时，输出脉冲幅度</w:t>
      </w:r>
      <w:r>
        <w:rPr>
          <w:rFonts w:hint="eastAsia" w:ascii="仿宋" w:hAnsi="仿宋" w:eastAsia="仿宋" w:cs="仿宋"/>
          <w:b w:val="0"/>
          <w:bCs w:val="0"/>
          <w:sz w:val="24"/>
          <w:lang w:val="en-US" w:eastAsia="zh-CN"/>
        </w:rPr>
        <w:t>≤</w:t>
      </w:r>
      <w:r>
        <w:rPr>
          <w:rFonts w:hint="eastAsia" w:ascii="仿宋" w:hAnsi="仿宋" w:eastAsia="仿宋" w:cs="仿宋"/>
          <w:b w:val="0"/>
          <w:bCs w:val="0"/>
          <w:sz w:val="24"/>
        </w:rPr>
        <w:t>30V。</w:t>
      </w:r>
    </w:p>
    <w:p w14:paraId="4B1A1CFA">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开路测量，输出峰值电压必须不超过500V。</w:t>
      </w:r>
    </w:p>
    <w:p w14:paraId="64355DDD">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波形：双向对称波，可实现能量对冲，减少能量聚集导致的神经损伤风险。</w:t>
      </w:r>
    </w:p>
    <w:p w14:paraId="24915C13">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w:t>
      </w:r>
      <w:r>
        <w:rPr>
          <w:rFonts w:hint="eastAsia" w:ascii="仿宋" w:hAnsi="仿宋" w:eastAsia="仿宋" w:cs="仿宋"/>
          <w:b w:val="0"/>
          <w:bCs w:val="0"/>
          <w:sz w:val="24"/>
          <w:lang w:val="en-US" w:eastAsia="zh-CN"/>
        </w:rPr>
        <w:t>配锂电池，</w:t>
      </w:r>
      <w:r>
        <w:rPr>
          <w:rFonts w:hint="eastAsia" w:ascii="仿宋" w:hAnsi="仿宋" w:eastAsia="仿宋" w:cs="仿宋"/>
          <w:b w:val="0"/>
          <w:bCs w:val="0"/>
          <w:sz w:val="24"/>
        </w:rPr>
        <w:t>充满电时间≤4小时,满电后可持续工作≥10小时，有电量提示功能。</w:t>
      </w:r>
    </w:p>
    <w:p w14:paraId="340D09BD">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▲主机重量≤500g，便于手持操作和便携转移。</w:t>
      </w:r>
    </w:p>
    <w:p w14:paraId="2DD8BF07">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理疗电极片的导电阻抗应不大于2000Ω。</w:t>
      </w:r>
    </w:p>
    <w:p w14:paraId="6ACF840C">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工作时间有倒计时功能，每次波形开始输出后开始倒计时；结束治疗时有声音提示和图文提示。</w:t>
      </w:r>
    </w:p>
    <w:p w14:paraId="5EFDC2F4">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具有指导患者或其他操作人员进行贴片的功能。</w:t>
      </w:r>
    </w:p>
    <w:p w14:paraId="04388F6F">
      <w:pPr>
        <w:numPr>
          <w:ilvl w:val="0"/>
          <w:numId w:val="4"/>
        </w:numPr>
        <w:spacing w:line="360" w:lineRule="auto"/>
        <w:rPr>
          <w:rFonts w:hint="eastAsia" w:ascii="仿宋" w:hAnsi="仿宋" w:eastAsia="仿宋" w:cs="仿宋"/>
          <w:b w:val="0"/>
          <w:bCs w:val="0"/>
          <w:sz w:val="24"/>
        </w:rPr>
      </w:pPr>
      <w:r>
        <w:rPr>
          <w:rFonts w:hint="eastAsia" w:ascii="仿宋" w:hAnsi="仿宋" w:eastAsia="仿宋" w:cs="仿宋"/>
          <w:b w:val="0"/>
          <w:bCs w:val="0"/>
          <w:sz w:val="24"/>
        </w:rPr>
        <w:t>开机时有蜂鸣器提醒功能，正常输出时具有LED闪光指示的功能。</w:t>
      </w:r>
    </w:p>
    <w:p w14:paraId="65F3FA0B">
      <w:pPr>
        <w:numPr>
          <w:ilvl w:val="0"/>
          <w:numId w:val="4"/>
        </w:numPr>
        <w:spacing w:line="360" w:lineRule="auto"/>
        <w:rPr>
          <w:rFonts w:hint="eastAsia" w:ascii="仿宋" w:hAnsi="仿宋" w:eastAsia="仿宋" w:cs="仿宋"/>
          <w:b w:val="0"/>
          <w:bCs w:val="0"/>
          <w:color w:val="000000" w:themeColor="text1"/>
          <w:sz w:val="24"/>
        </w:rPr>
      </w:pPr>
      <w:r>
        <w:rPr>
          <w:rFonts w:hint="eastAsia" w:ascii="仿宋" w:hAnsi="仿宋" w:eastAsia="仿宋" w:cs="仿宋"/>
          <w:b w:val="0"/>
          <w:bCs w:val="0"/>
          <w:sz w:val="24"/>
        </w:rPr>
        <w:t>▲可选配电极片固定装置，以缩短电流到达膈神经的距离，实现更好的刺激效果。</w:t>
      </w:r>
    </w:p>
    <w:p w14:paraId="56B62EA6">
      <w:pPr>
        <w:numPr>
          <w:ilvl w:val="0"/>
          <w:numId w:val="4"/>
        </w:numPr>
        <w:spacing w:line="360" w:lineRule="auto"/>
        <w:rPr>
          <w:rFonts w:hint="eastAsia" w:ascii="仿宋" w:hAnsi="仿宋" w:eastAsia="仿宋" w:cs="仿宋"/>
          <w:b w:val="0"/>
          <w:bCs w:val="0"/>
          <w:color w:val="000000" w:themeColor="text1"/>
          <w:sz w:val="24"/>
        </w:rPr>
      </w:pPr>
      <w:r>
        <w:rPr>
          <w:rFonts w:hint="eastAsia" w:ascii="仿宋" w:hAnsi="仿宋" w:eastAsia="仿宋" w:cs="仿宋"/>
          <w:b w:val="0"/>
          <w:bCs w:val="0"/>
          <w:sz w:val="24"/>
          <w:highlight w:val="none"/>
        </w:rPr>
        <w:t>★</w:t>
      </w:r>
      <w:r>
        <w:rPr>
          <w:rFonts w:hint="eastAsia" w:ascii="仿宋" w:hAnsi="仿宋" w:eastAsia="仿宋" w:cs="仿宋"/>
          <w:b w:val="0"/>
          <w:bCs w:val="0"/>
          <w:sz w:val="24"/>
          <w:lang w:val="en-US" w:eastAsia="zh-CN"/>
        </w:rPr>
        <w:t>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4527"/>
        <w:gridCol w:w="1269"/>
        <w:gridCol w:w="1322"/>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7"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527"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2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322"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527" w:type="dxa"/>
          </w:tcPr>
          <w:p w14:paraId="42ECF33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主机</w:t>
            </w:r>
          </w:p>
        </w:tc>
        <w:tc>
          <w:tcPr>
            <w:tcW w:w="1269" w:type="dxa"/>
          </w:tcPr>
          <w:p w14:paraId="73DFF0D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322" w:type="dxa"/>
          </w:tcPr>
          <w:p w14:paraId="76FEFD8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527" w:type="dxa"/>
          </w:tcPr>
          <w:p w14:paraId="31B6323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导线</w:t>
            </w:r>
          </w:p>
        </w:tc>
        <w:tc>
          <w:tcPr>
            <w:tcW w:w="1269" w:type="dxa"/>
          </w:tcPr>
          <w:p w14:paraId="358E2F02">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w:t>
            </w:r>
          </w:p>
        </w:tc>
        <w:tc>
          <w:tcPr>
            <w:tcW w:w="1322" w:type="dxa"/>
          </w:tcPr>
          <w:p w14:paraId="6F4FDCA0">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条</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4527" w:type="dxa"/>
          </w:tcPr>
          <w:p w14:paraId="05C551DB">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理疗电极片</w:t>
            </w:r>
          </w:p>
        </w:tc>
        <w:tc>
          <w:tcPr>
            <w:tcW w:w="1269" w:type="dxa"/>
          </w:tcPr>
          <w:p w14:paraId="7F33DB8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w:t>
            </w:r>
          </w:p>
        </w:tc>
        <w:tc>
          <w:tcPr>
            <w:tcW w:w="1322" w:type="dxa"/>
          </w:tcPr>
          <w:p w14:paraId="76CE4BBF">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4527" w:type="dxa"/>
          </w:tcPr>
          <w:p w14:paraId="48023CE1">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电源适配器</w:t>
            </w:r>
          </w:p>
        </w:tc>
        <w:tc>
          <w:tcPr>
            <w:tcW w:w="1269" w:type="dxa"/>
          </w:tcPr>
          <w:p w14:paraId="79422489">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322" w:type="dxa"/>
          </w:tcPr>
          <w:p w14:paraId="69088D6D">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4527" w:type="dxa"/>
          </w:tcPr>
          <w:p w14:paraId="7C40CED3">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中规插脚</w:t>
            </w:r>
          </w:p>
        </w:tc>
        <w:tc>
          <w:tcPr>
            <w:tcW w:w="1269" w:type="dxa"/>
          </w:tcPr>
          <w:p w14:paraId="1B42B28A">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322" w:type="dxa"/>
          </w:tcPr>
          <w:p w14:paraId="5455067C">
            <w:pPr>
              <w:spacing w:line="440" w:lineRule="exact"/>
              <w:jc w:val="center"/>
              <w:rPr>
                <w:rFonts w:hint="eastAsia" w:ascii="仿宋" w:hAnsi="仿宋" w:eastAsia="仿宋" w:cs="仿宋"/>
                <w:b w:val="0"/>
                <w:bCs/>
                <w:color w:val="000000" w:themeColor="text1"/>
                <w:sz w:val="24"/>
                <w:lang w:eastAsia="zh-CN"/>
              </w:rPr>
            </w:pPr>
            <w:r>
              <w:rPr>
                <w:rFonts w:hint="eastAsia" w:ascii="仿宋" w:hAnsi="仿宋" w:eastAsia="仿宋" w:cs="仿宋"/>
                <w:b w:val="0"/>
                <w:bCs/>
                <w:color w:val="000000" w:themeColor="text1"/>
                <w:sz w:val="24"/>
                <w:lang w:eastAsia="zh-CN"/>
              </w:rPr>
              <w:t>个</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Pr>
          <w:p w14:paraId="00B70E97">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p>
        </w:tc>
        <w:tc>
          <w:tcPr>
            <w:tcW w:w="4527" w:type="dxa"/>
          </w:tcPr>
          <w:p w14:paraId="76C2CDD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合格证</w:t>
            </w:r>
          </w:p>
        </w:tc>
        <w:tc>
          <w:tcPr>
            <w:tcW w:w="1269" w:type="dxa"/>
          </w:tcPr>
          <w:p w14:paraId="591A7588">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322" w:type="dxa"/>
          </w:tcPr>
          <w:p w14:paraId="714CC57A">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r w14:paraId="2692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Pr>
          <w:p w14:paraId="7DE0FF1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4527" w:type="dxa"/>
          </w:tcPr>
          <w:p w14:paraId="499F4C4D">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说明书</w:t>
            </w:r>
          </w:p>
        </w:tc>
        <w:tc>
          <w:tcPr>
            <w:tcW w:w="1269" w:type="dxa"/>
          </w:tcPr>
          <w:p w14:paraId="36152CBC">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322" w:type="dxa"/>
          </w:tcPr>
          <w:p w14:paraId="2ECB6E8B">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r w14:paraId="5EF2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Pr>
          <w:p w14:paraId="1A8F90D5">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4527" w:type="dxa"/>
          </w:tcPr>
          <w:p w14:paraId="1B0F174F">
            <w:pPr>
              <w:spacing w:line="440" w:lineRule="exact"/>
              <w:jc w:val="center"/>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保修卡</w:t>
            </w:r>
          </w:p>
        </w:tc>
        <w:tc>
          <w:tcPr>
            <w:tcW w:w="1269" w:type="dxa"/>
          </w:tcPr>
          <w:p w14:paraId="7FFF62E4">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1322" w:type="dxa"/>
          </w:tcPr>
          <w:p w14:paraId="7704FE65">
            <w:pPr>
              <w:spacing w:line="440" w:lineRule="exact"/>
              <w:jc w:val="center"/>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bl>
    <w:p w14:paraId="5938234B">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auto"/>
          <w:sz w:val="24"/>
        </w:rPr>
      </w:pPr>
      <w:r>
        <w:rPr>
          <w:rFonts w:hint="eastAsia" w:ascii="仿宋" w:hAnsi="仿宋" w:eastAsia="仿宋" w:cs="仿宋"/>
          <w:color w:val="auto"/>
          <w:sz w:val="24"/>
        </w:rPr>
        <w:t>1.1交货地点：采购人指定地点。</w:t>
      </w:r>
    </w:p>
    <w:p w14:paraId="26F99C75">
      <w:pPr>
        <w:spacing w:line="440" w:lineRule="exact"/>
        <w:rPr>
          <w:rFonts w:ascii="仿宋" w:hAnsi="仿宋" w:eastAsia="仿宋" w:cs="仿宋"/>
          <w:color w:val="auto"/>
          <w:sz w:val="24"/>
        </w:rPr>
      </w:pPr>
      <w:r>
        <w:rPr>
          <w:rFonts w:hint="eastAsia" w:ascii="仿宋" w:hAnsi="仿宋" w:eastAsia="仿宋" w:cs="仿宋"/>
          <w:color w:val="auto"/>
          <w:sz w:val="24"/>
        </w:rPr>
        <w:t>1.2交货期：中标供应商应当在中标通知书发出之日起30日内按</w:t>
      </w:r>
      <w:r>
        <w:rPr>
          <w:rFonts w:hint="eastAsia" w:ascii="仿宋" w:hAnsi="仿宋" w:eastAsia="仿宋" w:cs="仿宋"/>
          <w:color w:val="auto"/>
          <w:sz w:val="24"/>
          <w:lang w:eastAsia="zh-CN"/>
        </w:rPr>
        <w:t>采购需求</w:t>
      </w:r>
      <w:r>
        <w:rPr>
          <w:rFonts w:hint="eastAsia" w:ascii="仿宋" w:hAnsi="仿宋" w:eastAsia="仿宋" w:cs="仿宋"/>
          <w:color w:val="auto"/>
          <w:sz w:val="24"/>
        </w:rPr>
        <w:t>及</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30 </w:t>
      </w:r>
      <w:r>
        <w:rPr>
          <w:rFonts w:hint="eastAsia" w:ascii="仿宋" w:hAnsi="仿宋" w:eastAsia="仿宋" w:cs="仿宋"/>
          <w:color w:val="auto"/>
          <w:sz w:val="24"/>
        </w:rPr>
        <w:t>日内完成设备的安装调试。</w:t>
      </w:r>
    </w:p>
    <w:p w14:paraId="502B509A">
      <w:pPr>
        <w:spacing w:line="440" w:lineRule="exact"/>
        <w:rPr>
          <w:rFonts w:hint="eastAsia" w:ascii="仿宋" w:hAnsi="仿宋" w:eastAsia="仿宋" w:cs="仿宋"/>
          <w:color w:val="auto"/>
          <w:sz w:val="24"/>
          <w:highlight w:val="yellow"/>
          <w:lang w:eastAsia="zh-CN"/>
        </w:rPr>
      </w:pPr>
      <w:r>
        <w:rPr>
          <w:rFonts w:hint="eastAsia" w:ascii="仿宋" w:hAnsi="仿宋" w:eastAsia="仿宋" w:cs="仿宋"/>
          <w:color w:val="auto"/>
          <w:sz w:val="24"/>
        </w:rPr>
        <w:t>1.3中标供应商须保证中标后所提供的设备为原装、全新合格的产品</w:t>
      </w:r>
      <w:r>
        <w:rPr>
          <w:rFonts w:hint="eastAsia" w:ascii="仿宋" w:hAnsi="仿宋" w:eastAsia="仿宋" w:cs="仿宋"/>
          <w:color w:val="auto"/>
          <w:sz w:val="24"/>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rPr>
      </w:pPr>
      <w:r>
        <w:rPr>
          <w:rFonts w:hint="eastAsia" w:ascii="仿宋" w:hAnsi="仿宋" w:eastAsia="仿宋" w:cs="仿宋"/>
          <w:color w:val="auto"/>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rPr>
      </w:pPr>
      <w:r>
        <w:rPr>
          <w:rFonts w:hint="eastAsia" w:ascii="仿宋" w:hAnsi="仿宋" w:eastAsia="仿宋" w:cs="仿宋"/>
          <w:color w:val="auto"/>
          <w:sz w:val="24"/>
        </w:rPr>
        <w:t>1.5验收方式：按《小榄镇</w:t>
      </w:r>
      <w:r>
        <w:rPr>
          <w:rFonts w:hint="eastAsia" w:ascii="仿宋" w:hAnsi="仿宋" w:eastAsia="仿宋" w:cs="仿宋"/>
          <w:color w:val="auto"/>
          <w:sz w:val="24"/>
          <w:lang w:eastAsia="zh-CN"/>
        </w:rPr>
        <w:t>公立</w:t>
      </w:r>
      <w:r>
        <w:rPr>
          <w:rFonts w:hint="eastAsia" w:ascii="仿宋" w:hAnsi="仿宋" w:eastAsia="仿宋" w:cs="仿宋"/>
          <w:color w:val="auto"/>
          <w:sz w:val="24"/>
        </w:rPr>
        <w:t>医院</w:t>
      </w:r>
      <w:r>
        <w:rPr>
          <w:rFonts w:hint="eastAsia" w:ascii="仿宋" w:hAnsi="仿宋" w:eastAsia="仿宋" w:cs="仿宋"/>
          <w:color w:val="auto"/>
          <w:sz w:val="24"/>
          <w:lang w:eastAsia="zh-CN"/>
        </w:rPr>
        <w:t>政府</w:t>
      </w:r>
      <w:r>
        <w:rPr>
          <w:rFonts w:hint="eastAsia" w:ascii="仿宋" w:hAnsi="仿宋" w:eastAsia="仿宋" w:cs="仿宋"/>
          <w:color w:val="auto"/>
          <w:sz w:val="24"/>
        </w:rPr>
        <w:t>采购和验收</w:t>
      </w:r>
      <w:r>
        <w:rPr>
          <w:rFonts w:hint="eastAsia" w:ascii="仿宋" w:hAnsi="仿宋" w:eastAsia="仿宋" w:cs="仿宋"/>
          <w:color w:val="auto"/>
          <w:sz w:val="24"/>
          <w:lang w:eastAsia="zh-CN"/>
        </w:rPr>
        <w:t>办法</w:t>
      </w:r>
      <w:r>
        <w:rPr>
          <w:rFonts w:hint="eastAsia" w:ascii="仿宋" w:hAnsi="仿宋" w:eastAsia="仿宋" w:cs="仿宋"/>
          <w:color w:val="auto"/>
          <w:sz w:val="24"/>
        </w:rPr>
        <w:t>》</w:t>
      </w:r>
      <w:r>
        <w:rPr>
          <w:rFonts w:hint="eastAsia" w:ascii="仿宋" w:hAnsi="仿宋" w:eastAsia="仿宋" w:cs="仿宋"/>
          <w:color w:val="auto"/>
          <w:sz w:val="24"/>
          <w:lang w:val="en-US" w:eastAsia="zh-CN"/>
        </w:rPr>
        <w:t>和《中山市小榄人民医院医疗设备验收管理制度》</w:t>
      </w:r>
      <w:r>
        <w:rPr>
          <w:rFonts w:hint="eastAsia" w:ascii="仿宋" w:hAnsi="仿宋" w:eastAsia="仿宋" w:cs="仿宋"/>
          <w:color w:val="auto"/>
          <w:sz w:val="24"/>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F9151ED">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577688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000000" w:themeColor="text1"/>
          <w:sz w:val="24"/>
          <w:lang w:eastAsia="zh-CN"/>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000000" w:themeColor="text1"/>
          <w:sz w:val="24"/>
          <w:lang w:eastAsia="zh-CN"/>
        </w:rPr>
        <w:t>。</w:t>
      </w:r>
    </w:p>
    <w:p w14:paraId="5BC1A48F">
      <w:pPr>
        <w:spacing w:line="440" w:lineRule="exact"/>
        <w:rPr>
          <w:rFonts w:ascii="仿宋" w:hAnsi="仿宋" w:eastAsia="仿宋" w:cs="仿宋"/>
          <w:b/>
          <w:color w:val="auto"/>
          <w:sz w:val="24"/>
        </w:rPr>
      </w:pPr>
      <w:r>
        <w:rPr>
          <w:rFonts w:hint="eastAsia" w:ascii="仿宋" w:hAnsi="仿宋" w:eastAsia="仿宋" w:cs="仿宋"/>
          <w:b/>
          <w:color w:val="auto"/>
          <w:sz w:val="24"/>
        </w:rPr>
        <w:t>3.付款方式</w:t>
      </w:r>
    </w:p>
    <w:p w14:paraId="1BE3E546">
      <w:pPr>
        <w:spacing w:line="440" w:lineRule="exact"/>
        <w:rPr>
          <w:rFonts w:ascii="仿宋" w:hAnsi="仿宋" w:eastAsia="仿宋" w:cs="仿宋"/>
          <w:color w:val="auto"/>
          <w:sz w:val="24"/>
        </w:rPr>
      </w:pPr>
      <w:r>
        <w:rPr>
          <w:rFonts w:hint="eastAsia" w:ascii="仿宋" w:hAnsi="仿宋" w:eastAsia="仿宋" w:cs="仿宋"/>
          <w:color w:val="auto"/>
          <w:sz w:val="24"/>
        </w:rPr>
        <w:t>★3.1本合同的每笔款项以人民币转账方式支付。</w:t>
      </w:r>
    </w:p>
    <w:p w14:paraId="1E7E4C8D">
      <w:pPr>
        <w:spacing w:line="440" w:lineRule="exact"/>
        <w:rPr>
          <w:rFonts w:hint="eastAsia" w:ascii="仿宋" w:hAnsi="仿宋" w:eastAsia="仿宋" w:cs="仿宋"/>
          <w:color w:val="auto"/>
          <w:sz w:val="24"/>
        </w:rPr>
      </w:pPr>
      <w:r>
        <w:rPr>
          <w:rFonts w:hint="eastAsia" w:ascii="仿宋" w:hAnsi="仿宋" w:eastAsia="仿宋" w:cs="仿宋"/>
          <w:color w:val="auto"/>
          <w:sz w:val="24"/>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rPr>
        <w:t>支付合同总金额的</w:t>
      </w:r>
      <w:r>
        <w:rPr>
          <w:rFonts w:hint="eastAsia" w:ascii="仿宋" w:hAnsi="仿宋" w:eastAsia="仿宋" w:cs="仿宋"/>
          <w:color w:val="auto"/>
          <w:sz w:val="24"/>
          <w:lang w:val="en-US" w:eastAsia="zh-CN"/>
        </w:rPr>
        <w:t>9</w:t>
      </w:r>
      <w:r>
        <w:rPr>
          <w:rFonts w:hint="eastAsia" w:ascii="仿宋" w:hAnsi="仿宋" w:eastAsia="仿宋" w:cs="仿宋"/>
          <w:color w:val="auto"/>
          <w:sz w:val="24"/>
        </w:rPr>
        <w:t>5%；合同总金额的5%</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作为第二期款项，</w:t>
      </w:r>
      <w:r>
        <w:rPr>
          <w:rFonts w:hint="eastAsia" w:ascii="仿宋" w:hAnsi="仿宋" w:eastAsia="仿宋" w:cs="仿宋"/>
          <w:color w:val="auto"/>
          <w:sz w:val="24"/>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rPr>
        <w:t>后一次性无息</w:t>
      </w:r>
      <w:r>
        <w:rPr>
          <w:rFonts w:hint="eastAsia" w:ascii="仿宋" w:hAnsi="仿宋" w:eastAsia="仿宋" w:cs="仿宋"/>
          <w:color w:val="auto"/>
          <w:sz w:val="24"/>
          <w:lang w:val="en-US" w:eastAsia="zh-CN"/>
        </w:rPr>
        <w:t>支付</w:t>
      </w:r>
      <w:r>
        <w:rPr>
          <w:rFonts w:hint="eastAsia" w:ascii="仿宋" w:hAnsi="仿宋" w:eastAsia="仿宋" w:cs="仿宋"/>
          <w:color w:val="auto"/>
          <w:sz w:val="24"/>
        </w:rPr>
        <w:t>。</w:t>
      </w:r>
    </w:p>
    <w:p w14:paraId="58F33168">
      <w:pPr>
        <w:numPr>
          <w:ilvl w:val="0"/>
          <w:numId w:val="0"/>
        </w:numPr>
        <w:ind w:leftChars="0"/>
        <w:rPr>
          <w:rFonts w:hint="eastAsia" w:ascii="仿宋" w:hAnsi="仿宋" w:eastAsia="仿宋" w:cs="仿宋"/>
          <w:b/>
          <w:color w:val="0000FF"/>
          <w:sz w:val="24"/>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4CF9A4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07590911"/>
    <w:multiLevelType w:val="multilevel"/>
    <w:tmpl w:val="075909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3E317FF"/>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1</TotalTime>
  <ScaleCrop>false</ScaleCrop>
  <LinksUpToDate>false</LinksUpToDate>
  <CharactersWithSpaces>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2026-04-22T08:01:50Z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