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471EC5A6">
      <w:pPr>
        <w:numPr>
          <w:ilvl w:val="0"/>
          <w:numId w:val="4"/>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总则：</w:t>
      </w:r>
    </w:p>
    <w:p w14:paraId="6C9A8D54">
      <w:pPr>
        <w:numPr>
          <w:ilvl w:val="0"/>
          <w:numId w:val="5"/>
        </w:num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投标供应商报价应包括标的设备（原装、全新合格的设备）、相关附件、配套设施、税费、运费、保险费、仓储费、安装调试、</w:t>
      </w:r>
      <w:r>
        <w:rPr>
          <w:rFonts w:hint="eastAsia" w:ascii="宋体" w:hAnsi="宋体" w:eastAsia="宋体" w:cs="宋体"/>
          <w:color w:val="auto"/>
          <w:sz w:val="21"/>
          <w:szCs w:val="21"/>
          <w:highlight w:val="none"/>
          <w:lang w:val="en-US" w:eastAsia="zh-CN"/>
        </w:rPr>
        <w:t>中标服务费、售后服务、</w:t>
      </w:r>
      <w:r>
        <w:rPr>
          <w:color w:val="auto"/>
          <w:sz w:val="21"/>
          <w:highlight w:val="none"/>
        </w:rPr>
        <w:t>系统对接费、端口对接费</w:t>
      </w:r>
      <w:r>
        <w:rPr>
          <w:rFonts w:hint="eastAsia" w:ascii="宋体" w:hAnsi="宋体" w:eastAsia="宋体" w:cs="宋体"/>
          <w:color w:val="auto"/>
          <w:sz w:val="21"/>
          <w:szCs w:val="21"/>
          <w:highlight w:val="none"/>
          <w:lang w:val="en-US" w:eastAsia="zh-CN"/>
        </w:rPr>
        <w:t>（含支付给第三方厂商的对接费用）、</w:t>
      </w:r>
      <w:r>
        <w:rPr>
          <w:rFonts w:hint="eastAsia" w:ascii="宋体" w:hAnsi="宋体" w:eastAsia="宋体" w:cs="宋体"/>
          <w:color w:val="auto"/>
          <w:sz w:val="21"/>
          <w:szCs w:val="21"/>
          <w:highlight w:val="none"/>
        </w:rPr>
        <w:t>培训、质保</w:t>
      </w:r>
      <w:r>
        <w:rPr>
          <w:rFonts w:hint="eastAsia" w:ascii="宋体" w:hAnsi="宋体" w:eastAsia="宋体" w:cs="宋体"/>
          <w:color w:val="auto"/>
          <w:sz w:val="21"/>
          <w:szCs w:val="21"/>
          <w:highlight w:val="none"/>
          <w:lang w:val="en-US" w:eastAsia="zh-CN"/>
        </w:rPr>
        <w:t>及合同实施过程中不可预见费用等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全部费用，在项目实施过程中出现报价内容的任何遗漏，均由中标供应商负责相关费用，采购人将不再支付任何费用。</w:t>
      </w:r>
    </w:p>
    <w:p w14:paraId="3BDC6051">
      <w:pPr>
        <w:pStyle w:val="4"/>
        <w:numPr>
          <w:ilvl w:val="0"/>
          <w:numId w:val="5"/>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lang w:eastAsia="zh-CN"/>
        </w:rPr>
        <w:t>采购需求</w:t>
      </w:r>
      <w:r>
        <w:rPr>
          <w:rFonts w:hint="eastAsia" w:ascii="宋体" w:hAnsi="宋体" w:eastAsia="宋体" w:cs="宋体"/>
          <w:color w:val="auto"/>
          <w:sz w:val="21"/>
          <w:szCs w:val="21"/>
        </w:rPr>
        <w:t>中凡有“★”标识的内容条款为关键条款，投标供应商必须对此作出回答并完全满足这些要求不可以出现任何负偏离，对这些关键条款的任何负偏离将视为无效投标。</w:t>
      </w:r>
    </w:p>
    <w:p w14:paraId="29457C8E">
      <w:pPr>
        <w:pStyle w:val="4"/>
        <w:numPr>
          <w:ilvl w:val="0"/>
          <w:numId w:val="5"/>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加注“▲”的内容为重点评标项目，投标供应商必须对该标识项目按照要求进行真实应答描述。但不作为无效投标条款。</w:t>
      </w:r>
    </w:p>
    <w:p w14:paraId="06A8483C">
      <w:pPr>
        <w:pStyle w:val="4"/>
        <w:numPr>
          <w:ilvl w:val="0"/>
          <w:numId w:val="5"/>
        </w:numP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投标人所投设备如属于医疗器械设备（含医用耗材），</w:t>
      </w:r>
      <w:r>
        <w:rPr>
          <w:rFonts w:hint="eastAsia" w:ascii="宋体" w:hAnsi="宋体" w:eastAsia="宋体" w:cs="宋体"/>
          <w:color w:val="auto"/>
          <w:sz w:val="21"/>
          <w:szCs w:val="21"/>
          <w:highlight w:val="none"/>
        </w:rPr>
        <w:t>投标供应商应该符合《医疗器械经营质量管理规范》和《医疗器械监督管理条例》规定，并结合本项目特性提供</w:t>
      </w:r>
      <w:r>
        <w:rPr>
          <w:rFonts w:hint="eastAsia" w:ascii="宋体" w:hAnsi="宋体" w:eastAsia="宋体" w:cs="宋体"/>
          <w:color w:val="auto"/>
          <w:sz w:val="21"/>
          <w:szCs w:val="21"/>
          <w:highlight w:val="none"/>
          <w:lang w:val="en-US" w:eastAsia="zh-CN"/>
        </w:rPr>
        <w:t>设备或耗材的</w:t>
      </w:r>
      <w:r>
        <w:rPr>
          <w:rFonts w:hint="eastAsia" w:ascii="宋体" w:hAnsi="宋体" w:eastAsia="宋体" w:cs="宋体"/>
          <w:color w:val="auto"/>
          <w:sz w:val="21"/>
          <w:szCs w:val="21"/>
          <w:highlight w:val="none"/>
        </w:rPr>
        <w:t>有效医疗器械注册</w:t>
      </w:r>
      <w:r>
        <w:rPr>
          <w:rFonts w:hint="eastAsia" w:ascii="宋体" w:hAnsi="宋体" w:eastAsia="宋体" w:cs="宋体"/>
          <w:color w:val="auto"/>
          <w:sz w:val="21"/>
          <w:szCs w:val="21"/>
          <w:highlight w:val="none"/>
          <w:lang w:val="en-US" w:eastAsia="zh-CN"/>
        </w:rPr>
        <w:t>证或</w:t>
      </w:r>
      <w:r>
        <w:rPr>
          <w:rFonts w:hint="eastAsia" w:ascii="宋体" w:hAnsi="宋体" w:eastAsia="宋体" w:cs="宋体"/>
          <w:color w:val="auto"/>
          <w:sz w:val="21"/>
          <w:szCs w:val="21"/>
          <w:highlight w:val="none"/>
        </w:rPr>
        <w:t>备案证明材料和投标供应商的经营许可</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备案证明材料</w:t>
      </w:r>
      <w:r>
        <w:rPr>
          <w:rFonts w:hint="eastAsia" w:ascii="宋体" w:hAnsi="宋体" w:eastAsia="宋体" w:cs="宋体"/>
          <w:color w:val="auto"/>
          <w:kern w:val="2"/>
          <w:sz w:val="21"/>
          <w:szCs w:val="21"/>
          <w:lang w:val="en-US" w:eastAsia="zh-CN" w:bidi="ar-SA"/>
        </w:rPr>
        <w:t>（提供证明材料复印件加盖公章）</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所投设备（含医用耗材）必须是在医疗器械注册证或备案证明有效期内生产的产品。不属于医疗器械设备无须提供医疗器械注册证或备案证。</w:t>
      </w:r>
    </w:p>
    <w:p w14:paraId="6DD31A32">
      <w:pPr>
        <w:pStyle w:val="4"/>
        <w:numPr>
          <w:ilvl w:val="0"/>
          <w:numId w:val="5"/>
        </w:numPr>
        <w:rPr>
          <w:rFonts w:hint="eastAsia" w:ascii="宋体" w:hAnsi="宋体" w:eastAsia="宋体" w:cs="宋体"/>
          <w:color w:val="000000" w:themeColor="text1"/>
          <w:sz w:val="21"/>
          <w:szCs w:val="21"/>
          <w:highlight w:val="none"/>
        </w:rPr>
      </w:pPr>
      <w:r>
        <w:rPr>
          <w:rFonts w:hint="eastAsia" w:ascii="宋体" w:hAnsi="宋体" w:eastAsia="宋体" w:cs="宋体"/>
          <w:color w:val="auto"/>
          <w:kern w:val="2"/>
          <w:sz w:val="21"/>
          <w:szCs w:val="21"/>
          <w:highlight w:val="none"/>
          <w:lang w:val="en-US" w:eastAsia="zh-CN" w:bidi="ar-SA"/>
        </w:rPr>
        <w:t>本文的“质保期”是指中标标的物经约定的验收机构完成验收之日</w:t>
      </w:r>
      <w:r>
        <w:rPr>
          <w:rFonts w:hint="eastAsia" w:ascii="宋体" w:hAnsi="宋体" w:eastAsia="宋体" w:cs="宋体"/>
          <w:color w:val="000000" w:themeColor="text1"/>
          <w:kern w:val="2"/>
          <w:sz w:val="21"/>
          <w:szCs w:val="21"/>
          <w:highlight w:val="none"/>
          <w:lang w:val="en-US" w:eastAsia="zh-CN" w:bidi="ar-SA"/>
        </w:rPr>
        <w:t>起算，截至</w:t>
      </w:r>
      <w:r>
        <w:rPr>
          <w:rFonts w:hint="eastAsia" w:ascii="宋体" w:hAnsi="宋体" w:eastAsia="宋体" w:cs="宋体"/>
          <w:color w:val="000000" w:themeColor="text1"/>
          <w:sz w:val="21"/>
          <w:szCs w:val="21"/>
          <w:highlight w:val="none"/>
        </w:rPr>
        <w:t>中标</w:t>
      </w:r>
      <w:r>
        <w:rPr>
          <w:rFonts w:hint="eastAsia" w:ascii="宋体" w:hAnsi="宋体" w:eastAsia="宋体" w:cs="宋体"/>
          <w:b w:val="0"/>
          <w:bCs/>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承诺的期限。</w:t>
      </w:r>
    </w:p>
    <w:p w14:paraId="2B9D2695">
      <w:pPr>
        <w:numPr>
          <w:ilvl w:val="0"/>
          <w:numId w:val="4"/>
        </w:numPr>
        <w:spacing w:line="440" w:lineRule="exac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项目名称</w:t>
            </w:r>
          </w:p>
        </w:tc>
        <w:tc>
          <w:tcPr>
            <w:tcW w:w="2268" w:type="dxa"/>
          </w:tcPr>
          <w:p w14:paraId="15D6B59C">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需求科室/部门</w:t>
            </w:r>
          </w:p>
        </w:tc>
        <w:tc>
          <w:tcPr>
            <w:tcW w:w="2508" w:type="dxa"/>
          </w:tcPr>
          <w:p w14:paraId="67829918">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auto"/>
                <w:sz w:val="21"/>
                <w:szCs w:val="21"/>
                <w:highlight w:val="none"/>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婴儿辐射保暖台</w:t>
            </w:r>
          </w:p>
        </w:tc>
        <w:tc>
          <w:tcPr>
            <w:tcW w:w="2268" w:type="dxa"/>
          </w:tcPr>
          <w:p w14:paraId="29F1C941">
            <w:pPr>
              <w:spacing w:line="44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产房</w:t>
            </w:r>
          </w:p>
        </w:tc>
        <w:tc>
          <w:tcPr>
            <w:tcW w:w="2508" w:type="dxa"/>
          </w:tcPr>
          <w:p w14:paraId="5937043E">
            <w:pPr>
              <w:spacing w:line="44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r>
    </w:tbl>
    <w:p w14:paraId="3192A77B">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核心产品：</w:t>
      </w:r>
    </w:p>
    <w:p w14:paraId="26B12F7A">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婴儿辐射保暖台</w:t>
      </w:r>
    </w:p>
    <w:p w14:paraId="2D613B86">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用途：</w:t>
      </w:r>
      <w:r>
        <w:rPr>
          <w:spacing w:val="1"/>
          <w:highlight w:val="none"/>
        </w:rPr>
        <w:t>用于对新生儿进行敞开式的护理或抢救和体温调节</w:t>
      </w:r>
    </w:p>
    <w:p w14:paraId="12E02230">
      <w:pPr>
        <w:spacing w:line="440" w:lineRule="exact"/>
        <w:rPr>
          <w:rFonts w:hint="eastAsia" w:ascii="宋体" w:hAnsi="宋体" w:eastAsia="宋体" w:cs="宋体"/>
          <w:b/>
          <w:color w:val="000000" w:themeColor="text1"/>
          <w:sz w:val="21"/>
          <w:szCs w:val="21"/>
          <w:highlight w:val="none"/>
        </w:rPr>
      </w:pPr>
    </w:p>
    <w:p w14:paraId="426AD8A4">
      <w:pPr>
        <w:numPr>
          <w:ilvl w:val="0"/>
          <w:numId w:val="4"/>
        </w:numPr>
        <w:spacing w:line="440" w:lineRule="exac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技术参数：</w:t>
      </w:r>
    </w:p>
    <w:p w14:paraId="700E4875">
      <w:pPr>
        <w:pStyle w:val="4"/>
        <w:spacing w:before="99" w:line="219" w:lineRule="auto"/>
        <w:ind w:left="523"/>
      </w:pPr>
      <w:r>
        <w:t>1、</w:t>
      </w:r>
      <w:r>
        <w:rPr>
          <w:rFonts w:hint="eastAsia"/>
        </w:rPr>
        <w:t>★</w:t>
      </w:r>
      <w:r>
        <w:t xml:space="preserve"> 具有预热、手控、肤温三种温度控制模式；</w:t>
      </w:r>
    </w:p>
    <w:p w14:paraId="2A0B91B7">
      <w:pPr>
        <w:pStyle w:val="4"/>
        <w:spacing w:before="99" w:line="219" w:lineRule="auto"/>
        <w:ind w:left="523" w:firstLine="419" w:firstLineChars="0"/>
        <w:rPr>
          <w:rFonts w:hint="eastAsia" w:eastAsiaTheme="minorEastAsia"/>
          <w:lang w:eastAsia="zh-CN"/>
        </w:rPr>
      </w:pPr>
      <w:r>
        <w:t>1.1、肤温控温范围：不小于32℃~37℃</w:t>
      </w:r>
      <w:r>
        <w:rPr>
          <w:rFonts w:hint="eastAsia"/>
          <w:lang w:eastAsia="zh-CN"/>
        </w:rPr>
        <w:t>；</w:t>
      </w:r>
    </w:p>
    <w:p w14:paraId="7FB245EC">
      <w:pPr>
        <w:pStyle w:val="4"/>
        <w:spacing w:before="99" w:line="219" w:lineRule="auto"/>
        <w:ind w:left="523" w:firstLine="419" w:firstLineChars="0"/>
        <w:rPr>
          <w:rFonts w:hint="eastAsia" w:eastAsiaTheme="minorEastAsia"/>
          <w:lang w:eastAsia="zh-CN"/>
        </w:rPr>
      </w:pPr>
      <w:r>
        <w:t>1.2、肤温显示范围：不小于5℃~65℃</w:t>
      </w:r>
      <w:r>
        <w:rPr>
          <w:rFonts w:hint="eastAsia"/>
          <w:lang w:eastAsia="zh-CN"/>
        </w:rPr>
        <w:t>；</w:t>
      </w:r>
    </w:p>
    <w:p w14:paraId="24BAEDCE">
      <w:pPr>
        <w:pStyle w:val="4"/>
        <w:spacing w:before="99" w:line="219" w:lineRule="auto"/>
        <w:ind w:left="523" w:firstLine="419" w:firstLineChars="0"/>
        <w:rPr>
          <w:rFonts w:hint="eastAsia" w:eastAsiaTheme="minorEastAsia"/>
          <w:lang w:eastAsia="zh-CN"/>
        </w:rPr>
      </w:pPr>
      <w:r>
        <w:t>1.3、控温精度：≤0.5℃</w:t>
      </w:r>
      <w:r>
        <w:rPr>
          <w:rFonts w:hint="eastAsia"/>
          <w:lang w:eastAsia="zh-CN"/>
        </w:rPr>
        <w:t>；</w:t>
      </w:r>
    </w:p>
    <w:p w14:paraId="0B7B01AD">
      <w:pPr>
        <w:pStyle w:val="4"/>
        <w:spacing w:before="99" w:line="219" w:lineRule="auto"/>
        <w:ind w:left="523" w:firstLine="419" w:firstLineChars="0"/>
        <w:rPr>
          <w:rFonts w:hint="eastAsia" w:eastAsiaTheme="minorEastAsia"/>
          <w:lang w:eastAsia="zh-CN"/>
        </w:rPr>
      </w:pPr>
      <w:r>
        <w:t>1.4、皮肤温度传感器精度：±0.2℃内</w:t>
      </w:r>
      <w:r>
        <w:rPr>
          <w:rFonts w:hint="eastAsia"/>
          <w:lang w:eastAsia="zh-CN"/>
        </w:rPr>
        <w:t>；</w:t>
      </w:r>
    </w:p>
    <w:p w14:paraId="6249FFDF">
      <w:pPr>
        <w:pStyle w:val="4"/>
        <w:spacing w:before="99" w:line="219" w:lineRule="auto"/>
        <w:ind w:left="523" w:firstLine="419" w:firstLineChars="0"/>
        <w:rPr>
          <w:rFonts w:hint="eastAsia" w:eastAsiaTheme="minorEastAsia"/>
          <w:lang w:eastAsia="zh-CN"/>
        </w:rPr>
      </w:pPr>
      <w:r>
        <w:t>1.5、床面温度均匀性：≤2℃</w:t>
      </w:r>
      <w:r>
        <w:rPr>
          <w:rFonts w:hint="eastAsia"/>
          <w:lang w:eastAsia="zh-CN"/>
        </w:rPr>
        <w:t>；</w:t>
      </w:r>
    </w:p>
    <w:p w14:paraId="153DCBD7">
      <w:pPr>
        <w:pStyle w:val="4"/>
        <w:spacing w:before="99" w:line="219" w:lineRule="auto"/>
        <w:ind w:left="523"/>
      </w:pPr>
      <w:r>
        <w:t>2、 设置温度与皮肤温度分屏显示；</w:t>
      </w:r>
    </w:p>
    <w:p w14:paraId="1587B927">
      <w:pPr>
        <w:pStyle w:val="4"/>
        <w:spacing w:before="99" w:line="219" w:lineRule="auto"/>
        <w:ind w:left="523"/>
      </w:pPr>
      <w:r>
        <w:t>3、</w:t>
      </w:r>
      <w:r>
        <w:rPr>
          <w:rFonts w:hint="eastAsia"/>
        </w:rPr>
        <w:t>★</w:t>
      </w:r>
      <w:r>
        <w:t>独立的超温保护系统</w:t>
      </w:r>
      <w:r>
        <w:rPr>
          <w:rFonts w:hint="eastAsia"/>
          <w:lang w:eastAsia="zh-CN"/>
        </w:rPr>
        <w:t>，</w:t>
      </w:r>
      <w:r>
        <w:t>双</w:t>
      </w:r>
      <w:r>
        <w:rPr>
          <w:rFonts w:hint="eastAsia"/>
          <w:lang w:val="en-US" w:eastAsia="zh-CN"/>
        </w:rPr>
        <w:t>CPU控制</w:t>
      </w:r>
      <w:r>
        <w:t>系统、独立超温切断装置的三重超温保护；</w:t>
      </w:r>
    </w:p>
    <w:p w14:paraId="18CCBE18">
      <w:pPr>
        <w:pStyle w:val="4"/>
        <w:spacing w:before="99" w:line="219" w:lineRule="auto"/>
        <w:ind w:left="523"/>
      </w:pPr>
      <w:r>
        <w:t>4、 辐射箱水平角度与婴儿床的倾斜角度可调；</w:t>
      </w:r>
    </w:p>
    <w:p w14:paraId="7FB04E33">
      <w:pPr>
        <w:pStyle w:val="4"/>
        <w:spacing w:before="99" w:line="219" w:lineRule="auto"/>
        <w:ind w:left="523" w:firstLine="419" w:firstLineChars="0"/>
        <w:rPr>
          <w:rFonts w:hint="eastAsia" w:eastAsiaTheme="minorEastAsia"/>
          <w:lang w:eastAsia="zh-CN"/>
        </w:rPr>
      </w:pPr>
      <w:r>
        <w:t>4.1、辐射箱水平角度：0°、30°、60°、90°双向转动</w:t>
      </w:r>
      <w:r>
        <w:rPr>
          <w:rFonts w:hint="eastAsia"/>
          <w:lang w:eastAsia="zh-CN"/>
        </w:rPr>
        <w:t>；</w:t>
      </w:r>
    </w:p>
    <w:p w14:paraId="56FD6C2D">
      <w:pPr>
        <w:pStyle w:val="4"/>
        <w:spacing w:before="99" w:line="219" w:lineRule="auto"/>
        <w:ind w:left="523" w:firstLine="419" w:firstLineChars="0"/>
        <w:rPr>
          <w:rFonts w:hint="eastAsia" w:eastAsiaTheme="minorEastAsia"/>
          <w:lang w:eastAsia="zh-CN"/>
        </w:rPr>
      </w:pPr>
      <w:r>
        <w:t>4.2、婴儿床倾斜角度：无级可调</w:t>
      </w:r>
      <w:r>
        <w:rPr>
          <w:rFonts w:hint="eastAsia"/>
          <w:lang w:eastAsia="zh-CN"/>
        </w:rPr>
        <w:t>；</w:t>
      </w:r>
    </w:p>
    <w:p w14:paraId="4A164DDF">
      <w:pPr>
        <w:pStyle w:val="4"/>
        <w:spacing w:before="99" w:line="219" w:lineRule="auto"/>
        <w:ind w:left="523"/>
      </w:pPr>
      <w:r>
        <w:t>5、 婴儿床四周的有机玻璃档板可向下翻转或拆卸；</w:t>
      </w:r>
    </w:p>
    <w:p w14:paraId="05B3A8B0">
      <w:pPr>
        <w:pStyle w:val="4"/>
        <w:spacing w:before="99" w:line="219" w:lineRule="auto"/>
        <w:ind w:left="523"/>
      </w:pPr>
      <w:r>
        <w:t xml:space="preserve">6、 </w:t>
      </w:r>
      <w:r>
        <w:rPr>
          <w:rFonts w:hint="eastAsia"/>
        </w:rPr>
        <w:t>★</w:t>
      </w:r>
      <w:r>
        <w:rPr>
          <w:rFonts w:hint="eastAsia"/>
          <w:lang w:val="en-US" w:eastAsia="zh-CN"/>
        </w:rPr>
        <w:t>设备</w:t>
      </w:r>
      <w:r>
        <w:t>具有自检功能，多种故障报警提示</w:t>
      </w:r>
      <w:r>
        <w:rPr>
          <w:rFonts w:hint="eastAsia"/>
          <w:lang w:eastAsia="zh-CN"/>
        </w:rPr>
        <w:t>。</w:t>
      </w:r>
      <w:r>
        <w:t>故障报警</w:t>
      </w:r>
      <w:r>
        <w:rPr>
          <w:rFonts w:hint="eastAsia"/>
          <w:lang w:val="en-US" w:eastAsia="zh-CN"/>
        </w:rPr>
        <w:t>包含</w:t>
      </w:r>
      <w:r>
        <w:t>：断电、传感器、偏差、超温、设置、检查和系统等；</w:t>
      </w:r>
    </w:p>
    <w:p w14:paraId="029B6B1D">
      <w:pPr>
        <w:pStyle w:val="4"/>
        <w:spacing w:before="99" w:line="219" w:lineRule="auto"/>
        <w:ind w:left="523"/>
      </w:pPr>
      <w:r>
        <w:t>7、 前面板具有温度校正功能；</w:t>
      </w:r>
    </w:p>
    <w:p w14:paraId="6D9AD4E2">
      <w:pPr>
        <w:pStyle w:val="4"/>
        <w:spacing w:before="99" w:line="219" w:lineRule="auto"/>
        <w:ind w:left="523"/>
      </w:pPr>
      <w:r>
        <w:t>8 、婴儿床下可放置X光射线拍片盒；</w:t>
      </w:r>
    </w:p>
    <w:p w14:paraId="78BE8C33">
      <w:pPr>
        <w:pStyle w:val="4"/>
        <w:spacing w:before="99" w:line="219" w:lineRule="auto"/>
        <w:ind w:left="523"/>
      </w:pPr>
      <w:r>
        <w:t>9、 具有数据储存功能；</w:t>
      </w:r>
    </w:p>
    <w:p w14:paraId="64BF71FF">
      <w:pPr>
        <w:pStyle w:val="4"/>
        <w:spacing w:before="99" w:line="219" w:lineRule="auto"/>
        <w:ind w:left="523"/>
      </w:pPr>
      <w:r>
        <w:t>10 、 具有APGAR评分计时功能；</w:t>
      </w:r>
    </w:p>
    <w:p w14:paraId="7E68F30D">
      <w:pPr>
        <w:pStyle w:val="4"/>
        <w:spacing w:before="99" w:line="219" w:lineRule="auto"/>
        <w:ind w:left="523" w:firstLine="419" w:firstLineChars="0"/>
        <w:rPr>
          <w:rFonts w:hint="eastAsia" w:eastAsiaTheme="minorEastAsia"/>
          <w:lang w:eastAsia="zh-CN"/>
        </w:rPr>
      </w:pPr>
      <w:r>
        <w:t>10.1、APGAR评分计时：运行至50”～1′、4′50”～5′、9′50”～10′时发出声光提示</w:t>
      </w:r>
      <w:r>
        <w:rPr>
          <w:rFonts w:hint="eastAsia"/>
          <w:lang w:eastAsia="zh-CN"/>
        </w:rPr>
        <w:t>；</w:t>
      </w:r>
    </w:p>
    <w:p w14:paraId="46EC1467">
      <w:pPr>
        <w:pStyle w:val="4"/>
        <w:spacing w:before="99" w:line="219" w:lineRule="auto"/>
        <w:ind w:left="523"/>
      </w:pPr>
      <w:r>
        <w:t>11、具有 RS-232 接口；</w:t>
      </w:r>
    </w:p>
    <w:p w14:paraId="1167A72B">
      <w:pPr>
        <w:pStyle w:val="4"/>
        <w:spacing w:before="99" w:line="219" w:lineRule="auto"/>
        <w:ind w:left="523"/>
        <w:rPr>
          <w:rFonts w:hint="eastAsia" w:eastAsiaTheme="minorEastAsia"/>
          <w:lang w:eastAsia="zh-CN"/>
        </w:rPr>
      </w:pPr>
      <w:r>
        <w:t>1</w:t>
      </w:r>
      <w:r>
        <w:rPr>
          <w:rFonts w:hint="eastAsia"/>
          <w:lang w:val="en-US" w:eastAsia="zh-CN"/>
        </w:rPr>
        <w:t>2</w:t>
      </w:r>
      <w:r>
        <w:t>、具有输氧装置、低压吸引装置</w:t>
      </w:r>
      <w:r>
        <w:rPr>
          <w:rFonts w:hint="eastAsia"/>
          <w:lang w:eastAsia="zh-CN"/>
        </w:rPr>
        <w:t>；</w:t>
      </w:r>
    </w:p>
    <w:p w14:paraId="5D46578B">
      <w:pPr>
        <w:pStyle w:val="4"/>
        <w:spacing w:before="99" w:line="219" w:lineRule="auto"/>
        <w:ind w:left="523"/>
        <w:rPr>
          <w:rFonts w:hint="eastAsia" w:eastAsiaTheme="minorEastAsia"/>
          <w:lang w:eastAsia="zh-CN"/>
        </w:rPr>
      </w:pPr>
      <w:r>
        <w:t>1</w:t>
      </w:r>
      <w:r>
        <w:rPr>
          <w:rFonts w:hint="eastAsia"/>
          <w:lang w:val="en-US" w:eastAsia="zh-CN"/>
        </w:rPr>
        <w:t>3</w:t>
      </w:r>
      <w:r>
        <w:t>、可放置呼吸复苏(器)囊、婴幼儿头部固定架</w:t>
      </w:r>
      <w:r>
        <w:rPr>
          <w:rFonts w:hint="eastAsia"/>
          <w:lang w:eastAsia="zh-CN"/>
        </w:rPr>
        <w:t>；</w:t>
      </w:r>
    </w:p>
    <w:p w14:paraId="274FB952">
      <w:pPr>
        <w:pStyle w:val="4"/>
        <w:spacing w:before="99" w:line="219" w:lineRule="auto"/>
        <w:ind w:left="523"/>
        <w:rPr>
          <w:rFonts w:hint="eastAsia"/>
          <w:lang w:val="en-US" w:eastAsia="zh-CN"/>
        </w:rPr>
      </w:pPr>
      <w:r>
        <w:rPr>
          <w:rFonts w:hint="eastAsia"/>
          <w:lang w:val="en-US" w:eastAsia="zh-CN"/>
        </w:rPr>
        <w:t>14、具有婴儿体重秤功能；</w:t>
      </w:r>
    </w:p>
    <w:p w14:paraId="5D53F9BD">
      <w:pPr>
        <w:pStyle w:val="4"/>
        <w:spacing w:before="99" w:line="219" w:lineRule="auto"/>
        <w:ind w:left="523"/>
        <w:rPr>
          <w:rFonts w:hint="eastAsia"/>
          <w:lang w:val="en-US" w:eastAsia="zh-CN"/>
        </w:rPr>
      </w:pPr>
      <w:r>
        <w:rPr>
          <w:rFonts w:hint="eastAsia"/>
          <w:lang w:val="en-US" w:eastAsia="zh-CN"/>
        </w:rPr>
        <w:t>15、★设备使用年限≥10年。</w:t>
      </w:r>
    </w:p>
    <w:p w14:paraId="6592D255">
      <w:pPr>
        <w:pStyle w:val="4"/>
        <w:spacing w:before="99" w:line="219" w:lineRule="auto"/>
        <w:ind w:left="523"/>
        <w:rPr>
          <w:rFonts w:ascii="Arial"/>
          <w:b/>
          <w:bCs/>
          <w:sz w:val="2"/>
        </w:rPr>
      </w:pPr>
      <w:r>
        <w:rPr>
          <w:rFonts w:hint="eastAsia"/>
          <w:b/>
          <w:bCs/>
          <w:lang w:val="en-US" w:eastAsia="zh-CN"/>
        </w:rPr>
        <w:t>16、单台配置清单(包括但不</w:t>
      </w:r>
      <w:r>
        <w:rPr>
          <w:b/>
          <w:bCs/>
          <w:sz w:val="19"/>
          <w:szCs w:val="19"/>
        </w:rPr>
        <w:t>限于</w:t>
      </w:r>
      <w:r>
        <w:rPr>
          <w:rFonts w:hint="eastAsia"/>
          <w:b/>
          <w:bCs/>
          <w:sz w:val="19"/>
          <w:szCs w:val="19"/>
          <w:lang w:val="en-US" w:eastAsia="zh-CN"/>
        </w:rPr>
        <w:t>以下配置</w:t>
      </w:r>
      <w:r>
        <w:rPr>
          <w:b/>
          <w:bCs/>
          <w:sz w:val="19"/>
          <w:szCs w:val="19"/>
        </w:rPr>
        <w:t>)</w:t>
      </w:r>
    </w:p>
    <w:tbl>
      <w:tblPr>
        <w:tblStyle w:val="17"/>
        <w:tblW w:w="6839" w:type="dxa"/>
        <w:tblInd w:w="4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4044"/>
        <w:gridCol w:w="1852"/>
      </w:tblGrid>
      <w:tr w14:paraId="64FD2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43" w:type="dxa"/>
            <w:vAlign w:val="top"/>
          </w:tcPr>
          <w:p w14:paraId="1010AD0F">
            <w:pPr>
              <w:pStyle w:val="16"/>
              <w:spacing w:before="41" w:line="218" w:lineRule="auto"/>
              <w:ind w:left="287"/>
              <w:jc w:val="center"/>
            </w:pPr>
            <w:r>
              <w:rPr>
                <w:b/>
                <w:bCs/>
                <w:spacing w:val="-4"/>
              </w:rPr>
              <w:t>序号</w:t>
            </w:r>
          </w:p>
        </w:tc>
        <w:tc>
          <w:tcPr>
            <w:tcW w:w="4044" w:type="dxa"/>
            <w:vAlign w:val="top"/>
          </w:tcPr>
          <w:p w14:paraId="56AD58DB">
            <w:pPr>
              <w:pStyle w:val="16"/>
              <w:spacing w:before="40" w:line="219" w:lineRule="auto"/>
              <w:ind w:left="1474"/>
              <w:jc w:val="center"/>
              <w:rPr>
                <w:rFonts w:hint="default" w:eastAsia="宋体"/>
                <w:lang w:val="en-US" w:eastAsia="zh-CN"/>
              </w:rPr>
            </w:pPr>
            <w:r>
              <w:rPr>
                <w:rFonts w:hint="eastAsia"/>
                <w:b/>
                <w:bCs/>
                <w:spacing w:val="-4"/>
                <w:lang w:val="en-US" w:eastAsia="zh-CN"/>
              </w:rPr>
              <w:t>组件名称</w:t>
            </w:r>
          </w:p>
        </w:tc>
        <w:tc>
          <w:tcPr>
            <w:tcW w:w="1852" w:type="dxa"/>
            <w:vAlign w:val="top"/>
          </w:tcPr>
          <w:p w14:paraId="27D0D775">
            <w:pPr>
              <w:pStyle w:val="16"/>
              <w:spacing w:before="40" w:line="219" w:lineRule="auto"/>
              <w:ind w:left="740"/>
              <w:jc w:val="center"/>
            </w:pPr>
            <w:r>
              <w:rPr>
                <w:b/>
                <w:bCs/>
                <w:spacing w:val="-5"/>
              </w:rPr>
              <w:t>数量</w:t>
            </w:r>
          </w:p>
        </w:tc>
      </w:tr>
      <w:tr w14:paraId="61BEE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43" w:type="dxa"/>
            <w:vAlign w:val="top"/>
          </w:tcPr>
          <w:p w14:paraId="34A6FE5E">
            <w:pPr>
              <w:pStyle w:val="16"/>
              <w:spacing w:before="65" w:line="198" w:lineRule="auto"/>
              <w:ind w:left="414"/>
              <w:jc w:val="center"/>
            </w:pPr>
            <w:r>
              <w:t>1</w:t>
            </w:r>
          </w:p>
        </w:tc>
        <w:tc>
          <w:tcPr>
            <w:tcW w:w="4044" w:type="dxa"/>
            <w:vAlign w:val="top"/>
          </w:tcPr>
          <w:p w14:paraId="4E84A77F">
            <w:pPr>
              <w:pStyle w:val="16"/>
              <w:spacing w:before="47" w:line="217" w:lineRule="auto"/>
              <w:ind w:left="71"/>
              <w:jc w:val="center"/>
            </w:pPr>
            <w:r>
              <w:rPr>
                <w:spacing w:val="-1"/>
              </w:rPr>
              <w:t>辐射台主机</w:t>
            </w:r>
          </w:p>
        </w:tc>
        <w:tc>
          <w:tcPr>
            <w:tcW w:w="1852" w:type="dxa"/>
            <w:vAlign w:val="top"/>
          </w:tcPr>
          <w:p w14:paraId="1A96C799">
            <w:pPr>
              <w:pStyle w:val="16"/>
              <w:spacing w:before="50" w:line="214" w:lineRule="auto"/>
              <w:ind w:left="787"/>
              <w:jc w:val="center"/>
            </w:pPr>
            <w:r>
              <w:rPr>
                <w:spacing w:val="9"/>
              </w:rPr>
              <w:t>1台</w:t>
            </w:r>
          </w:p>
        </w:tc>
      </w:tr>
      <w:tr w14:paraId="40514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43" w:type="dxa"/>
            <w:vAlign w:val="top"/>
          </w:tcPr>
          <w:p w14:paraId="39B52B6E">
            <w:pPr>
              <w:pStyle w:val="16"/>
              <w:spacing w:before="57" w:line="196" w:lineRule="auto"/>
              <w:ind w:left="414"/>
              <w:jc w:val="center"/>
            </w:pPr>
            <w:r>
              <w:t>2</w:t>
            </w:r>
          </w:p>
        </w:tc>
        <w:tc>
          <w:tcPr>
            <w:tcW w:w="4044" w:type="dxa"/>
            <w:vAlign w:val="top"/>
          </w:tcPr>
          <w:p w14:paraId="0E12B62F">
            <w:pPr>
              <w:pStyle w:val="16"/>
              <w:spacing w:before="39" w:line="215" w:lineRule="auto"/>
              <w:ind w:left="71"/>
              <w:jc w:val="center"/>
            </w:pPr>
            <w:r>
              <w:rPr>
                <w:spacing w:val="-2"/>
              </w:rPr>
              <w:t>输液架</w:t>
            </w:r>
          </w:p>
        </w:tc>
        <w:tc>
          <w:tcPr>
            <w:tcW w:w="1852" w:type="dxa"/>
            <w:vAlign w:val="top"/>
          </w:tcPr>
          <w:p w14:paraId="41D15BAD">
            <w:pPr>
              <w:pStyle w:val="16"/>
              <w:spacing w:before="39" w:line="215" w:lineRule="auto"/>
              <w:ind w:left="787"/>
              <w:jc w:val="center"/>
            </w:pPr>
            <w:r>
              <w:rPr>
                <w:spacing w:val="3"/>
              </w:rPr>
              <w:t>1个</w:t>
            </w:r>
          </w:p>
        </w:tc>
      </w:tr>
      <w:tr w14:paraId="76F2F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43" w:type="dxa"/>
            <w:vAlign w:val="top"/>
          </w:tcPr>
          <w:p w14:paraId="0837C1EB">
            <w:pPr>
              <w:pStyle w:val="16"/>
              <w:spacing w:before="68" w:line="206" w:lineRule="auto"/>
              <w:ind w:left="414"/>
              <w:jc w:val="center"/>
            </w:pPr>
            <w:r>
              <w:t>3</w:t>
            </w:r>
          </w:p>
        </w:tc>
        <w:tc>
          <w:tcPr>
            <w:tcW w:w="4044" w:type="dxa"/>
            <w:vAlign w:val="top"/>
          </w:tcPr>
          <w:p w14:paraId="68848E50">
            <w:pPr>
              <w:pStyle w:val="16"/>
              <w:spacing w:before="49" w:line="219" w:lineRule="auto"/>
              <w:ind w:left="71"/>
              <w:jc w:val="center"/>
            </w:pPr>
            <w:r>
              <w:rPr>
                <w:spacing w:val="2"/>
              </w:rPr>
              <w:t>婴儿床(包括4块挡板和床垫)</w:t>
            </w:r>
          </w:p>
        </w:tc>
        <w:tc>
          <w:tcPr>
            <w:tcW w:w="1852" w:type="dxa"/>
            <w:vAlign w:val="top"/>
          </w:tcPr>
          <w:p w14:paraId="1279F91D">
            <w:pPr>
              <w:pStyle w:val="16"/>
              <w:spacing w:before="50" w:line="220" w:lineRule="auto"/>
              <w:ind w:left="787"/>
              <w:jc w:val="center"/>
            </w:pPr>
            <w:r>
              <w:rPr>
                <w:spacing w:val="4"/>
              </w:rPr>
              <w:t>1套</w:t>
            </w:r>
          </w:p>
        </w:tc>
      </w:tr>
      <w:tr w14:paraId="51DB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943" w:type="dxa"/>
            <w:vAlign w:val="top"/>
          </w:tcPr>
          <w:p w14:paraId="0BD246CE">
            <w:pPr>
              <w:pStyle w:val="16"/>
              <w:spacing w:before="69" w:line="193" w:lineRule="auto"/>
              <w:ind w:left="414"/>
              <w:jc w:val="center"/>
            </w:pPr>
            <w:r>
              <w:t>4</w:t>
            </w:r>
          </w:p>
        </w:tc>
        <w:tc>
          <w:tcPr>
            <w:tcW w:w="4044" w:type="dxa"/>
            <w:vAlign w:val="top"/>
          </w:tcPr>
          <w:p w14:paraId="5A8109EB">
            <w:pPr>
              <w:pStyle w:val="16"/>
              <w:spacing w:before="53" w:line="210" w:lineRule="auto"/>
              <w:ind w:left="71"/>
              <w:jc w:val="center"/>
            </w:pPr>
            <w:r>
              <w:rPr>
                <w:spacing w:val="-2"/>
              </w:rPr>
              <w:t>托盘</w:t>
            </w:r>
          </w:p>
        </w:tc>
        <w:tc>
          <w:tcPr>
            <w:tcW w:w="1852" w:type="dxa"/>
            <w:vAlign w:val="top"/>
          </w:tcPr>
          <w:p w14:paraId="5D0AD26B">
            <w:pPr>
              <w:pStyle w:val="16"/>
              <w:spacing w:before="51" w:line="212" w:lineRule="auto"/>
              <w:ind w:left="787"/>
              <w:jc w:val="center"/>
            </w:pPr>
            <w:r>
              <w:rPr>
                <w:spacing w:val="-2"/>
              </w:rPr>
              <w:t>2个</w:t>
            </w:r>
          </w:p>
        </w:tc>
      </w:tr>
      <w:tr w14:paraId="60BD9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43" w:type="dxa"/>
            <w:vAlign w:val="top"/>
          </w:tcPr>
          <w:p w14:paraId="060F930D">
            <w:pPr>
              <w:pStyle w:val="16"/>
              <w:spacing w:before="71" w:line="192" w:lineRule="auto"/>
              <w:ind w:left="414"/>
              <w:jc w:val="center"/>
            </w:pPr>
            <w:r>
              <w:t>5</w:t>
            </w:r>
          </w:p>
        </w:tc>
        <w:tc>
          <w:tcPr>
            <w:tcW w:w="4044" w:type="dxa"/>
            <w:vAlign w:val="top"/>
          </w:tcPr>
          <w:p w14:paraId="70ECD9AA">
            <w:pPr>
              <w:pStyle w:val="16"/>
              <w:spacing w:before="52" w:line="212" w:lineRule="auto"/>
              <w:ind w:left="71"/>
              <w:jc w:val="center"/>
            </w:pPr>
            <w:r>
              <w:rPr>
                <w:spacing w:val="-2"/>
              </w:rPr>
              <w:t>皮肤温度传感器</w:t>
            </w:r>
          </w:p>
        </w:tc>
        <w:tc>
          <w:tcPr>
            <w:tcW w:w="1852" w:type="dxa"/>
            <w:vAlign w:val="top"/>
          </w:tcPr>
          <w:p w14:paraId="44C4B8BF">
            <w:pPr>
              <w:pStyle w:val="16"/>
              <w:spacing w:before="53" w:line="211" w:lineRule="auto"/>
              <w:ind w:left="787"/>
              <w:jc w:val="center"/>
            </w:pPr>
            <w:r>
              <w:rPr>
                <w:spacing w:val="-2"/>
              </w:rPr>
              <w:t>2条</w:t>
            </w:r>
          </w:p>
        </w:tc>
      </w:tr>
      <w:tr w14:paraId="047E5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43" w:type="dxa"/>
            <w:vAlign w:val="top"/>
          </w:tcPr>
          <w:p w14:paraId="73B9D827">
            <w:pPr>
              <w:pStyle w:val="16"/>
              <w:spacing w:before="72" w:line="191" w:lineRule="auto"/>
              <w:ind w:left="414"/>
              <w:jc w:val="center"/>
            </w:pPr>
            <w:r>
              <w:t>6</w:t>
            </w:r>
          </w:p>
        </w:tc>
        <w:tc>
          <w:tcPr>
            <w:tcW w:w="4044" w:type="dxa"/>
            <w:vAlign w:val="top"/>
          </w:tcPr>
          <w:p w14:paraId="3AB70ADB">
            <w:pPr>
              <w:pStyle w:val="16"/>
              <w:spacing w:before="55" w:line="209" w:lineRule="auto"/>
              <w:ind w:left="71"/>
              <w:jc w:val="center"/>
            </w:pPr>
            <w:r>
              <w:rPr>
                <w:spacing w:val="4"/>
              </w:rPr>
              <w:t>电源线</w:t>
            </w:r>
          </w:p>
        </w:tc>
        <w:tc>
          <w:tcPr>
            <w:tcW w:w="1852" w:type="dxa"/>
            <w:vAlign w:val="top"/>
          </w:tcPr>
          <w:p w14:paraId="5C15D31A">
            <w:pPr>
              <w:pStyle w:val="16"/>
              <w:spacing w:before="54" w:line="210" w:lineRule="auto"/>
              <w:ind w:left="787"/>
              <w:jc w:val="center"/>
            </w:pPr>
            <w:r>
              <w:rPr>
                <w:spacing w:val="3"/>
              </w:rPr>
              <w:t>1条</w:t>
            </w:r>
          </w:p>
        </w:tc>
      </w:tr>
      <w:tr w14:paraId="11E87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43" w:type="dxa"/>
            <w:vAlign w:val="top"/>
          </w:tcPr>
          <w:p w14:paraId="5335DEBE">
            <w:pPr>
              <w:pStyle w:val="16"/>
              <w:spacing w:before="72" w:line="191" w:lineRule="auto"/>
              <w:ind w:left="414"/>
              <w:jc w:val="center"/>
              <w:rPr>
                <w:rFonts w:hint="eastAsia" w:eastAsia="宋体"/>
                <w:lang w:val="en-US" w:eastAsia="zh-CN"/>
              </w:rPr>
            </w:pPr>
            <w:r>
              <w:rPr>
                <w:rFonts w:hint="eastAsia"/>
                <w:lang w:val="en-US" w:eastAsia="zh-CN"/>
              </w:rPr>
              <w:t>7</w:t>
            </w:r>
          </w:p>
        </w:tc>
        <w:tc>
          <w:tcPr>
            <w:tcW w:w="4044" w:type="dxa"/>
            <w:vAlign w:val="top"/>
          </w:tcPr>
          <w:p w14:paraId="3F59CF79">
            <w:pPr>
              <w:pStyle w:val="16"/>
              <w:spacing w:before="55" w:line="209" w:lineRule="auto"/>
              <w:ind w:left="71"/>
              <w:jc w:val="center"/>
              <w:rPr>
                <w:rFonts w:hint="eastAsia" w:eastAsia="宋体"/>
                <w:spacing w:val="4"/>
                <w:lang w:val="en-US" w:eastAsia="zh-CN"/>
              </w:rPr>
            </w:pPr>
            <w:r>
              <w:rPr>
                <w:rFonts w:hint="eastAsia"/>
                <w:spacing w:val="4"/>
                <w:lang w:val="en-US" w:eastAsia="zh-CN"/>
              </w:rPr>
              <w:t>体重秤</w:t>
            </w:r>
          </w:p>
        </w:tc>
        <w:tc>
          <w:tcPr>
            <w:tcW w:w="1852" w:type="dxa"/>
            <w:vAlign w:val="top"/>
          </w:tcPr>
          <w:p w14:paraId="74FD2FB7">
            <w:pPr>
              <w:pStyle w:val="16"/>
              <w:spacing w:before="54" w:line="210" w:lineRule="auto"/>
              <w:ind w:left="787"/>
              <w:jc w:val="center"/>
              <w:rPr>
                <w:rFonts w:hint="default" w:eastAsia="宋体"/>
                <w:spacing w:val="3"/>
                <w:lang w:val="en-US" w:eastAsia="zh-CN"/>
              </w:rPr>
            </w:pPr>
            <w:r>
              <w:rPr>
                <w:rFonts w:hint="eastAsia"/>
                <w:spacing w:val="3"/>
                <w:lang w:val="en-US" w:eastAsia="zh-CN"/>
              </w:rPr>
              <w:t>1套</w:t>
            </w:r>
          </w:p>
        </w:tc>
      </w:tr>
      <w:tr w14:paraId="366B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43" w:type="dxa"/>
            <w:vAlign w:val="top"/>
          </w:tcPr>
          <w:p w14:paraId="2DB7C164">
            <w:pPr>
              <w:pStyle w:val="16"/>
              <w:spacing w:before="72" w:line="191" w:lineRule="auto"/>
              <w:ind w:left="414"/>
              <w:jc w:val="center"/>
              <w:rPr>
                <w:rFonts w:hint="eastAsia" w:eastAsia="宋体"/>
                <w:lang w:val="en-US" w:eastAsia="zh-CN"/>
              </w:rPr>
            </w:pPr>
            <w:r>
              <w:rPr>
                <w:rFonts w:hint="eastAsia"/>
                <w:lang w:val="en-US" w:eastAsia="zh-CN"/>
              </w:rPr>
              <w:t>8</w:t>
            </w:r>
          </w:p>
        </w:tc>
        <w:tc>
          <w:tcPr>
            <w:tcW w:w="4044" w:type="dxa"/>
            <w:vAlign w:val="top"/>
          </w:tcPr>
          <w:p w14:paraId="3A99FF52">
            <w:pPr>
              <w:pStyle w:val="16"/>
              <w:spacing w:before="55" w:line="209" w:lineRule="auto"/>
              <w:ind w:left="71"/>
              <w:jc w:val="center"/>
              <w:rPr>
                <w:rFonts w:hint="default" w:eastAsia="宋体"/>
                <w:spacing w:val="4"/>
                <w:lang w:val="en-US" w:eastAsia="zh-CN"/>
              </w:rPr>
            </w:pPr>
            <w:r>
              <w:rPr>
                <w:rFonts w:hint="eastAsia"/>
                <w:spacing w:val="4"/>
                <w:lang w:val="en-US" w:eastAsia="zh-CN"/>
              </w:rPr>
              <w:t>输氧装置</w:t>
            </w:r>
          </w:p>
        </w:tc>
        <w:tc>
          <w:tcPr>
            <w:tcW w:w="1852" w:type="dxa"/>
            <w:vAlign w:val="top"/>
          </w:tcPr>
          <w:p w14:paraId="276673ED">
            <w:pPr>
              <w:pStyle w:val="16"/>
              <w:spacing w:before="54" w:line="210" w:lineRule="auto"/>
              <w:ind w:left="787"/>
              <w:jc w:val="center"/>
              <w:rPr>
                <w:rFonts w:hint="default" w:eastAsia="宋体"/>
                <w:spacing w:val="3"/>
                <w:lang w:val="en-US" w:eastAsia="zh-CN"/>
              </w:rPr>
            </w:pPr>
            <w:r>
              <w:rPr>
                <w:rFonts w:hint="eastAsia"/>
                <w:spacing w:val="3"/>
                <w:lang w:val="en-US" w:eastAsia="zh-CN"/>
              </w:rPr>
              <w:t>1套</w:t>
            </w:r>
          </w:p>
        </w:tc>
      </w:tr>
      <w:tr w14:paraId="739CF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43" w:type="dxa"/>
            <w:vAlign w:val="top"/>
          </w:tcPr>
          <w:p w14:paraId="069BD26C">
            <w:pPr>
              <w:pStyle w:val="16"/>
              <w:spacing w:before="72" w:line="191" w:lineRule="auto"/>
              <w:ind w:left="414"/>
              <w:jc w:val="center"/>
              <w:rPr>
                <w:rFonts w:hint="eastAsia" w:eastAsia="宋体"/>
                <w:lang w:val="en-US" w:eastAsia="zh-CN"/>
              </w:rPr>
            </w:pPr>
            <w:r>
              <w:rPr>
                <w:rFonts w:hint="eastAsia"/>
                <w:lang w:val="en-US" w:eastAsia="zh-CN"/>
              </w:rPr>
              <w:t>9</w:t>
            </w:r>
          </w:p>
        </w:tc>
        <w:tc>
          <w:tcPr>
            <w:tcW w:w="4044" w:type="dxa"/>
            <w:vAlign w:val="top"/>
          </w:tcPr>
          <w:p w14:paraId="3B17FB8F">
            <w:pPr>
              <w:pStyle w:val="16"/>
              <w:spacing w:before="55" w:line="209" w:lineRule="auto"/>
              <w:ind w:left="71"/>
              <w:jc w:val="center"/>
              <w:rPr>
                <w:rFonts w:hint="default" w:eastAsia="宋体"/>
                <w:spacing w:val="4"/>
                <w:lang w:val="en-US" w:eastAsia="zh-CN"/>
              </w:rPr>
            </w:pPr>
            <w:r>
              <w:rPr>
                <w:rFonts w:hint="eastAsia"/>
                <w:spacing w:val="4"/>
                <w:lang w:val="en-US" w:eastAsia="zh-CN"/>
              </w:rPr>
              <w:t>抵押吸引装置</w:t>
            </w:r>
          </w:p>
        </w:tc>
        <w:tc>
          <w:tcPr>
            <w:tcW w:w="1852" w:type="dxa"/>
            <w:vAlign w:val="top"/>
          </w:tcPr>
          <w:p w14:paraId="40EE0BD0">
            <w:pPr>
              <w:pStyle w:val="16"/>
              <w:spacing w:before="54" w:line="210" w:lineRule="auto"/>
              <w:ind w:left="787"/>
              <w:jc w:val="center"/>
              <w:rPr>
                <w:rFonts w:hint="default" w:eastAsia="宋体"/>
                <w:spacing w:val="3"/>
                <w:lang w:val="en-US" w:eastAsia="zh-CN"/>
              </w:rPr>
            </w:pPr>
            <w:r>
              <w:rPr>
                <w:rFonts w:hint="eastAsia"/>
                <w:spacing w:val="3"/>
                <w:lang w:val="en-US" w:eastAsia="zh-CN"/>
              </w:rPr>
              <w:t>1套</w:t>
            </w:r>
          </w:p>
        </w:tc>
      </w:tr>
      <w:tr w14:paraId="6E33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43" w:type="dxa"/>
            <w:vAlign w:val="top"/>
          </w:tcPr>
          <w:p w14:paraId="083BDE9C">
            <w:pPr>
              <w:pStyle w:val="16"/>
              <w:spacing w:before="72" w:line="191" w:lineRule="auto"/>
              <w:ind w:left="414"/>
              <w:jc w:val="center"/>
              <w:rPr>
                <w:rFonts w:hint="default"/>
                <w:lang w:val="en-US" w:eastAsia="zh-CN"/>
              </w:rPr>
            </w:pPr>
            <w:r>
              <w:rPr>
                <w:rFonts w:hint="eastAsia"/>
                <w:lang w:val="en-US" w:eastAsia="zh-CN"/>
              </w:rPr>
              <w:t>10</w:t>
            </w:r>
          </w:p>
        </w:tc>
        <w:tc>
          <w:tcPr>
            <w:tcW w:w="4044" w:type="dxa"/>
            <w:vAlign w:val="top"/>
          </w:tcPr>
          <w:p w14:paraId="3BECC678">
            <w:pPr>
              <w:pStyle w:val="16"/>
              <w:spacing w:before="55" w:line="209" w:lineRule="auto"/>
              <w:ind w:left="71"/>
              <w:jc w:val="center"/>
              <w:rPr>
                <w:rFonts w:hint="default"/>
                <w:spacing w:val="4"/>
                <w:lang w:val="en-US" w:eastAsia="zh-CN"/>
              </w:rPr>
            </w:pPr>
            <w:r>
              <w:rPr>
                <w:rFonts w:hint="eastAsia"/>
                <w:spacing w:val="4"/>
                <w:lang w:val="en-US" w:eastAsia="zh-CN"/>
              </w:rPr>
              <w:t>升降式机架</w:t>
            </w:r>
          </w:p>
        </w:tc>
        <w:tc>
          <w:tcPr>
            <w:tcW w:w="1852" w:type="dxa"/>
            <w:vAlign w:val="top"/>
          </w:tcPr>
          <w:p w14:paraId="358447D7">
            <w:pPr>
              <w:pStyle w:val="16"/>
              <w:spacing w:before="54" w:line="210" w:lineRule="auto"/>
              <w:ind w:left="787"/>
              <w:jc w:val="center"/>
              <w:rPr>
                <w:rFonts w:hint="default"/>
                <w:spacing w:val="3"/>
                <w:lang w:val="en-US" w:eastAsia="zh-CN"/>
              </w:rPr>
            </w:pPr>
            <w:r>
              <w:rPr>
                <w:rFonts w:hint="eastAsia"/>
                <w:spacing w:val="3"/>
                <w:lang w:val="en-US" w:eastAsia="zh-CN"/>
              </w:rPr>
              <w:t>1套</w:t>
            </w:r>
          </w:p>
        </w:tc>
      </w:tr>
      <w:tr w14:paraId="4B3E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43" w:type="dxa"/>
            <w:vAlign w:val="top"/>
          </w:tcPr>
          <w:p w14:paraId="1631C181">
            <w:pPr>
              <w:pStyle w:val="16"/>
              <w:spacing w:before="64" w:line="184" w:lineRule="auto"/>
              <w:ind w:left="414"/>
              <w:jc w:val="center"/>
              <w:rPr>
                <w:rFonts w:hint="default" w:eastAsia="宋体"/>
                <w:lang w:val="en-US" w:eastAsia="zh-CN"/>
              </w:rPr>
            </w:pPr>
            <w:r>
              <w:rPr>
                <w:rFonts w:hint="eastAsia"/>
                <w:lang w:val="en-US" w:eastAsia="zh-CN"/>
              </w:rPr>
              <w:t>11</w:t>
            </w:r>
          </w:p>
        </w:tc>
        <w:tc>
          <w:tcPr>
            <w:tcW w:w="4044" w:type="dxa"/>
            <w:vAlign w:val="top"/>
          </w:tcPr>
          <w:p w14:paraId="3E740B83">
            <w:pPr>
              <w:pStyle w:val="16"/>
              <w:spacing w:before="45" w:line="204" w:lineRule="auto"/>
              <w:ind w:left="71"/>
              <w:jc w:val="center"/>
            </w:pPr>
            <w:r>
              <w:t>中文版说明书</w:t>
            </w:r>
            <w:r>
              <w:rPr>
                <w:rFonts w:hint="eastAsia"/>
                <w:lang w:eastAsia="zh-CN"/>
              </w:rPr>
              <w:t>、</w:t>
            </w:r>
            <w:bookmarkStart w:id="0" w:name="_GoBack"/>
            <w:bookmarkEnd w:id="0"/>
            <w:r>
              <w:t>出厂测试报告等</w:t>
            </w:r>
          </w:p>
        </w:tc>
        <w:tc>
          <w:tcPr>
            <w:tcW w:w="1852" w:type="dxa"/>
            <w:vAlign w:val="top"/>
          </w:tcPr>
          <w:p w14:paraId="7A118D08">
            <w:pPr>
              <w:pStyle w:val="16"/>
              <w:spacing w:before="47" w:line="202" w:lineRule="auto"/>
              <w:ind w:left="787"/>
              <w:jc w:val="center"/>
            </w:pPr>
            <w:r>
              <w:rPr>
                <w:spacing w:val="4"/>
              </w:rPr>
              <w:t>1套</w:t>
            </w:r>
          </w:p>
        </w:tc>
      </w:tr>
    </w:tbl>
    <w:p w14:paraId="2D9C1BC3">
      <w:pPr>
        <w:spacing w:line="440" w:lineRule="exact"/>
        <w:rPr>
          <w:rFonts w:hint="eastAsia" w:ascii="宋体" w:hAnsi="宋体" w:eastAsia="宋体" w:cs="宋体"/>
          <w:color w:val="000000" w:themeColor="text1"/>
          <w:sz w:val="21"/>
          <w:szCs w:val="21"/>
          <w:lang w:eastAsia="zh-CN"/>
        </w:rPr>
      </w:pPr>
      <w:r>
        <w:rPr>
          <w:rFonts w:hint="eastAsia" w:ascii="仿宋" w:hAnsi="仿宋" w:eastAsia="仿宋" w:cs="仿宋"/>
          <w:b w:val="0"/>
          <w:bCs/>
          <w:color w:val="000000" w:themeColor="text1"/>
          <w:sz w:val="24"/>
          <w:lang w:val="en-US" w:eastAsia="zh-CN"/>
        </w:rPr>
        <w:t>17、</w:t>
      </w:r>
      <w:r>
        <w:rPr>
          <w:rFonts w:hint="eastAsia" w:ascii="仿宋" w:hAnsi="仿宋" w:eastAsia="仿宋" w:cs="仿宋"/>
          <w:b w:val="0"/>
          <w:bCs/>
          <w:color w:val="000000" w:themeColor="text1"/>
          <w:sz w:val="24"/>
        </w:rPr>
        <w:t>★</w:t>
      </w:r>
      <w:r>
        <w:rPr>
          <w:rFonts w:hint="eastAsia" w:ascii="宋体" w:hAnsi="宋体" w:eastAsia="宋体" w:cs="宋体"/>
          <w:color w:val="000000" w:themeColor="text1"/>
          <w:sz w:val="21"/>
          <w:szCs w:val="21"/>
        </w:rPr>
        <w:t>上述配置为实现</w:t>
      </w:r>
      <w:r>
        <w:rPr>
          <w:rFonts w:hint="eastAsia" w:ascii="宋体" w:hAnsi="宋体" w:eastAsia="宋体" w:cs="宋体"/>
          <w:color w:val="000000" w:themeColor="text1"/>
          <w:sz w:val="21"/>
          <w:szCs w:val="21"/>
          <w:lang w:val="en-US" w:eastAsia="zh-CN"/>
        </w:rPr>
        <w:t>基本婴儿辐射保暖台</w:t>
      </w:r>
      <w:r>
        <w:rPr>
          <w:rFonts w:hint="eastAsia" w:ascii="宋体" w:hAnsi="宋体" w:eastAsia="宋体" w:cs="宋体"/>
          <w:color w:val="000000" w:themeColor="text1"/>
          <w:sz w:val="21"/>
          <w:szCs w:val="21"/>
        </w:rPr>
        <w:t>功能的配置而设定，若</w:t>
      </w:r>
      <w:r>
        <w:rPr>
          <w:rFonts w:hint="eastAsia" w:ascii="宋体" w:hAnsi="宋体" w:eastAsia="宋体" w:cs="宋体"/>
          <w:color w:val="000000" w:themeColor="text1"/>
          <w:sz w:val="21"/>
          <w:szCs w:val="21"/>
          <w:lang w:val="en-US" w:eastAsia="zh-CN"/>
        </w:rPr>
        <w:t>投标人</w:t>
      </w:r>
      <w:r>
        <w:rPr>
          <w:rFonts w:hint="eastAsia" w:ascii="宋体" w:hAnsi="宋体" w:eastAsia="宋体" w:cs="宋体"/>
          <w:color w:val="000000" w:themeColor="text1"/>
          <w:sz w:val="21"/>
          <w:szCs w:val="21"/>
        </w:rPr>
        <w:t>所投产品配备上述配件，不能完成实现</w:t>
      </w:r>
      <w:r>
        <w:rPr>
          <w:rFonts w:hint="eastAsia" w:ascii="宋体" w:hAnsi="宋体" w:eastAsia="宋体" w:cs="宋体"/>
          <w:color w:val="000000" w:themeColor="text1"/>
          <w:sz w:val="21"/>
          <w:szCs w:val="21"/>
          <w:lang w:val="en-US" w:eastAsia="zh-CN"/>
        </w:rPr>
        <w:t>上述</w:t>
      </w:r>
      <w:r>
        <w:rPr>
          <w:rFonts w:hint="eastAsia" w:ascii="宋体" w:hAnsi="宋体" w:eastAsia="宋体" w:cs="宋体"/>
          <w:color w:val="000000" w:themeColor="text1"/>
          <w:sz w:val="21"/>
          <w:szCs w:val="21"/>
        </w:rPr>
        <w:t>功能，则须自行增加相应配件</w:t>
      </w:r>
      <w:r>
        <w:rPr>
          <w:rFonts w:hint="eastAsia" w:ascii="宋体" w:hAnsi="宋体" w:eastAsia="宋体" w:cs="宋体"/>
          <w:color w:val="000000" w:themeColor="text1"/>
          <w:sz w:val="21"/>
          <w:szCs w:val="21"/>
          <w:lang w:val="en-US" w:eastAsia="zh-CN"/>
        </w:rPr>
        <w:t>以达到。</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所需</w:t>
      </w:r>
      <w:r>
        <w:rPr>
          <w:rFonts w:hint="eastAsia" w:ascii="宋体" w:hAnsi="宋体" w:eastAsia="宋体" w:cs="宋体"/>
          <w:color w:val="000000" w:themeColor="text1"/>
          <w:sz w:val="21"/>
          <w:szCs w:val="21"/>
        </w:rPr>
        <w:t>费用包含在中标金额内</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采购人不再另行支付</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w:t>
      </w:r>
    </w:p>
    <w:p w14:paraId="714DC1B5">
      <w:pPr>
        <w:widowControl w:val="0"/>
        <w:numPr>
          <w:ilvl w:val="0"/>
          <w:numId w:val="0"/>
        </w:numPr>
        <w:spacing w:line="440" w:lineRule="exact"/>
        <w:jc w:val="both"/>
        <w:rPr>
          <w:rFonts w:hint="eastAsia" w:ascii="宋体" w:hAnsi="宋体" w:eastAsia="宋体" w:cs="宋体"/>
          <w:b/>
          <w:color w:val="000000" w:themeColor="text1"/>
          <w:sz w:val="21"/>
          <w:szCs w:val="21"/>
        </w:rPr>
      </w:pPr>
    </w:p>
    <w:p w14:paraId="11AD96EA">
      <w:pPr>
        <w:numPr>
          <w:ilvl w:val="0"/>
          <w:numId w:val="0"/>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四、主要</w:t>
      </w:r>
      <w:r>
        <w:rPr>
          <w:rFonts w:hint="eastAsia" w:ascii="宋体" w:hAnsi="宋体" w:eastAsia="宋体" w:cs="宋体"/>
          <w:b/>
          <w:color w:val="000000" w:themeColor="text1"/>
          <w:sz w:val="21"/>
          <w:szCs w:val="21"/>
        </w:rPr>
        <w:t>商务要求：</w:t>
      </w:r>
    </w:p>
    <w:p w14:paraId="751AF881">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1.交货及安装、验收要求</w:t>
      </w:r>
    </w:p>
    <w:p w14:paraId="775C65E0">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1.1交货地点：采购人指定地点。</w:t>
      </w:r>
    </w:p>
    <w:p w14:paraId="1C8A269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1.2交货期：中标供应商应当在中标通知书发出之日起30日内按</w:t>
      </w:r>
      <w:r>
        <w:rPr>
          <w:rFonts w:hint="eastAsia" w:ascii="宋体" w:hAnsi="宋体" w:eastAsia="宋体" w:cs="宋体"/>
          <w:color w:val="000000" w:themeColor="text1"/>
          <w:sz w:val="21"/>
          <w:szCs w:val="21"/>
          <w:lang w:eastAsia="zh-CN"/>
        </w:rPr>
        <w:t>采购需求</w:t>
      </w:r>
      <w:r>
        <w:rPr>
          <w:rFonts w:hint="eastAsia" w:ascii="宋体" w:hAnsi="宋体" w:eastAsia="宋体" w:cs="宋体"/>
          <w:color w:val="000000" w:themeColor="text1"/>
          <w:sz w:val="21"/>
          <w:szCs w:val="21"/>
        </w:rPr>
        <w:t>及中标</w:t>
      </w:r>
      <w:r>
        <w:rPr>
          <w:rFonts w:hint="eastAsia" w:ascii="宋体" w:hAnsi="宋体" w:eastAsia="宋体" w:cs="宋体"/>
          <w:b w:val="0"/>
          <w:bCs/>
          <w:color w:val="000000" w:themeColor="text1"/>
          <w:sz w:val="21"/>
          <w:szCs w:val="21"/>
          <w:lang w:val="en-US" w:eastAsia="zh-CN"/>
        </w:rPr>
        <w:t>供应商</w:t>
      </w:r>
      <w:r>
        <w:rPr>
          <w:rFonts w:hint="eastAsia" w:ascii="宋体" w:hAnsi="宋体" w:eastAsia="宋体" w:cs="宋体"/>
          <w:color w:val="000000" w:themeColor="text1"/>
          <w:sz w:val="21"/>
          <w:szCs w:val="21"/>
        </w:rPr>
        <w:t xml:space="preserve">的投标文件确定的事项与采购人签订合同，签订合同后 </w:t>
      </w:r>
      <w:r>
        <w:rPr>
          <w:rFonts w:hint="eastAsia" w:ascii="宋体" w:hAnsi="宋体" w:eastAsia="宋体" w:cs="宋体"/>
          <w:color w:val="000000" w:themeColor="text1"/>
          <w:sz w:val="21"/>
          <w:szCs w:val="21"/>
          <w:lang w:val="en-US" w:eastAsia="zh-CN"/>
        </w:rPr>
        <w:t>30</w:t>
      </w:r>
      <w:r>
        <w:rPr>
          <w:rFonts w:hint="eastAsia" w:ascii="宋体" w:hAnsi="宋体" w:eastAsia="宋体" w:cs="宋体"/>
          <w:color w:val="000000" w:themeColor="text1"/>
          <w:sz w:val="21"/>
          <w:szCs w:val="21"/>
        </w:rPr>
        <w:t>日内完成设备的安装调试。</w:t>
      </w:r>
    </w:p>
    <w:p w14:paraId="14C4418E">
      <w:pPr>
        <w:spacing w:line="44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1.3中标供应商须保证中标后所提供的设备为原装、全新合格的产品</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且原装进口产品生产日期与交货日期差值≤12个月；国产产品生产日期与交货日期差值≤3个月。</w:t>
      </w:r>
    </w:p>
    <w:p w14:paraId="33B4285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1.5验收方式：按《小榄镇</w:t>
      </w:r>
      <w:r>
        <w:rPr>
          <w:rFonts w:hint="eastAsia" w:ascii="宋体" w:hAnsi="宋体" w:eastAsia="宋体" w:cs="宋体"/>
          <w:color w:val="000000" w:themeColor="text1"/>
          <w:sz w:val="21"/>
          <w:szCs w:val="21"/>
          <w:lang w:eastAsia="zh-CN"/>
        </w:rPr>
        <w:t>公立</w:t>
      </w:r>
      <w:r>
        <w:rPr>
          <w:rFonts w:hint="eastAsia" w:ascii="宋体" w:hAnsi="宋体" w:eastAsia="宋体" w:cs="宋体"/>
          <w:color w:val="000000" w:themeColor="text1"/>
          <w:sz w:val="21"/>
          <w:szCs w:val="21"/>
        </w:rPr>
        <w:t>医院</w:t>
      </w:r>
      <w:r>
        <w:rPr>
          <w:rFonts w:hint="eastAsia" w:ascii="宋体" w:hAnsi="宋体" w:eastAsia="宋体" w:cs="宋体"/>
          <w:color w:val="000000" w:themeColor="text1"/>
          <w:sz w:val="21"/>
          <w:szCs w:val="21"/>
          <w:lang w:eastAsia="zh-CN"/>
        </w:rPr>
        <w:t>政府</w:t>
      </w:r>
      <w:r>
        <w:rPr>
          <w:rFonts w:hint="eastAsia" w:ascii="宋体" w:hAnsi="宋体" w:eastAsia="宋体" w:cs="宋体"/>
          <w:color w:val="000000" w:themeColor="text1"/>
          <w:sz w:val="21"/>
          <w:szCs w:val="21"/>
        </w:rPr>
        <w:t>采购和验收</w:t>
      </w:r>
      <w:r>
        <w:rPr>
          <w:rFonts w:hint="eastAsia" w:ascii="宋体" w:hAnsi="宋体" w:eastAsia="宋体" w:cs="宋体"/>
          <w:color w:val="000000" w:themeColor="text1"/>
          <w:sz w:val="21"/>
          <w:szCs w:val="21"/>
          <w:lang w:eastAsia="zh-CN"/>
        </w:rPr>
        <w:t>办法</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和《中山市小榄人民医院医疗设备验收管理制度》</w:t>
      </w:r>
      <w:r>
        <w:rPr>
          <w:rFonts w:hint="eastAsia" w:ascii="宋体" w:hAnsi="宋体" w:eastAsia="宋体" w:cs="宋体"/>
          <w:color w:val="000000" w:themeColor="text1"/>
          <w:sz w:val="21"/>
          <w:szCs w:val="21"/>
        </w:rPr>
        <w:t>。</w:t>
      </w:r>
    </w:p>
    <w:p w14:paraId="37607C9E">
      <w:pPr>
        <w:spacing w:line="44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供应商须在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文件提供</w:t>
      </w:r>
      <w:r>
        <w:rPr>
          <w:rFonts w:hint="eastAsia" w:ascii="宋体" w:hAnsi="宋体" w:eastAsia="宋体" w:cs="宋体"/>
          <w:color w:val="auto"/>
          <w:sz w:val="21"/>
          <w:szCs w:val="21"/>
          <w:highlight w:val="none"/>
          <w:lang w:val="en-US" w:eastAsia="zh-CN"/>
        </w:rPr>
        <w:t>该项目完整的授权书。</w:t>
      </w:r>
    </w:p>
    <w:p w14:paraId="71BBED5E">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2.售后服务要求</w:t>
      </w:r>
    </w:p>
    <w:p w14:paraId="2B351F45">
      <w:pPr>
        <w:tabs>
          <w:tab w:val="left" w:pos="420"/>
        </w:tabs>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2.1中标供应商必须在中国境内有售后服务机构，并附有售后服务能力说明。</w:t>
      </w:r>
    </w:p>
    <w:p w14:paraId="70FB5255">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★2.2中标供应商须提供设备原厂质保（设备原厂质量保修范围和保修期）至少</w:t>
      </w:r>
      <w:r>
        <w:rPr>
          <w:rFonts w:hint="eastAsia" w:ascii="宋体" w:hAnsi="宋体" w:eastAsia="宋体" w:cs="宋体"/>
          <w:b/>
          <w:bCs/>
          <w:color w:val="auto"/>
          <w:sz w:val="21"/>
          <w:szCs w:val="21"/>
          <w:highlight w:val="yellow"/>
        </w:rPr>
        <w:t>为</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u w:val="single"/>
          <w:lang w:val="en-US" w:eastAsia="zh-CN"/>
        </w:rPr>
        <w:t>1</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rPr>
        <w:t>年。</w:t>
      </w:r>
    </w:p>
    <w:p w14:paraId="34C701EB">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2.3在售后期内，中标供应商在接到用户的维修通知，响应时间为半小时内，工程师到达现场时间为4小时内，排除故障时限为到达现场后8小时内。</w:t>
      </w:r>
    </w:p>
    <w:p w14:paraId="64958E8F">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2.4如果产品故障在检修12小时后仍无法排除，中标供应商应在24小时内提供不低于故障产品规格型号档次的备用产品供采购人使用，直至故障产品修复。</w:t>
      </w:r>
    </w:p>
    <w:p w14:paraId="5ED331B0">
      <w:pPr>
        <w:spacing w:line="440" w:lineRule="exact"/>
        <w:rPr>
          <w:rFonts w:hint="eastAsia" w:ascii="宋体" w:hAnsi="宋体" w:eastAsia="宋体" w:cs="宋体"/>
          <w:b/>
          <w:color w:val="000000" w:themeColor="text1"/>
          <w:sz w:val="21"/>
          <w:szCs w:val="21"/>
        </w:rPr>
      </w:pPr>
    </w:p>
    <w:p w14:paraId="5BC1A48F">
      <w:pPr>
        <w:spacing w:line="440" w:lineRule="exact"/>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b/>
          <w:color w:val="000000" w:themeColor="text1"/>
          <w:sz w:val="21"/>
          <w:szCs w:val="21"/>
        </w:rPr>
        <w:t>3.付款方式</w:t>
      </w:r>
    </w:p>
    <w:p w14:paraId="1BE3E546">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3.1本合同的每笔款项以人民币转账方式支付</w:t>
      </w:r>
      <w:r>
        <w:rPr>
          <w:rFonts w:hint="eastAsia" w:ascii="宋体" w:hAnsi="宋体" w:eastAsia="宋体" w:cs="宋体"/>
          <w:color w:val="000000" w:themeColor="text1"/>
          <w:sz w:val="21"/>
          <w:szCs w:val="21"/>
          <w:lang w:eastAsia="zh-CN"/>
        </w:rPr>
        <w:t>。</w:t>
      </w:r>
    </w:p>
    <w:p w14:paraId="2797CF2D">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3.2</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按合同协议时间提供货物</w:t>
      </w:r>
      <w:r>
        <w:rPr>
          <w:rFonts w:hint="eastAsia" w:ascii="宋体" w:hAnsi="宋体" w:eastAsia="宋体" w:cs="宋体"/>
          <w:color w:val="auto"/>
          <w:sz w:val="21"/>
          <w:szCs w:val="21"/>
          <w:highlight w:val="none"/>
          <w:lang w:val="en-US" w:eastAsia="zh-CN"/>
        </w:rPr>
        <w:t>或服务完成后</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规定的验收人员书面确认验收合格，</w:t>
      </w:r>
      <w:r>
        <w:rPr>
          <w:rFonts w:hint="eastAsia" w:ascii="宋体" w:hAnsi="宋体" w:eastAsia="宋体" w:cs="宋体"/>
          <w:color w:val="auto"/>
          <w:sz w:val="21"/>
          <w:szCs w:val="21"/>
          <w:highlight w:val="none"/>
          <w:lang w:val="en-US" w:eastAsia="zh-CN"/>
        </w:rPr>
        <w:t>中标供应商即</w:t>
      </w:r>
      <w:r>
        <w:rPr>
          <w:rFonts w:hint="eastAsia" w:ascii="宋体" w:hAnsi="宋体" w:eastAsia="宋体" w:cs="宋体"/>
          <w:color w:val="auto"/>
          <w:sz w:val="21"/>
          <w:szCs w:val="21"/>
          <w:highlight w:val="none"/>
        </w:rPr>
        <w:t>开具</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增值税普通发票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确认</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无误后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在收到发票之日起</w:t>
      </w:r>
      <w:r>
        <w:rPr>
          <w:rFonts w:hint="eastAsia" w:ascii="宋体" w:hAnsi="宋体" w:eastAsia="宋体" w:cs="宋体"/>
          <w:color w:val="auto"/>
          <w:sz w:val="21"/>
          <w:szCs w:val="21"/>
          <w:highlight w:val="none"/>
          <w:u w:val="single"/>
          <w:lang w:val="en-US" w:eastAsia="zh-CN"/>
        </w:rPr>
        <w:t xml:space="preserve"> 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支付合同总金额的</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5%</w:t>
      </w:r>
      <w:r>
        <w:rPr>
          <w:rFonts w:hint="eastAsia" w:ascii="宋体" w:hAnsi="宋体" w:eastAsia="宋体" w:cs="宋体"/>
          <w:color w:val="000000" w:themeColor="text1"/>
          <w:sz w:val="21"/>
          <w:szCs w:val="21"/>
        </w:rPr>
        <w:t>；合同总金额的5%</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作为第二期款项，</w:t>
      </w:r>
      <w:r>
        <w:rPr>
          <w:rFonts w:hint="eastAsia" w:ascii="宋体" w:hAnsi="宋体" w:eastAsia="宋体" w:cs="宋体"/>
          <w:color w:val="000000" w:themeColor="text1"/>
          <w:sz w:val="21"/>
          <w:szCs w:val="21"/>
        </w:rPr>
        <w:t>在</w:t>
      </w:r>
      <w:r>
        <w:rPr>
          <w:rFonts w:hint="eastAsia" w:ascii="宋体" w:hAnsi="宋体" w:eastAsia="宋体" w:cs="宋体"/>
          <w:color w:val="000000" w:themeColor="text1"/>
          <w:sz w:val="21"/>
          <w:szCs w:val="21"/>
          <w:highlight w:val="yellow"/>
          <w:u w:val="single"/>
          <w:lang w:val="en-US" w:eastAsia="zh-CN"/>
        </w:rPr>
        <w:t xml:space="preserve"> 质保期满</w:t>
      </w:r>
      <w:r>
        <w:rPr>
          <w:rFonts w:hint="eastAsia" w:ascii="宋体" w:hAnsi="宋体" w:eastAsia="宋体" w:cs="宋体"/>
          <w:color w:val="000000" w:themeColor="text1"/>
          <w:sz w:val="21"/>
          <w:szCs w:val="21"/>
        </w:rPr>
        <w:t>后一次性无息</w:t>
      </w:r>
      <w:r>
        <w:rPr>
          <w:rFonts w:hint="eastAsia" w:ascii="宋体" w:hAnsi="宋体" w:eastAsia="宋体" w:cs="宋体"/>
          <w:color w:val="000000" w:themeColor="text1"/>
          <w:sz w:val="21"/>
          <w:szCs w:val="21"/>
          <w:lang w:val="en-US" w:eastAsia="zh-CN"/>
        </w:rPr>
        <w:t>支付</w:t>
      </w:r>
      <w:r>
        <w:rPr>
          <w:rFonts w:hint="eastAsia" w:ascii="宋体" w:hAnsi="宋体" w:eastAsia="宋体" w:cs="宋体"/>
          <w:color w:val="000000" w:themeColor="text1"/>
          <w:sz w:val="21"/>
          <w:szCs w:val="21"/>
        </w:rPr>
        <w:t>。</w:t>
      </w:r>
    </w:p>
    <w:p w14:paraId="2BA2B841">
      <w:pPr>
        <w:pStyle w:val="4"/>
        <w:rPr>
          <w:rFonts w:hint="eastAsia" w:ascii="宋体" w:hAnsi="宋体" w:eastAsia="宋体" w:cs="宋体"/>
          <w:sz w:val="21"/>
          <w:szCs w:val="21"/>
        </w:rPr>
      </w:pPr>
    </w:p>
    <w:p w14:paraId="764DAB56">
      <w:pPr>
        <w:numPr>
          <w:ilvl w:val="0"/>
          <w:numId w:val="0"/>
        </w:numPr>
        <w:ind w:leftChars="0"/>
        <w:rPr>
          <w:rFonts w:hint="eastAsia" w:ascii="宋体" w:hAnsi="宋体" w:eastAsia="宋体" w:cs="宋体"/>
          <w:b/>
          <w:color w:val="0000FF"/>
          <w:sz w:val="21"/>
          <w:szCs w:val="21"/>
          <w:lang w:val="en-US" w:eastAsia="zh-CN"/>
        </w:rPr>
      </w:pPr>
      <w:r>
        <w:rPr>
          <w:rFonts w:hint="eastAsia" w:ascii="宋体" w:hAnsi="宋体" w:eastAsia="宋体" w:cs="宋体"/>
          <w:b/>
          <w:color w:val="0000FF"/>
          <w:sz w:val="21"/>
          <w:szCs w:val="21"/>
          <w:lang w:val="en-US" w:eastAsia="zh-CN"/>
        </w:rPr>
        <w:t>五、其他商务要求</w:t>
      </w:r>
    </w:p>
    <w:p w14:paraId="5148A802">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投标人须对本项目的采购标的进行整体投标，任何只对本项目采购标的其中一部分内容、数量进行的投标都被视为无效投标。</w:t>
      </w:r>
    </w:p>
    <w:p w14:paraId="6936D876">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投标人应分别列明该项目所有设备的总报价和分项报价。</w:t>
      </w:r>
    </w:p>
    <w:p w14:paraId="60E1B4C6">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2AB417DF">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投标人同意采购人以任何形式对其投标文件内容及采购人认为有必要的相关资料的真实性和有效性进行审查、验证。</w:t>
      </w:r>
      <w:r>
        <w:rPr>
          <w:rFonts w:hint="eastAsia" w:ascii="宋体" w:hAnsi="宋体" w:eastAsia="宋体" w:cs="宋体"/>
          <w:color w:val="000000" w:themeColor="text1"/>
          <w:sz w:val="21"/>
          <w:szCs w:val="21"/>
        </w:rPr>
        <w:t xml:space="preserve"> </w:t>
      </w:r>
    </w:p>
    <w:p w14:paraId="324667E4">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75B86E5A"/>
    <w:multiLevelType w:val="singleLevel"/>
    <w:tmpl w:val="75B86E5A"/>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43097C"/>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98567D"/>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Table Text"/>
    <w:basedOn w:val="1"/>
    <w:semiHidden/>
    <w:qFormat/>
    <w:uiPriority w:val="0"/>
    <w:rPr>
      <w:rFonts w:ascii="宋体" w:hAnsi="宋体" w:eastAsia="宋体" w:cs="宋体"/>
      <w:sz w:val="18"/>
      <w:szCs w:val="18"/>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3604</Words>
  <Characters>3743</Characters>
  <Lines>5</Lines>
  <Paragraphs>1</Paragraphs>
  <TotalTime>0</TotalTime>
  <ScaleCrop>false</ScaleCrop>
  <LinksUpToDate>false</LinksUpToDate>
  <CharactersWithSpaces>3816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2026-04-11T07:55:28Z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