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0BC251B">
      <w:pPr>
        <w:spacing w:line="440" w:lineRule="exact"/>
        <w:jc w:val="both"/>
        <w:rPr>
          <w:rFonts w:hint="eastAsia"/>
          <w:b/>
          <w:sz w:val="32"/>
          <w:szCs w:val="32"/>
        </w:rPr>
      </w:pPr>
      <w:bookmarkStart w:id="0" w:name="_GoBack"/>
      <w:bookmarkEnd w:id="0"/>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71EC5A6">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总则：</w:t>
      </w:r>
    </w:p>
    <w:p w14:paraId="6C9A8D54">
      <w:pPr>
        <w:numPr>
          <w:ilvl w:val="0"/>
          <w:numId w:val="5"/>
        </w:numPr>
        <w:spacing w:line="440" w:lineRule="exact"/>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中标服务费、售后服务、</w:t>
      </w:r>
      <w:r>
        <w:rPr>
          <w:sz w:val="21"/>
          <w:highlight w:val="yellow"/>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负责相关费用，采购人将不再支付任何费用。</w:t>
      </w:r>
    </w:p>
    <w:p w14:paraId="3BDC6051">
      <w:pPr>
        <w:pStyle w:val="4"/>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中凡有“★”标识的内容条款为关键条款，</w:t>
      </w:r>
      <w:r>
        <w:rPr>
          <w:rFonts w:hint="eastAsia" w:ascii="宋体" w:hAnsi="宋体" w:eastAsia="宋体" w:cs="宋体"/>
          <w:color w:val="000000" w:themeColor="text1"/>
          <w:sz w:val="21"/>
          <w:szCs w:val="21"/>
          <w:lang w:eastAsia="zh-CN"/>
        </w:rPr>
        <w:t>投标人</w:t>
      </w:r>
      <w:r>
        <w:rPr>
          <w:rFonts w:hint="eastAsia" w:ascii="宋体" w:hAnsi="宋体" w:eastAsia="宋体" w:cs="宋体"/>
          <w:color w:val="000000" w:themeColor="text1"/>
          <w:sz w:val="21"/>
          <w:szCs w:val="21"/>
        </w:rPr>
        <w:t>必须对此作出回答并完全满足这些要求不可以出现任何负偏离，对这些关键条款的任何负偏离将视为无效投标。</w:t>
      </w:r>
    </w:p>
    <w:p w14:paraId="29457C8E">
      <w:pPr>
        <w:pStyle w:val="4"/>
        <w:numPr>
          <w:ilvl w:val="0"/>
          <w:numId w:val="5"/>
        </w:numPr>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00" w:themeColor="text1"/>
          <w:sz w:val="21"/>
          <w:szCs w:val="21"/>
        </w:rPr>
        <w:t>加注“▲”的内容为重点评标项目，</w:t>
      </w:r>
      <w:r>
        <w:rPr>
          <w:rFonts w:hint="eastAsia" w:ascii="宋体" w:hAnsi="宋体" w:eastAsia="宋体" w:cs="宋体"/>
          <w:color w:val="000000" w:themeColor="text1"/>
          <w:sz w:val="21"/>
          <w:szCs w:val="21"/>
          <w:lang w:eastAsia="zh-CN"/>
        </w:rPr>
        <w:t>投标人</w:t>
      </w:r>
      <w:r>
        <w:rPr>
          <w:rFonts w:hint="eastAsia" w:ascii="宋体" w:hAnsi="宋体" w:eastAsia="宋体" w:cs="宋体"/>
          <w:color w:val="000000" w:themeColor="text1"/>
          <w:sz w:val="21"/>
          <w:szCs w:val="21"/>
        </w:rPr>
        <w:t>必须对该标识项目按照要求进行真实应答描述。但不作为无效投标条款。</w:t>
      </w:r>
    </w:p>
    <w:p w14:paraId="06A8483C">
      <w:pPr>
        <w:pStyle w:val="4"/>
        <w:numPr>
          <w:ilvl w:val="0"/>
          <w:numId w:val="5"/>
        </w:numPr>
        <w:rPr>
          <w:rFonts w:hint="eastAsia" w:ascii="宋体" w:hAnsi="宋体" w:eastAsia="宋体" w:cs="宋体"/>
          <w:color w:val="000000" w:themeColor="text1"/>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投标人所投设备如属于医疗器械设备</w:t>
      </w:r>
      <w:r>
        <w:rPr>
          <w:rFonts w:hint="eastAsia" w:ascii="宋体" w:hAnsi="宋体" w:eastAsia="宋体" w:cs="宋体"/>
          <w:color w:val="0000FF"/>
          <w:kern w:val="2"/>
          <w:sz w:val="21"/>
          <w:szCs w:val="21"/>
          <w:lang w:val="en-US" w:eastAsia="zh-CN" w:bidi="ar-SA"/>
        </w:rPr>
        <w:t>（含医用耗材）</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应该符合《医疗器械经营质量管理规范》和《医疗器械监督管理条例》规定，并结合本项目特性提供</w:t>
      </w:r>
      <w:r>
        <w:rPr>
          <w:rFonts w:hint="eastAsia" w:ascii="宋体" w:hAnsi="宋体" w:eastAsia="宋体" w:cs="宋体"/>
          <w:color w:val="0000FF"/>
          <w:sz w:val="21"/>
          <w:szCs w:val="21"/>
          <w:highlight w:val="none"/>
          <w:lang w:val="en-US" w:eastAsia="zh-CN"/>
        </w:rPr>
        <w:t>设备或耗材的</w:t>
      </w:r>
      <w:r>
        <w:rPr>
          <w:rFonts w:hint="eastAsia" w:ascii="宋体" w:hAnsi="宋体" w:eastAsia="宋体" w:cs="宋体"/>
          <w:color w:val="auto"/>
          <w:sz w:val="21"/>
          <w:szCs w:val="21"/>
          <w:highlight w:val="none"/>
        </w:rPr>
        <w:t>有效医疗器械注册</w:t>
      </w:r>
      <w:r>
        <w:rPr>
          <w:rFonts w:hint="eastAsia" w:ascii="宋体" w:hAnsi="宋体" w:eastAsia="宋体" w:cs="宋体"/>
          <w:color w:val="auto"/>
          <w:sz w:val="21"/>
          <w:szCs w:val="21"/>
          <w:highlight w:val="none"/>
          <w:lang w:val="en-US" w:eastAsia="zh-CN"/>
        </w:rPr>
        <w:t>证或</w:t>
      </w:r>
      <w:r>
        <w:rPr>
          <w:rFonts w:hint="eastAsia" w:ascii="宋体" w:hAnsi="宋体" w:eastAsia="宋体" w:cs="宋体"/>
          <w:color w:val="auto"/>
          <w:sz w:val="21"/>
          <w:szCs w:val="21"/>
          <w:highlight w:val="none"/>
        </w:rPr>
        <w:t>备案证明材料和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的经营许可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备案证明材料</w:t>
      </w:r>
      <w:r>
        <w:rPr>
          <w:rFonts w:hint="eastAsia" w:ascii="宋体" w:hAnsi="宋体" w:eastAsia="宋体" w:cs="宋体"/>
          <w:color w:val="auto"/>
          <w:kern w:val="2"/>
          <w:sz w:val="21"/>
          <w:szCs w:val="21"/>
          <w:lang w:val="en-US" w:eastAsia="zh-CN" w:bidi="ar-SA"/>
        </w:rPr>
        <w:t>（提供证明材料复印件加盖公章）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所投设备</w:t>
      </w:r>
      <w:r>
        <w:rPr>
          <w:rFonts w:hint="eastAsia" w:ascii="宋体" w:hAnsi="宋体" w:eastAsia="宋体" w:cs="宋体"/>
          <w:color w:val="0000FF"/>
          <w:kern w:val="2"/>
          <w:sz w:val="21"/>
          <w:szCs w:val="21"/>
          <w:lang w:val="en-US" w:eastAsia="zh-CN" w:bidi="ar-SA"/>
        </w:rPr>
        <w:t>（含医用耗材）</w:t>
      </w:r>
      <w:r>
        <w:rPr>
          <w:rFonts w:hint="eastAsia" w:ascii="宋体" w:hAnsi="宋体" w:eastAsia="宋体" w:cs="宋体"/>
          <w:color w:val="auto"/>
          <w:kern w:val="2"/>
          <w:sz w:val="21"/>
          <w:szCs w:val="21"/>
          <w:lang w:val="en-US" w:eastAsia="zh-CN" w:bidi="ar-SA"/>
        </w:rPr>
        <w:t>必须是在医疗器械注册证或备案证明有效期内生产的产品。不属于医疗器械设备无须提供医疗器械注册证或备案证。</w:t>
      </w:r>
    </w:p>
    <w:p w14:paraId="6DD31A32">
      <w:pPr>
        <w:pStyle w:val="4"/>
        <w:numPr>
          <w:ilvl w:val="0"/>
          <w:numId w:val="5"/>
        </w:num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2"/>
          <w:sz w:val="21"/>
          <w:szCs w:val="21"/>
          <w:lang w:val="en-US" w:eastAsia="zh-CN" w:bidi="ar-SA"/>
        </w:rPr>
        <w:t>本文的“质保期”是指中标标的物经约定的验收机构完成验收之日起算，截至</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承</w:t>
      </w:r>
      <w:r>
        <w:rPr>
          <w:rFonts w:hint="eastAsia" w:ascii="宋体" w:hAnsi="宋体" w:eastAsia="宋体" w:cs="宋体"/>
          <w:color w:val="000000" w:themeColor="text1"/>
          <w:sz w:val="21"/>
          <w:szCs w:val="21"/>
          <w:highlight w:val="none"/>
        </w:rPr>
        <w:t>诺的期限。</w:t>
      </w:r>
    </w:p>
    <w:p w14:paraId="2B9D2695">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项目名称</w:t>
            </w:r>
          </w:p>
        </w:tc>
        <w:tc>
          <w:tcPr>
            <w:tcW w:w="2268" w:type="dxa"/>
          </w:tcPr>
          <w:p w14:paraId="15D6B59C">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需求科室/部门</w:t>
            </w:r>
          </w:p>
        </w:tc>
        <w:tc>
          <w:tcPr>
            <w:tcW w:w="2508" w:type="dxa"/>
          </w:tcPr>
          <w:p w14:paraId="67829918">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w:t>
            </w:r>
            <w:r>
              <w:rPr>
                <w:rFonts w:hint="eastAsia" w:ascii="宋体" w:hAnsi="宋体" w:eastAsia="宋体" w:cs="宋体"/>
                <w:color w:val="FF0000"/>
                <w:sz w:val="21"/>
                <w:szCs w:val="21"/>
                <w:highlight w:val="none"/>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电动产床</w:t>
            </w:r>
          </w:p>
        </w:tc>
        <w:tc>
          <w:tcPr>
            <w:tcW w:w="2268" w:type="dxa"/>
          </w:tcPr>
          <w:p w14:paraId="29F1C941">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产房</w:t>
            </w:r>
          </w:p>
        </w:tc>
        <w:tc>
          <w:tcPr>
            <w:tcW w:w="2508" w:type="dxa"/>
          </w:tcPr>
          <w:p w14:paraId="5937043E">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r>
    </w:tbl>
    <w:p w14:paraId="26B12F7A">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核心产品：</w:t>
      </w:r>
      <w:r>
        <w:rPr>
          <w:rFonts w:hint="eastAsia" w:ascii="宋体" w:hAnsi="宋体" w:eastAsia="宋体" w:cs="宋体"/>
          <w:color w:val="000000" w:themeColor="text1"/>
          <w:sz w:val="21"/>
          <w:szCs w:val="21"/>
          <w:highlight w:val="none"/>
          <w:lang w:val="en-US" w:eastAsia="zh-CN"/>
        </w:rPr>
        <w:t>电动产床</w:t>
      </w:r>
    </w:p>
    <w:p w14:paraId="2A29200A">
      <w:pPr>
        <w:spacing w:line="440" w:lineRule="exact"/>
        <w:rPr>
          <w:rFonts w:hint="eastAsia" w:ascii="宋体" w:hAnsi="宋体" w:cs="宋体" w:eastAsiaTheme="minorEastAsia"/>
          <w:color w:val="000000" w:themeColor="text1"/>
          <w:sz w:val="21"/>
          <w:szCs w:val="21"/>
          <w:highlight w:val="none"/>
          <w:lang w:eastAsia="zh-CN"/>
        </w:rPr>
      </w:pPr>
      <w:r>
        <w:rPr>
          <w:rFonts w:hint="eastAsia" w:ascii="宋体" w:hAnsi="宋体" w:eastAsia="宋体" w:cs="宋体"/>
          <w:color w:val="000000" w:themeColor="text1"/>
          <w:sz w:val="21"/>
          <w:szCs w:val="21"/>
          <w:highlight w:val="none"/>
        </w:rPr>
        <w:t>用途：</w:t>
      </w:r>
      <w:r>
        <w:rPr>
          <w:rFonts w:ascii="Arial" w:hAnsi="Arial" w:eastAsia="Arial" w:cs="Arial"/>
          <w:spacing w:val="1"/>
          <w:highlight w:val="none"/>
        </w:rPr>
        <w:t xml:space="preserve"> </w:t>
      </w:r>
      <w:r>
        <w:rPr>
          <w:spacing w:val="1"/>
          <w:highlight w:val="none"/>
        </w:rPr>
        <w:t>待产、分娩、手术、复苏、治疗、转运多功能一体</w:t>
      </w:r>
      <w:r>
        <w:rPr>
          <w:rFonts w:hint="eastAsia"/>
          <w:spacing w:val="1"/>
          <w:highlight w:val="none"/>
          <w:lang w:eastAsia="zh-CN"/>
        </w:rPr>
        <w:t>。</w:t>
      </w:r>
    </w:p>
    <w:p w14:paraId="247ACE54">
      <w:pPr>
        <w:spacing w:line="440" w:lineRule="exact"/>
        <w:rPr>
          <w:rFonts w:hint="eastAsia" w:ascii="宋体" w:hAnsi="宋体" w:eastAsia="宋体" w:cs="宋体"/>
          <w:b/>
          <w:color w:val="000000" w:themeColor="text1"/>
          <w:sz w:val="21"/>
          <w:szCs w:val="21"/>
          <w:highlight w:val="none"/>
        </w:rPr>
      </w:pPr>
    </w:p>
    <w:p w14:paraId="426AD8A4">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技术参数：</w:t>
      </w:r>
    </w:p>
    <w:p w14:paraId="3D7B5E3B">
      <w:pPr>
        <w:pStyle w:val="4"/>
        <w:numPr>
          <w:ilvl w:val="0"/>
          <w:numId w:val="6"/>
        </w:numPr>
        <w:spacing w:before="72" w:line="219" w:lineRule="auto"/>
        <w:ind w:left="425" w:leftChars="0" w:hanging="425" w:firstLineChars="0"/>
        <w:rPr>
          <w:spacing w:val="-1"/>
        </w:rPr>
      </w:pPr>
      <w:r>
        <w:rPr>
          <w:spacing w:val="-1"/>
        </w:rPr>
        <w:t>坐板、背板、接生辅助台三组一体化结构设计。</w:t>
      </w:r>
    </w:p>
    <w:p w14:paraId="00E90DF3">
      <w:pPr>
        <w:pStyle w:val="4"/>
        <w:numPr>
          <w:ilvl w:val="0"/>
          <w:numId w:val="6"/>
        </w:numPr>
        <w:spacing w:before="72" w:line="219" w:lineRule="auto"/>
        <w:ind w:left="425" w:leftChars="0" w:hanging="425" w:firstLineChars="0"/>
        <w:rPr>
          <w:spacing w:val="-1"/>
        </w:rPr>
      </w:pPr>
      <w:r>
        <w:rPr>
          <w:spacing w:val="-1"/>
        </w:rPr>
        <w:t>待产、分娩、手术、复苏、治疗、转运多功能一体。</w:t>
      </w:r>
    </w:p>
    <w:p w14:paraId="635234D4">
      <w:pPr>
        <w:pStyle w:val="4"/>
        <w:numPr>
          <w:ilvl w:val="0"/>
          <w:numId w:val="6"/>
        </w:numPr>
        <w:spacing w:before="72" w:line="219" w:lineRule="auto"/>
        <w:ind w:left="425" w:leftChars="0" w:hanging="425" w:firstLineChars="0"/>
        <w:rPr>
          <w:spacing w:val="-1"/>
        </w:rPr>
      </w:pPr>
      <w:r>
        <w:rPr>
          <w:spacing w:val="-1"/>
        </w:rPr>
        <w:t>四电机动力驱动</w:t>
      </w:r>
      <w:r>
        <w:rPr>
          <w:rFonts w:hint="eastAsia"/>
          <w:color w:val="FF0000"/>
          <w:spacing w:val="-1"/>
          <w:lang w:eastAsia="zh-CN"/>
        </w:rPr>
        <w:t>（</w:t>
      </w:r>
      <w:r>
        <w:rPr>
          <w:color w:val="FF0000"/>
          <w:spacing w:val="-1"/>
        </w:rPr>
        <w:t>无任何液压部件</w:t>
      </w:r>
      <w:r>
        <w:rPr>
          <w:rFonts w:hint="eastAsia"/>
          <w:color w:val="FF0000"/>
          <w:spacing w:val="-1"/>
          <w:lang w:eastAsia="zh-CN"/>
        </w:rPr>
        <w:t>）</w:t>
      </w:r>
      <w:r>
        <w:rPr>
          <w:spacing w:val="-1"/>
        </w:rPr>
        <w:t>。</w:t>
      </w:r>
      <w:r>
        <w:rPr>
          <w:rFonts w:hint="eastAsia"/>
          <w:color w:val="FF0000"/>
          <w:spacing w:val="-1"/>
          <w:lang w:val="en-US" w:eastAsia="zh-CN"/>
        </w:rPr>
        <w:t>（？？）</w:t>
      </w:r>
    </w:p>
    <w:p w14:paraId="6365901C">
      <w:pPr>
        <w:pStyle w:val="4"/>
        <w:numPr>
          <w:ilvl w:val="0"/>
          <w:numId w:val="6"/>
        </w:numPr>
        <w:spacing w:before="72" w:line="219" w:lineRule="auto"/>
        <w:ind w:left="425" w:leftChars="0" w:hanging="425" w:firstLineChars="0"/>
        <w:rPr>
          <w:spacing w:val="-1"/>
        </w:rPr>
      </w:pPr>
      <w:r>
        <w:rPr>
          <w:spacing w:val="-1"/>
        </w:rPr>
        <w:t>四方向电动调节：整体升降、倾斜、背板升降、腿板升降。</w:t>
      </w:r>
    </w:p>
    <w:p w14:paraId="7586FB62">
      <w:pPr>
        <w:pStyle w:val="4"/>
        <w:numPr>
          <w:ilvl w:val="0"/>
          <w:numId w:val="6"/>
        </w:numPr>
        <w:spacing w:before="72" w:line="219" w:lineRule="auto"/>
        <w:ind w:left="425" w:leftChars="0" w:hanging="425" w:firstLineChars="0"/>
        <w:rPr>
          <w:spacing w:val="-1"/>
        </w:rPr>
      </w:pPr>
      <w:r>
        <w:rPr>
          <w:spacing w:val="-1"/>
        </w:rPr>
        <w:t>各方向动力推杆内置带有安全保护</w:t>
      </w:r>
      <w:r>
        <w:rPr>
          <w:rFonts w:hint="eastAsia"/>
          <w:spacing w:val="-1"/>
          <w:lang w:val="en-US" w:eastAsia="zh-CN"/>
        </w:rPr>
        <w:t>螺帽</w:t>
      </w:r>
      <w:r>
        <w:rPr>
          <w:spacing w:val="-1"/>
        </w:rPr>
        <w:t>。</w:t>
      </w:r>
    </w:p>
    <w:p w14:paraId="0DBC058A">
      <w:pPr>
        <w:pStyle w:val="4"/>
        <w:numPr>
          <w:ilvl w:val="0"/>
          <w:numId w:val="6"/>
        </w:numPr>
        <w:spacing w:before="72" w:line="219" w:lineRule="auto"/>
        <w:ind w:left="425" w:leftChars="0" w:hanging="425" w:firstLineChars="0"/>
        <w:rPr>
          <w:rFonts w:hint="eastAsia"/>
          <w:spacing w:val="-1"/>
          <w:lang w:val="en-US" w:eastAsia="zh-CN"/>
        </w:rPr>
      </w:pPr>
      <w:r>
        <w:rPr>
          <w:spacing w:val="-1"/>
        </w:rPr>
        <w:t>床</w:t>
      </w:r>
      <w:r>
        <w:rPr>
          <w:spacing w:val="-1"/>
          <w:lang w:val="en-US" w:eastAsia="zh-CN"/>
        </w:rPr>
        <w:t>总长：</w:t>
      </w:r>
      <w:r>
        <w:rPr>
          <w:rFonts w:hint="default"/>
          <w:color w:val="FF0000"/>
          <w:spacing w:val="-1"/>
          <w:lang w:val="en-US" w:eastAsia="zh-CN"/>
        </w:rPr>
        <w:t>≥</w:t>
      </w:r>
      <w:r>
        <w:rPr>
          <w:rFonts w:hint="eastAsia"/>
          <w:color w:val="FF0000"/>
          <w:spacing w:val="-1"/>
          <w:lang w:val="en-US" w:eastAsia="zh-CN"/>
        </w:rPr>
        <w:t>1850</w:t>
      </w:r>
      <w:r>
        <w:rPr>
          <w:color w:val="FF0000"/>
          <w:spacing w:val="-1"/>
          <w:lang w:val="en-US" w:eastAsia="zh-CN"/>
        </w:rPr>
        <w:t>mm</w:t>
      </w:r>
      <w:r>
        <w:rPr>
          <w:rFonts w:hint="eastAsia"/>
          <w:color w:val="FF0000"/>
          <w:spacing w:val="-1"/>
          <w:lang w:val="en-US" w:eastAsia="zh-CN"/>
        </w:rPr>
        <w:t>，</w:t>
      </w:r>
      <w:r>
        <w:rPr>
          <w:rFonts w:hint="eastAsia"/>
          <w:spacing w:val="-1"/>
          <w:lang w:val="en-US" w:eastAsia="zh-CN"/>
        </w:rPr>
        <w:t>宽度：</w:t>
      </w:r>
      <w:r>
        <w:rPr>
          <w:rFonts w:hint="default"/>
          <w:spacing w:val="-1"/>
          <w:lang w:val="en-US" w:eastAsia="zh-CN"/>
        </w:rPr>
        <w:t>≥</w:t>
      </w:r>
      <w:r>
        <w:rPr>
          <w:rFonts w:hint="eastAsia"/>
          <w:spacing w:val="-1"/>
          <w:lang w:val="en-US" w:eastAsia="zh-CN"/>
        </w:rPr>
        <w:t xml:space="preserve">660mm；  </w:t>
      </w:r>
      <w:r>
        <w:rPr>
          <w:rFonts w:hint="eastAsia"/>
          <w:color w:val="FF0000"/>
          <w:spacing w:val="-1"/>
          <w:lang w:val="en-US" w:eastAsia="zh-CN"/>
        </w:rPr>
        <w:t>（？？）</w:t>
      </w:r>
    </w:p>
    <w:p w14:paraId="3FB70D88">
      <w:pPr>
        <w:pStyle w:val="4"/>
        <w:numPr>
          <w:ilvl w:val="0"/>
          <w:numId w:val="6"/>
        </w:numPr>
        <w:spacing w:before="72" w:line="219" w:lineRule="auto"/>
        <w:ind w:left="425" w:leftChars="0" w:hanging="425" w:firstLineChars="0"/>
        <w:rPr>
          <w:rFonts w:hint="eastAsia"/>
          <w:spacing w:val="-1"/>
          <w:lang w:eastAsia="zh-CN"/>
        </w:rPr>
      </w:pPr>
      <w:r>
        <w:rPr>
          <w:rFonts w:hint="eastAsia"/>
          <w:spacing w:val="-1"/>
          <w:lang w:val="en-US" w:eastAsia="zh-CN"/>
        </w:rPr>
        <w:t>高度：770～1020mm（±10㎜）电动控制</w:t>
      </w:r>
      <w:r>
        <w:rPr>
          <w:rFonts w:hint="eastAsia"/>
          <w:spacing w:val="-1"/>
        </w:rPr>
        <w:t>。</w:t>
      </w:r>
    </w:p>
    <w:p w14:paraId="474E912D">
      <w:pPr>
        <w:pStyle w:val="4"/>
        <w:numPr>
          <w:ilvl w:val="0"/>
          <w:numId w:val="6"/>
        </w:numPr>
        <w:spacing w:before="72" w:line="219" w:lineRule="auto"/>
        <w:ind w:left="425" w:leftChars="0" w:hanging="425" w:firstLineChars="0"/>
      </w:pPr>
      <w:r>
        <w:rPr>
          <w:rFonts w:hint="eastAsia"/>
          <w:spacing w:val="-1"/>
          <w:lang w:val="en-US" w:eastAsia="zh-CN"/>
        </w:rPr>
        <w:t>臀</w:t>
      </w:r>
      <w:r>
        <w:rPr>
          <w:spacing w:val="-1"/>
        </w:rPr>
        <w:t>板</w:t>
      </w:r>
      <w:r>
        <w:rPr>
          <w:rFonts w:hint="eastAsia"/>
          <w:spacing w:val="-1"/>
          <w:lang w:eastAsia="zh-CN"/>
        </w:rPr>
        <w:t>（</w:t>
      </w:r>
      <w:r>
        <w:rPr>
          <w:spacing w:val="-1"/>
        </w:rPr>
        <w:t>接生辅助台</w:t>
      </w:r>
      <w:r>
        <w:rPr>
          <w:rFonts w:hint="eastAsia"/>
          <w:spacing w:val="-1"/>
          <w:lang w:eastAsia="zh-CN"/>
        </w:rPr>
        <w:t>）</w:t>
      </w:r>
      <w:r>
        <w:rPr>
          <w:spacing w:val="-1"/>
        </w:rPr>
        <w:t>长度可以在60cm 范围手动伸缩调节， 能在任意位置可靠停止</w:t>
      </w:r>
      <w:r>
        <w:rPr>
          <w:rFonts w:hint="eastAsia"/>
          <w:spacing w:val="-1"/>
          <w:lang w:val="en-US" w:eastAsia="zh-CN"/>
        </w:rPr>
        <w:t>锁定</w:t>
      </w:r>
      <w:r>
        <w:rPr>
          <w:spacing w:val="-1"/>
        </w:rPr>
        <w:t>。</w:t>
      </w:r>
    </w:p>
    <w:p w14:paraId="5FC6D8D7">
      <w:pPr>
        <w:pStyle w:val="4"/>
        <w:numPr>
          <w:ilvl w:val="0"/>
          <w:numId w:val="6"/>
        </w:numPr>
        <w:spacing w:before="72" w:line="219" w:lineRule="auto"/>
        <w:ind w:left="425" w:leftChars="0" w:hanging="425" w:firstLineChars="0"/>
        <w:rPr>
          <w:spacing w:val="-1"/>
        </w:rPr>
      </w:pPr>
      <w:r>
        <w:rPr>
          <w:rFonts w:hint="eastAsia"/>
          <w:spacing w:val="-1"/>
          <w:lang w:val="en-US" w:eastAsia="zh-CN"/>
        </w:rPr>
        <w:t>臀</w:t>
      </w:r>
      <w:r>
        <w:rPr>
          <w:spacing w:val="-1"/>
        </w:rPr>
        <w:t>板</w:t>
      </w:r>
      <w:r>
        <w:rPr>
          <w:rFonts w:hint="eastAsia"/>
          <w:spacing w:val="-1"/>
          <w:lang w:eastAsia="zh-CN"/>
        </w:rPr>
        <w:t>（</w:t>
      </w:r>
      <w:r>
        <w:rPr>
          <w:spacing w:val="-1"/>
        </w:rPr>
        <w:t>接生辅助台</w:t>
      </w:r>
      <w:r>
        <w:rPr>
          <w:rFonts w:hint="eastAsia"/>
          <w:spacing w:val="-1"/>
          <w:lang w:eastAsia="zh-CN"/>
        </w:rPr>
        <w:t>）</w:t>
      </w:r>
      <w:r>
        <w:rPr>
          <w:spacing w:val="-1"/>
        </w:rPr>
        <w:t>高度可以在10cm 范围电动调节升降，可在任意高度位置停止</w:t>
      </w:r>
      <w:r>
        <w:rPr>
          <w:rFonts w:hint="eastAsia"/>
          <w:spacing w:val="-1"/>
          <w:lang w:val="en-US" w:eastAsia="zh-CN"/>
        </w:rPr>
        <w:t>锁定，</w:t>
      </w:r>
      <w:r>
        <w:rPr>
          <w:rFonts w:hint="eastAsia"/>
          <w:spacing w:val="-1"/>
        </w:rPr>
        <w:t>电动控制（0°~ 20°）坐板向后折起以实现臀高位，极大地方便临床操作</w:t>
      </w:r>
      <w:r>
        <w:rPr>
          <w:spacing w:val="-1"/>
        </w:rPr>
        <w:t>。</w:t>
      </w:r>
    </w:p>
    <w:p w14:paraId="3AFABF42">
      <w:pPr>
        <w:pStyle w:val="4"/>
        <w:numPr>
          <w:ilvl w:val="0"/>
          <w:numId w:val="6"/>
        </w:numPr>
        <w:spacing w:before="72" w:line="219" w:lineRule="auto"/>
        <w:ind w:left="425" w:leftChars="0" w:hanging="425" w:firstLineChars="0"/>
        <w:rPr>
          <w:spacing w:val="-1"/>
        </w:rPr>
      </w:pPr>
      <w:r>
        <w:rPr>
          <w:rFonts w:hint="eastAsia"/>
          <w:spacing w:val="-1"/>
        </w:rPr>
        <w:t>座板调节（臀位）：电动控制（0°~ 20°）坐板向后折起以实现臀高位，极大地方便临床操作。</w:t>
      </w:r>
      <w:r>
        <w:rPr>
          <w:spacing w:val="-1"/>
        </w:rPr>
        <w:t xml:space="preserve">   </w:t>
      </w:r>
    </w:p>
    <w:p w14:paraId="1EFA2443">
      <w:pPr>
        <w:pStyle w:val="4"/>
        <w:numPr>
          <w:ilvl w:val="0"/>
          <w:numId w:val="6"/>
        </w:numPr>
        <w:spacing w:before="72" w:line="219" w:lineRule="auto"/>
        <w:ind w:left="425" w:leftChars="0" w:hanging="425" w:firstLineChars="0"/>
        <w:rPr>
          <w:rFonts w:hint="default"/>
          <w:spacing w:val="-1"/>
          <w:lang w:val="en-US" w:eastAsia="zh-CN"/>
        </w:rPr>
      </w:pPr>
      <w:r>
        <w:rPr>
          <w:rFonts w:hint="eastAsia"/>
          <w:spacing w:val="-1"/>
        </w:rPr>
        <w:t>背板调节：电动控制 -8°～60°（±2°）。</w:t>
      </w:r>
    </w:p>
    <w:p w14:paraId="15B6FB50">
      <w:pPr>
        <w:pStyle w:val="4"/>
        <w:numPr>
          <w:ilvl w:val="0"/>
          <w:numId w:val="6"/>
        </w:numPr>
        <w:spacing w:before="72" w:line="219" w:lineRule="auto"/>
        <w:ind w:left="425" w:leftChars="0" w:hanging="425" w:firstLineChars="0"/>
        <w:rPr>
          <w:spacing w:val="-1"/>
        </w:rPr>
      </w:pPr>
      <w:r>
        <w:rPr>
          <w:spacing w:val="-1"/>
        </w:rPr>
        <w:t>床垫为医用复合材料，厚度</w:t>
      </w:r>
      <w:r>
        <w:rPr>
          <w:rFonts w:hint="default"/>
          <w:spacing w:val="-1"/>
          <w:lang w:val="en-US" w:eastAsia="zh-CN"/>
        </w:rPr>
        <w:t>≥</w:t>
      </w:r>
      <w:r>
        <w:rPr>
          <w:spacing w:val="-1"/>
        </w:rPr>
        <w:t>80mm 。床垫内部底基为厚度</w:t>
      </w:r>
      <w:r>
        <w:rPr>
          <w:rFonts w:hint="default"/>
          <w:spacing w:val="-1"/>
          <w:lang w:val="en-US" w:eastAsia="zh-CN"/>
        </w:rPr>
        <w:t>≥</w:t>
      </w:r>
      <w:r>
        <w:rPr>
          <w:spacing w:val="-1"/>
        </w:rPr>
        <w:t>50 mm的高强度 橡胶海绵，上层为厚度</w:t>
      </w:r>
      <w:r>
        <w:rPr>
          <w:rFonts w:hint="default"/>
          <w:spacing w:val="-1"/>
          <w:lang w:val="en-US" w:eastAsia="zh-CN"/>
        </w:rPr>
        <w:t>≥</w:t>
      </w:r>
      <w:r>
        <w:rPr>
          <w:spacing w:val="-1"/>
        </w:rPr>
        <w:t>30mm 的高密度海</w:t>
      </w:r>
      <w:r>
        <w:rPr>
          <w:rFonts w:hint="eastAsia"/>
          <w:spacing w:val="-1"/>
          <w:lang w:val="en-US" w:eastAsia="zh-CN"/>
        </w:rPr>
        <w:t>棉</w:t>
      </w:r>
      <w:r>
        <w:rPr>
          <w:spacing w:val="-1"/>
        </w:rPr>
        <w:t>，表面为符合医学手术标准的复合材料，可常规清洗、擦拭、消毒。</w:t>
      </w:r>
    </w:p>
    <w:p w14:paraId="62CA2753">
      <w:pPr>
        <w:pStyle w:val="4"/>
        <w:numPr>
          <w:ilvl w:val="0"/>
          <w:numId w:val="6"/>
        </w:numPr>
        <w:spacing w:before="72" w:line="219" w:lineRule="auto"/>
        <w:ind w:left="425" w:leftChars="0" w:hanging="425" w:firstLineChars="0"/>
        <w:rPr>
          <w:spacing w:val="-1"/>
        </w:rPr>
      </w:pPr>
      <w:r>
        <w:rPr>
          <w:spacing w:val="-1"/>
        </w:rPr>
        <w:t xml:space="preserve"> 头低脚高位倾斜角度：0-17°</w:t>
      </w:r>
      <w:r>
        <w:rPr>
          <w:rFonts w:hint="eastAsia"/>
          <w:spacing w:val="-1"/>
          <w:lang w:eastAsia="zh-CN"/>
        </w:rPr>
        <w:t>；</w:t>
      </w:r>
      <w:r>
        <w:rPr>
          <w:spacing w:val="-1"/>
        </w:rPr>
        <w:t>头高脚低位倾斜角度：0</w:t>
      </w:r>
      <w:r>
        <w:rPr>
          <w:rFonts w:hint="eastAsia"/>
          <w:spacing w:val="-1"/>
          <w:lang w:val="en-US" w:eastAsia="zh-CN"/>
        </w:rPr>
        <w:t>---  -</w:t>
      </w:r>
      <w:r>
        <w:rPr>
          <w:spacing w:val="-1"/>
        </w:rPr>
        <w:t>5°。</w:t>
      </w:r>
    </w:p>
    <w:p w14:paraId="332F44CF">
      <w:pPr>
        <w:pStyle w:val="4"/>
        <w:numPr>
          <w:ilvl w:val="0"/>
          <w:numId w:val="6"/>
        </w:numPr>
        <w:spacing w:before="72" w:line="219" w:lineRule="auto"/>
        <w:ind w:left="425" w:leftChars="0" w:hanging="425" w:firstLineChars="0"/>
        <w:rPr>
          <w:spacing w:val="-1"/>
        </w:rPr>
      </w:pPr>
      <w:r>
        <w:rPr>
          <w:spacing w:val="-1"/>
        </w:rPr>
        <w:t>护拦可以垂直自由升降收放，不占用操作宽度。</w:t>
      </w:r>
    </w:p>
    <w:p w14:paraId="297505A8">
      <w:pPr>
        <w:pStyle w:val="4"/>
        <w:numPr>
          <w:ilvl w:val="0"/>
          <w:numId w:val="6"/>
        </w:numPr>
        <w:spacing w:before="72" w:line="219" w:lineRule="auto"/>
        <w:ind w:left="425" w:leftChars="0" w:hanging="425" w:firstLineChars="0"/>
        <w:rPr>
          <w:spacing w:val="-1"/>
        </w:rPr>
      </w:pPr>
      <w:r>
        <w:rPr>
          <w:rFonts w:hint="eastAsia"/>
          <w:spacing w:val="-1"/>
        </w:rPr>
        <w:t>搁腿架+脚蹬双配置（360°全方位角度调节转换，更换方便）</w:t>
      </w:r>
      <w:r>
        <w:rPr>
          <w:rFonts w:hint="eastAsia"/>
          <w:spacing w:val="-1"/>
          <w:lang w:eastAsia="zh-CN"/>
        </w:rPr>
        <w:t>。</w:t>
      </w:r>
    </w:p>
    <w:p w14:paraId="1FB29972">
      <w:pPr>
        <w:pStyle w:val="4"/>
        <w:numPr>
          <w:ilvl w:val="0"/>
          <w:numId w:val="6"/>
        </w:numPr>
        <w:spacing w:before="72" w:line="219" w:lineRule="auto"/>
        <w:ind w:left="425" w:leftChars="0" w:hanging="425" w:firstLineChars="0"/>
        <w:rPr>
          <w:spacing w:val="-1"/>
        </w:rPr>
      </w:pPr>
      <w:r>
        <w:rPr>
          <w:spacing w:val="-1"/>
        </w:rPr>
        <w:t>产妇腿托可任意调节大腿开度和角度。</w:t>
      </w:r>
    </w:p>
    <w:p w14:paraId="478B7E00">
      <w:pPr>
        <w:pStyle w:val="4"/>
        <w:numPr>
          <w:ilvl w:val="0"/>
          <w:numId w:val="6"/>
        </w:numPr>
        <w:spacing w:before="72" w:line="219" w:lineRule="auto"/>
        <w:ind w:left="425" w:leftChars="0" w:hanging="425" w:firstLineChars="0"/>
        <w:rPr>
          <w:spacing w:val="-1"/>
        </w:rPr>
      </w:pPr>
      <w:r>
        <w:rPr>
          <w:spacing w:val="-1"/>
        </w:rPr>
        <w:t>脚托方向可调360。并可在150mm 范围上下调节高度。</w:t>
      </w:r>
    </w:p>
    <w:p w14:paraId="257E9C62">
      <w:pPr>
        <w:pStyle w:val="4"/>
        <w:numPr>
          <w:ilvl w:val="0"/>
          <w:numId w:val="6"/>
        </w:numPr>
        <w:spacing w:before="72" w:line="219" w:lineRule="auto"/>
        <w:ind w:left="425" w:leftChars="0" w:hanging="425" w:firstLineChars="0"/>
        <w:rPr>
          <w:spacing w:val="-1"/>
        </w:rPr>
      </w:pPr>
      <w:r>
        <w:rPr>
          <w:spacing w:val="-1"/>
        </w:rPr>
        <w:t xml:space="preserve"> 产妇用力脚蹬、腿托可任意互换使用，无须使用时均可以拆下。</w:t>
      </w:r>
    </w:p>
    <w:p w14:paraId="6A800587">
      <w:pPr>
        <w:pStyle w:val="4"/>
        <w:numPr>
          <w:ilvl w:val="0"/>
          <w:numId w:val="6"/>
        </w:numPr>
        <w:spacing w:before="72" w:line="219" w:lineRule="auto"/>
        <w:ind w:left="425" w:leftChars="0" w:hanging="425" w:firstLineChars="0"/>
        <w:rPr>
          <w:spacing w:val="-1"/>
        </w:rPr>
      </w:pPr>
      <w:r>
        <w:rPr>
          <w:spacing w:val="-1"/>
        </w:rPr>
        <w:t>脚蹬和腿托均为直接插拔方式，方便助产士操作。</w:t>
      </w:r>
    </w:p>
    <w:p w14:paraId="3BBFE297">
      <w:pPr>
        <w:pStyle w:val="4"/>
        <w:numPr>
          <w:ilvl w:val="0"/>
          <w:numId w:val="6"/>
        </w:numPr>
        <w:spacing w:before="72" w:line="219" w:lineRule="auto"/>
        <w:ind w:left="425" w:leftChars="0" w:hanging="425" w:firstLineChars="0"/>
        <w:rPr>
          <w:spacing w:val="-1"/>
        </w:rPr>
      </w:pPr>
      <w:r>
        <w:rPr>
          <w:spacing w:val="-1"/>
        </w:rPr>
        <w:t xml:space="preserve"> 具有产妇用力握力</w:t>
      </w:r>
      <w:r>
        <w:rPr>
          <w:rFonts w:hint="eastAsia"/>
          <w:spacing w:val="-1"/>
          <w:lang w:val="en-US" w:eastAsia="zh-CN"/>
        </w:rPr>
        <w:t>手柄</w:t>
      </w:r>
      <w:r>
        <w:rPr>
          <w:spacing w:val="-1"/>
        </w:rPr>
        <w:t>，可根据产妇臂长任意调节位置并牢固锁定。</w:t>
      </w:r>
    </w:p>
    <w:p w14:paraId="6438B049">
      <w:pPr>
        <w:pStyle w:val="4"/>
        <w:numPr>
          <w:ilvl w:val="0"/>
          <w:numId w:val="6"/>
        </w:numPr>
        <w:spacing w:before="72" w:line="219" w:lineRule="auto"/>
        <w:ind w:left="425" w:leftChars="0" w:hanging="425" w:firstLineChars="0"/>
        <w:rPr>
          <w:spacing w:val="-1"/>
        </w:rPr>
      </w:pPr>
      <w:r>
        <w:rPr>
          <w:rFonts w:hint="eastAsia"/>
          <w:spacing w:val="-1"/>
          <w:lang w:val="en-US" w:eastAsia="zh-CN"/>
        </w:rPr>
        <w:t>脚踏或</w:t>
      </w:r>
      <w:r>
        <w:rPr>
          <w:spacing w:val="-1"/>
        </w:rPr>
        <w:t>手控开关，一键式操作，</w:t>
      </w:r>
      <w:r>
        <w:rPr>
          <w:color w:val="FF0000"/>
          <w:spacing w:val="-1"/>
        </w:rPr>
        <w:t>防水等级IP54。</w:t>
      </w:r>
      <w:r>
        <w:rPr>
          <w:rFonts w:hint="eastAsia"/>
          <w:color w:val="FF0000"/>
          <w:spacing w:val="-1"/>
          <w:lang w:val="en-US" w:eastAsia="zh-CN"/>
        </w:rPr>
        <w:t xml:space="preserve">    （？？</w:t>
      </w:r>
      <w:r>
        <w:rPr>
          <w:rFonts w:ascii="Segoe UI" w:hAnsi="Segoe UI" w:eastAsia="Segoe UI" w:cs="Segoe UI"/>
          <w:i w:val="0"/>
          <w:iCs w:val="0"/>
          <w:caps w:val="0"/>
          <w:color w:val="0F1115"/>
          <w:spacing w:val="0"/>
          <w:sz w:val="22"/>
          <w:szCs w:val="22"/>
          <w:shd w:val="clear" w:fill="FFFFFF"/>
        </w:rPr>
        <w:t>IP66</w:t>
      </w:r>
      <w:r>
        <w:rPr>
          <w:rFonts w:hint="eastAsia"/>
          <w:color w:val="FF0000"/>
          <w:spacing w:val="-1"/>
          <w:lang w:val="en-US" w:eastAsia="zh-CN"/>
        </w:rPr>
        <w:t>）</w:t>
      </w:r>
    </w:p>
    <w:p w14:paraId="68613135">
      <w:pPr>
        <w:pStyle w:val="4"/>
        <w:numPr>
          <w:ilvl w:val="0"/>
          <w:numId w:val="6"/>
        </w:numPr>
        <w:spacing w:before="72" w:line="219" w:lineRule="auto"/>
        <w:ind w:left="425" w:leftChars="0" w:hanging="425" w:firstLineChars="0"/>
        <w:rPr>
          <w:spacing w:val="-1"/>
        </w:rPr>
      </w:pPr>
      <w:r>
        <w:rPr>
          <w:spacing w:val="-1"/>
        </w:rPr>
        <w:t xml:space="preserve">整体倾斜角度范围： </w:t>
      </w:r>
      <w:r>
        <w:rPr>
          <w:rFonts w:hint="eastAsia"/>
          <w:spacing w:val="-1"/>
          <w:lang w:val="en-US" w:eastAsia="zh-CN"/>
        </w:rPr>
        <w:t>-</w:t>
      </w:r>
      <w:r>
        <w:rPr>
          <w:spacing w:val="-1"/>
        </w:rPr>
        <w:t>17°一+5°</w:t>
      </w:r>
      <w:r>
        <w:rPr>
          <w:rFonts w:hint="eastAsia"/>
          <w:spacing w:val="-1"/>
          <w:lang w:eastAsia="zh-CN"/>
        </w:rPr>
        <w:t>（</w:t>
      </w:r>
      <w:r>
        <w:rPr>
          <w:spacing w:val="-1"/>
        </w:rPr>
        <w:t>整体倾斜可实现0.…. ±17。</w:t>
      </w:r>
      <w:r>
        <w:rPr>
          <w:rFonts w:hint="eastAsia"/>
          <w:spacing w:val="-1"/>
          <w:lang w:eastAsia="zh-CN"/>
        </w:rPr>
        <w:t>），</w:t>
      </w:r>
      <w:r>
        <w:rPr>
          <w:spacing w:val="-1"/>
        </w:rPr>
        <w:t>坐板与背板电动配合调整可实现胎头入盆辅助助产动作。</w:t>
      </w:r>
    </w:p>
    <w:p w14:paraId="7A225769">
      <w:pPr>
        <w:pStyle w:val="4"/>
        <w:numPr>
          <w:ilvl w:val="0"/>
          <w:numId w:val="6"/>
        </w:numPr>
        <w:spacing w:before="72" w:line="219" w:lineRule="auto"/>
        <w:ind w:left="425" w:leftChars="0" w:hanging="425" w:firstLineChars="0"/>
        <w:rPr>
          <w:spacing w:val="-1"/>
        </w:rPr>
      </w:pPr>
      <w:r>
        <w:rPr>
          <w:spacing w:val="-1"/>
        </w:rPr>
        <w:t>可拆卸污物导流板，方便拆卸清洗。</w:t>
      </w:r>
    </w:p>
    <w:p w14:paraId="694A2790">
      <w:pPr>
        <w:pStyle w:val="4"/>
        <w:numPr>
          <w:ilvl w:val="0"/>
          <w:numId w:val="6"/>
        </w:numPr>
        <w:spacing w:before="72" w:line="219" w:lineRule="auto"/>
        <w:ind w:left="425" w:leftChars="0" w:hanging="425" w:firstLineChars="0"/>
        <w:rPr>
          <w:color w:val="FF0000"/>
          <w:spacing w:val="-1"/>
        </w:rPr>
      </w:pPr>
      <w:r>
        <w:rPr>
          <w:spacing w:val="-1"/>
        </w:rPr>
        <w:t xml:space="preserve"> </w:t>
      </w:r>
      <w:r>
        <w:rPr>
          <w:color w:val="FF0000"/>
          <w:spacing w:val="-1"/>
        </w:rPr>
        <w:t>垃圾分离系统，将固体垃圾与污水分离。</w:t>
      </w:r>
      <w:r>
        <w:rPr>
          <w:rFonts w:hint="eastAsia"/>
          <w:color w:val="FF0000"/>
          <w:spacing w:val="-1"/>
          <w:lang w:val="en-US" w:eastAsia="zh-CN"/>
        </w:rPr>
        <w:t xml:space="preserve">      （？？）</w:t>
      </w:r>
    </w:p>
    <w:p w14:paraId="0E20E96D">
      <w:pPr>
        <w:pStyle w:val="4"/>
        <w:numPr>
          <w:ilvl w:val="0"/>
          <w:numId w:val="6"/>
        </w:numPr>
        <w:spacing w:before="72" w:line="219" w:lineRule="auto"/>
        <w:ind w:left="425" w:leftChars="0" w:hanging="425" w:firstLineChars="0"/>
        <w:rPr>
          <w:spacing w:val="-1"/>
        </w:rPr>
      </w:pPr>
      <w:r>
        <w:rPr>
          <w:spacing w:val="-1"/>
        </w:rPr>
        <w:t>污物盒可拆卸。</w:t>
      </w:r>
    </w:p>
    <w:p w14:paraId="3200F271">
      <w:pPr>
        <w:pStyle w:val="4"/>
        <w:numPr>
          <w:ilvl w:val="0"/>
          <w:numId w:val="6"/>
        </w:numPr>
        <w:spacing w:before="72" w:line="219" w:lineRule="auto"/>
        <w:ind w:left="425" w:leftChars="0" w:hanging="425" w:firstLineChars="0"/>
        <w:rPr>
          <w:spacing w:val="-1"/>
        </w:rPr>
      </w:pPr>
      <w:r>
        <w:rPr>
          <w:spacing w:val="-1"/>
        </w:rPr>
        <w:t xml:space="preserve"> 整床为轻便结构设计，安装大脚轮，可方便轻松移动床体，并可以牢固锁定 。脚轮直径：</w:t>
      </w:r>
      <w:r>
        <w:rPr>
          <w:rFonts w:hint="eastAsia"/>
          <w:spacing w:val="-1"/>
        </w:rPr>
        <w:t>≥</w:t>
      </w:r>
      <w:r>
        <w:rPr>
          <w:spacing w:val="-1"/>
        </w:rPr>
        <w:t>125mm。 大直径脚轮增强了越障碍行驶能力。</w:t>
      </w:r>
    </w:p>
    <w:p w14:paraId="00C3DD72">
      <w:pPr>
        <w:pStyle w:val="4"/>
        <w:numPr>
          <w:ilvl w:val="0"/>
          <w:numId w:val="6"/>
        </w:numPr>
        <w:spacing w:before="72" w:line="219" w:lineRule="auto"/>
        <w:ind w:left="425" w:leftChars="0" w:hanging="425" w:firstLineChars="0"/>
        <w:rPr>
          <w:rFonts w:hint="eastAsia"/>
          <w:spacing w:val="-1"/>
        </w:rPr>
      </w:pPr>
      <w:r>
        <w:rPr>
          <w:rFonts w:hint="eastAsia"/>
          <w:spacing w:val="-1"/>
        </w:rPr>
        <w:t>床体选用优质钢材，经多重工序静电高温喷塑处理，外表美观，坚固耐用。</w:t>
      </w:r>
    </w:p>
    <w:p w14:paraId="799B5C69">
      <w:pPr>
        <w:pStyle w:val="4"/>
        <w:numPr>
          <w:ilvl w:val="0"/>
          <w:numId w:val="6"/>
        </w:numPr>
        <w:spacing w:before="72" w:line="219" w:lineRule="auto"/>
        <w:ind w:left="425" w:leftChars="0" w:hanging="425" w:firstLineChars="0"/>
        <w:rPr>
          <w:rFonts w:hint="eastAsia"/>
          <w:spacing w:val="-1"/>
        </w:rPr>
      </w:pPr>
      <w:r>
        <w:rPr>
          <w:rFonts w:hint="eastAsia"/>
          <w:spacing w:val="-1"/>
        </w:rPr>
        <w:t>自锁式不锈钢边滑条，防止配件意外脱落，安全可靠。</w:t>
      </w:r>
    </w:p>
    <w:p w14:paraId="2D9C1BC3">
      <w:pPr>
        <w:pStyle w:val="4"/>
        <w:numPr>
          <w:ilvl w:val="0"/>
          <w:numId w:val="6"/>
        </w:numPr>
        <w:spacing w:before="72" w:line="219" w:lineRule="auto"/>
        <w:ind w:left="425" w:leftChars="0" w:hanging="425" w:firstLineChars="0"/>
        <w:rPr>
          <w:rFonts w:hint="eastAsia"/>
          <w:color w:val="FF0000"/>
          <w:spacing w:val="-1"/>
        </w:rPr>
      </w:pPr>
      <w:r>
        <w:rPr>
          <w:rFonts w:hint="eastAsia"/>
          <w:color w:val="FF0000"/>
          <w:spacing w:val="-1"/>
          <w:lang w:val="en-US" w:eastAsia="zh-CN"/>
        </w:rPr>
        <w:t>设备使用年限≥15年。</w:t>
      </w:r>
    </w:p>
    <w:p w14:paraId="5B198E0B">
      <w:pPr>
        <w:numPr>
          <w:ilvl w:val="0"/>
          <w:numId w:val="4"/>
        </w:numPr>
        <w:spacing w:line="440" w:lineRule="exact"/>
        <w:rPr>
          <w:rFonts w:hint="eastAsia" w:ascii="宋体" w:hAnsi="宋体" w:eastAsia="宋体" w:cs="宋体"/>
          <w:b/>
          <w:color w:val="000000" w:themeColor="text1"/>
          <w:sz w:val="21"/>
          <w:szCs w:val="21"/>
          <w:highlight w:val="yellow"/>
        </w:rPr>
      </w:pPr>
      <w:r>
        <w:rPr>
          <w:rFonts w:hint="eastAsia" w:ascii="宋体" w:hAnsi="宋体" w:eastAsia="宋体" w:cs="宋体"/>
          <w:b/>
          <w:sz w:val="21"/>
          <w:szCs w:val="21"/>
          <w:lang w:val="en-US" w:eastAsia="zh-CN"/>
        </w:rPr>
        <w:t>每套设备配置要求（</w:t>
      </w:r>
      <w:r>
        <w:rPr>
          <w:rFonts w:hint="eastAsia" w:ascii="宋体" w:hAnsi="宋体" w:eastAsia="宋体" w:cs="宋体"/>
          <w:b/>
          <w:sz w:val="21"/>
          <w:szCs w:val="21"/>
        </w:rPr>
        <w:t>标准套至少包含以下内容</w:t>
      </w:r>
      <w:r>
        <w:rPr>
          <w:rFonts w:hint="eastAsia" w:ascii="宋体" w:hAnsi="宋体" w:eastAsia="宋体" w:cs="宋体"/>
          <w:b/>
          <w:sz w:val="21"/>
          <w:szCs w:val="21"/>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375"/>
        <w:gridCol w:w="1197"/>
        <w:gridCol w:w="989"/>
      </w:tblGrid>
      <w:tr w14:paraId="7A1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75F5B0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4375" w:type="dxa"/>
          </w:tcPr>
          <w:p w14:paraId="3C5FA1E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197" w:type="dxa"/>
          </w:tcPr>
          <w:p w14:paraId="195DD9DE">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989" w:type="dxa"/>
          </w:tcPr>
          <w:p w14:paraId="349577F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w:t>
            </w:r>
          </w:p>
        </w:tc>
      </w:tr>
      <w:tr w14:paraId="10CC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41D4B18">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4375" w:type="dxa"/>
            <w:vAlign w:val="top"/>
          </w:tcPr>
          <w:p w14:paraId="14DEE336">
            <w:pPr>
              <w:pStyle w:val="16"/>
              <w:spacing w:line="219" w:lineRule="auto"/>
              <w:rPr>
                <w:rFonts w:hint="eastAsia" w:ascii="宋体" w:hAnsi="宋体" w:eastAsia="宋体" w:cs="宋体"/>
                <w:b/>
                <w:color w:val="000000" w:themeColor="text1"/>
                <w:sz w:val="21"/>
                <w:szCs w:val="21"/>
                <w:lang w:eastAsia="zh-CN"/>
              </w:rPr>
            </w:pPr>
            <w:r>
              <w:rPr>
                <w:spacing w:val="11"/>
              </w:rPr>
              <w:t>优质不锈钢床体</w:t>
            </w:r>
            <w:r>
              <w:rPr>
                <w:rFonts w:hint="eastAsia"/>
                <w:spacing w:val="11"/>
                <w:lang w:eastAsia="zh-CN"/>
              </w:rPr>
              <w:t>（</w:t>
            </w:r>
            <w:r>
              <w:rPr>
                <w:rFonts w:hint="eastAsia"/>
                <w:spacing w:val="11"/>
                <w:lang w:val="en-US" w:eastAsia="zh-CN"/>
              </w:rPr>
              <w:t>含床垫</w:t>
            </w:r>
            <w:r>
              <w:rPr>
                <w:rFonts w:hint="eastAsia"/>
                <w:spacing w:val="11"/>
                <w:lang w:eastAsia="zh-CN"/>
              </w:rPr>
              <w:t>）</w:t>
            </w:r>
          </w:p>
        </w:tc>
        <w:tc>
          <w:tcPr>
            <w:tcW w:w="1197" w:type="dxa"/>
          </w:tcPr>
          <w:p w14:paraId="52A3EB69">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2E4A3E63">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58E8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F8A545F">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4375" w:type="dxa"/>
            <w:vAlign w:val="top"/>
          </w:tcPr>
          <w:p w14:paraId="1AD11592">
            <w:pPr>
              <w:pStyle w:val="16"/>
              <w:spacing w:before="117" w:line="219" w:lineRule="auto"/>
              <w:rPr>
                <w:rFonts w:hint="eastAsia" w:ascii="宋体" w:hAnsi="宋体" w:eastAsia="宋体" w:cs="宋体"/>
                <w:b/>
                <w:color w:val="000000" w:themeColor="text1"/>
                <w:sz w:val="21"/>
                <w:szCs w:val="21"/>
              </w:rPr>
            </w:pPr>
            <w:r>
              <w:rPr>
                <w:spacing w:val="15"/>
              </w:rPr>
              <w:t>动力系统</w:t>
            </w:r>
          </w:p>
        </w:tc>
        <w:tc>
          <w:tcPr>
            <w:tcW w:w="1197" w:type="dxa"/>
          </w:tcPr>
          <w:p w14:paraId="618BD1E1">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7E5469DB">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CE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6340F32">
            <w:pPr>
              <w:spacing w:line="44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4375" w:type="dxa"/>
            <w:vAlign w:val="top"/>
          </w:tcPr>
          <w:p w14:paraId="7D17416B">
            <w:pPr>
              <w:pStyle w:val="16"/>
              <w:spacing w:before="132" w:line="220" w:lineRule="auto"/>
              <w:rPr>
                <w:rFonts w:hint="eastAsia" w:ascii="宋体" w:hAnsi="宋体" w:eastAsia="宋体" w:cs="宋体"/>
                <w:b/>
                <w:color w:val="000000" w:themeColor="text1"/>
                <w:sz w:val="21"/>
                <w:szCs w:val="21"/>
              </w:rPr>
            </w:pPr>
            <w:r>
              <w:rPr>
                <w:spacing w:val="13"/>
              </w:rPr>
              <w:t>有线</w:t>
            </w:r>
            <w:r>
              <w:rPr>
                <w:rFonts w:hint="eastAsia"/>
                <w:spacing w:val="13"/>
                <w:lang w:val="en-US" w:eastAsia="zh-CN"/>
              </w:rPr>
              <w:t>或脚踏</w:t>
            </w:r>
            <w:r>
              <w:rPr>
                <w:spacing w:val="13"/>
              </w:rPr>
              <w:t>遥控器</w:t>
            </w:r>
          </w:p>
        </w:tc>
        <w:tc>
          <w:tcPr>
            <w:tcW w:w="1197" w:type="dxa"/>
          </w:tcPr>
          <w:p w14:paraId="5EAAF154">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14638183">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464B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32F495E">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4375" w:type="dxa"/>
            <w:vAlign w:val="top"/>
          </w:tcPr>
          <w:p w14:paraId="3050760F">
            <w:pPr>
              <w:pStyle w:val="16"/>
              <w:spacing w:before="101" w:line="219" w:lineRule="auto"/>
              <w:rPr>
                <w:rFonts w:hint="eastAsia" w:ascii="宋体" w:hAnsi="宋体" w:eastAsia="宋体" w:cs="宋体"/>
                <w:b/>
                <w:color w:val="000000" w:themeColor="text1"/>
                <w:sz w:val="21"/>
                <w:szCs w:val="21"/>
              </w:rPr>
            </w:pPr>
            <w:r>
              <w:rPr>
                <w:rFonts w:hint="eastAsia"/>
                <w:sz w:val="24"/>
              </w:rPr>
              <w:t>搁腿架+脚蹬双配置</w:t>
            </w:r>
          </w:p>
        </w:tc>
        <w:tc>
          <w:tcPr>
            <w:tcW w:w="1197" w:type="dxa"/>
          </w:tcPr>
          <w:p w14:paraId="01B02DE3">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42C4A3EF">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262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E492DA2">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w:t>
            </w:r>
          </w:p>
        </w:tc>
        <w:tc>
          <w:tcPr>
            <w:tcW w:w="4375" w:type="dxa"/>
            <w:vAlign w:val="top"/>
          </w:tcPr>
          <w:p w14:paraId="13270247">
            <w:pPr>
              <w:pStyle w:val="16"/>
              <w:spacing w:before="124" w:line="220" w:lineRule="auto"/>
              <w:rPr>
                <w:rFonts w:hint="eastAsia" w:ascii="宋体" w:hAnsi="宋体" w:eastAsia="宋体" w:cs="宋体"/>
                <w:b/>
                <w:color w:val="000000" w:themeColor="text1"/>
                <w:sz w:val="21"/>
                <w:szCs w:val="21"/>
                <w:lang w:eastAsia="zh-CN"/>
              </w:rPr>
            </w:pPr>
            <w:r>
              <w:rPr>
                <w:rFonts w:hint="eastAsia" w:eastAsia="宋体"/>
                <w:spacing w:val="10"/>
                <w:lang w:val="en-US" w:eastAsia="zh-CN"/>
              </w:rPr>
              <w:t>手柄</w:t>
            </w:r>
          </w:p>
        </w:tc>
        <w:tc>
          <w:tcPr>
            <w:tcW w:w="1197" w:type="dxa"/>
          </w:tcPr>
          <w:p w14:paraId="0FF563E9">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20745244">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4524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D38A679">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p>
        </w:tc>
        <w:tc>
          <w:tcPr>
            <w:tcW w:w="4375" w:type="dxa"/>
            <w:vAlign w:val="top"/>
          </w:tcPr>
          <w:p w14:paraId="65123B22">
            <w:pPr>
              <w:pStyle w:val="16"/>
              <w:spacing w:before="124" w:line="220" w:lineRule="auto"/>
              <w:rPr>
                <w:rFonts w:hint="default" w:eastAsia="宋体"/>
                <w:spacing w:val="10"/>
                <w:lang w:val="en-US" w:eastAsia="zh-CN"/>
              </w:rPr>
            </w:pPr>
            <w:r>
              <w:rPr>
                <w:rFonts w:hint="eastAsia" w:eastAsia="宋体"/>
                <w:spacing w:val="10"/>
                <w:lang w:val="en-US" w:eastAsia="zh-CN"/>
              </w:rPr>
              <w:t>污物桶</w:t>
            </w:r>
          </w:p>
        </w:tc>
        <w:tc>
          <w:tcPr>
            <w:tcW w:w="1197" w:type="dxa"/>
          </w:tcPr>
          <w:p w14:paraId="7E1FFE3F">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425541C0">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7C03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319E22D">
            <w:pPr>
              <w:spacing w:line="440" w:lineRule="exact"/>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w:t>
            </w:r>
          </w:p>
        </w:tc>
        <w:tc>
          <w:tcPr>
            <w:tcW w:w="4375" w:type="dxa"/>
            <w:vAlign w:val="top"/>
          </w:tcPr>
          <w:p w14:paraId="30E99FBE">
            <w:pPr>
              <w:pStyle w:val="16"/>
              <w:spacing w:before="124" w:line="220" w:lineRule="auto"/>
              <w:rPr>
                <w:rFonts w:hint="default" w:eastAsia="宋体"/>
                <w:spacing w:val="10"/>
                <w:lang w:val="en-US" w:eastAsia="zh-CN"/>
              </w:rPr>
            </w:pPr>
            <w:r>
              <w:rPr>
                <w:rFonts w:hint="eastAsia" w:eastAsia="宋体"/>
                <w:spacing w:val="10"/>
                <w:lang w:val="en-US" w:eastAsia="zh-CN"/>
              </w:rPr>
              <w:t>电源线</w:t>
            </w:r>
          </w:p>
        </w:tc>
        <w:tc>
          <w:tcPr>
            <w:tcW w:w="1197" w:type="dxa"/>
          </w:tcPr>
          <w:p w14:paraId="61DB2A02">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tcPr>
          <w:p w14:paraId="39EF1552">
            <w:pPr>
              <w:spacing w:line="4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289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415AB5D">
            <w:pPr>
              <w:spacing w:line="440" w:lineRule="exact"/>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w:t>
            </w:r>
          </w:p>
        </w:tc>
        <w:tc>
          <w:tcPr>
            <w:tcW w:w="4375" w:type="dxa"/>
            <w:shd w:val="clear" w:color="auto" w:fill="auto"/>
            <w:vAlign w:val="top"/>
          </w:tcPr>
          <w:p w14:paraId="19A259FA">
            <w:pPr>
              <w:widowControl w:val="0"/>
              <w:numPr>
                <w:ilvl w:val="0"/>
                <w:numId w:val="0"/>
              </w:numPr>
              <w:spacing w:line="440" w:lineRule="exact"/>
              <w:ind w:left="0" w:leftChars="0" w:firstLine="0" w:firstLineChars="0"/>
              <w:jc w:val="center"/>
              <w:rPr>
                <w:rFonts w:hint="eastAsia" w:ascii="宋体" w:hAnsi="宋体" w:eastAsia="宋体" w:cs="宋体"/>
                <w:b/>
                <w:color w:val="000000" w:themeColor="text1"/>
                <w:kern w:val="2"/>
                <w:sz w:val="21"/>
                <w:szCs w:val="21"/>
                <w:lang w:val="en-US" w:eastAsia="zh-CN" w:bidi="ar-SA"/>
              </w:rPr>
            </w:pPr>
            <w:r>
              <w:rPr>
                <w:rFonts w:hint="eastAsia" w:ascii="宋体" w:hAnsi="宋体" w:eastAsia="宋体" w:cs="宋体"/>
                <w:sz w:val="21"/>
                <w:szCs w:val="21"/>
              </w:rPr>
              <w:t>中文说明书、中文维修手册、中文操作流程卡（另电子版1份）；</w:t>
            </w:r>
          </w:p>
        </w:tc>
        <w:tc>
          <w:tcPr>
            <w:tcW w:w="1197" w:type="dxa"/>
            <w:shd w:val="clear" w:color="auto" w:fill="auto"/>
            <w:vAlign w:val="top"/>
          </w:tcPr>
          <w:p w14:paraId="07ADED2D">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9" w:type="dxa"/>
            <w:shd w:val="clear" w:color="auto" w:fill="auto"/>
            <w:vAlign w:val="top"/>
          </w:tcPr>
          <w:p w14:paraId="553E838C">
            <w:pPr>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份</w:t>
            </w:r>
          </w:p>
        </w:tc>
      </w:tr>
    </w:tbl>
    <w:p w14:paraId="714DC1B5">
      <w:pPr>
        <w:widowControl w:val="0"/>
        <w:numPr>
          <w:ilvl w:val="0"/>
          <w:numId w:val="0"/>
        </w:numPr>
        <w:spacing w:line="440" w:lineRule="exact"/>
        <w:jc w:val="both"/>
        <w:rPr>
          <w:rFonts w:hint="eastAsia" w:ascii="宋体" w:hAnsi="宋体" w:eastAsia="宋体" w:cs="宋体"/>
          <w:b/>
          <w:color w:val="000000" w:themeColor="text1"/>
          <w:sz w:val="21"/>
          <w:szCs w:val="21"/>
        </w:rPr>
      </w:pPr>
    </w:p>
    <w:p w14:paraId="11AD96EA">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主要</w:t>
      </w:r>
      <w:r>
        <w:rPr>
          <w:rFonts w:hint="eastAsia" w:ascii="宋体" w:hAnsi="宋体" w:eastAsia="宋体" w:cs="宋体"/>
          <w:b/>
          <w:color w:val="000000" w:themeColor="text1"/>
          <w:sz w:val="21"/>
          <w:szCs w:val="21"/>
        </w:rPr>
        <w:t>商务要求：</w:t>
      </w:r>
    </w:p>
    <w:p w14:paraId="751AF881">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1.交货及安装、验收要求</w:t>
      </w:r>
    </w:p>
    <w:p w14:paraId="775C65E0">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1.1交货地点：采购人指定地点。</w:t>
      </w:r>
    </w:p>
    <w:p w14:paraId="1C8A269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1.2交货期：</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应当在中标通知书发出之日起30日内按</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及</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的投标文件确定的事项与采购人签订合同，签订合同后</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30</w:t>
      </w:r>
      <w:r>
        <w:rPr>
          <w:rFonts w:hint="eastAsia" w:ascii="宋体" w:hAnsi="宋体" w:eastAsia="宋体" w:cs="宋体"/>
          <w:color w:val="FF0000"/>
          <w:sz w:val="21"/>
          <w:szCs w:val="21"/>
        </w:rPr>
        <w:t>日</w:t>
      </w:r>
      <w:r>
        <w:rPr>
          <w:rFonts w:hint="eastAsia" w:ascii="宋体" w:hAnsi="宋体" w:eastAsia="宋体" w:cs="宋体"/>
          <w:color w:val="000000" w:themeColor="text1"/>
          <w:sz w:val="21"/>
          <w:szCs w:val="21"/>
        </w:rPr>
        <w:t>内完成设备的安装调试。</w:t>
      </w:r>
    </w:p>
    <w:p w14:paraId="180655B4">
      <w:pPr>
        <w:spacing w:line="44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rPr>
        <w:t>1.3</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须保证中标后所提供的设备为原装、全新合格的产品</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highlight w:val="none"/>
          <w:lang w:val="en-US" w:eastAsia="zh-CN"/>
        </w:rPr>
        <w:t>且原装进口产品生产日期与交货日期差值≤12个月；国产产品生产日期与交货日期差值≤3个月。</w:t>
      </w:r>
    </w:p>
    <w:p w14:paraId="33B4285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宋体" w:hAnsi="宋体" w:eastAsia="宋体" w:cs="宋体"/>
          <w:color w:val="auto"/>
          <w:sz w:val="21"/>
          <w:szCs w:val="21"/>
        </w:rPr>
      </w:pPr>
      <w:r>
        <w:rPr>
          <w:rFonts w:hint="eastAsia" w:ascii="宋体" w:hAnsi="宋体" w:eastAsia="宋体" w:cs="宋体"/>
          <w:color w:val="000000" w:themeColor="text1"/>
          <w:sz w:val="21"/>
          <w:szCs w:val="21"/>
        </w:rPr>
        <w:t>1.5验收方式：按《小榄镇</w:t>
      </w:r>
      <w:r>
        <w:rPr>
          <w:rFonts w:hint="eastAsia" w:ascii="宋体" w:hAnsi="宋体" w:eastAsia="宋体" w:cs="宋体"/>
          <w:color w:val="000000" w:themeColor="text1"/>
          <w:sz w:val="21"/>
          <w:szCs w:val="21"/>
          <w:lang w:eastAsia="zh-CN"/>
        </w:rPr>
        <w:t>公立</w:t>
      </w:r>
      <w:r>
        <w:rPr>
          <w:rFonts w:hint="eastAsia" w:ascii="宋体" w:hAnsi="宋体" w:eastAsia="宋体" w:cs="宋体"/>
          <w:color w:val="000000" w:themeColor="text1"/>
          <w:sz w:val="21"/>
          <w:szCs w:val="21"/>
        </w:rPr>
        <w:t>医院</w:t>
      </w:r>
      <w:r>
        <w:rPr>
          <w:rFonts w:hint="eastAsia" w:ascii="宋体" w:hAnsi="宋体" w:eastAsia="宋体" w:cs="宋体"/>
          <w:color w:val="000000" w:themeColor="text1"/>
          <w:sz w:val="21"/>
          <w:szCs w:val="21"/>
          <w:lang w:eastAsia="zh-CN"/>
        </w:rPr>
        <w:t>政府</w:t>
      </w:r>
      <w:r>
        <w:rPr>
          <w:rFonts w:hint="eastAsia" w:ascii="宋体" w:hAnsi="宋体" w:eastAsia="宋体" w:cs="宋体"/>
          <w:color w:val="000000" w:themeColor="text1"/>
          <w:sz w:val="21"/>
          <w:szCs w:val="21"/>
        </w:rPr>
        <w:t>采购</w:t>
      </w:r>
      <w:r>
        <w:rPr>
          <w:rFonts w:hint="eastAsia" w:ascii="宋体" w:hAnsi="宋体" w:eastAsia="宋体" w:cs="宋体"/>
          <w:color w:val="auto"/>
          <w:sz w:val="21"/>
          <w:szCs w:val="21"/>
        </w:rPr>
        <w:t>和验收</w:t>
      </w:r>
      <w:r>
        <w:rPr>
          <w:rFonts w:hint="eastAsia" w:ascii="宋体" w:hAnsi="宋体" w:eastAsia="宋体" w:cs="宋体"/>
          <w:color w:val="auto"/>
          <w:sz w:val="21"/>
          <w:szCs w:val="21"/>
          <w:lang w:eastAsia="zh-CN"/>
        </w:rPr>
        <w:t>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和《中山市小榄人民医院医疗设备验收管理制度》</w:t>
      </w:r>
      <w:r>
        <w:rPr>
          <w:rFonts w:hint="eastAsia" w:ascii="宋体" w:hAnsi="宋体" w:eastAsia="宋体" w:cs="宋体"/>
          <w:color w:val="auto"/>
          <w:sz w:val="21"/>
          <w:szCs w:val="21"/>
        </w:rPr>
        <w:t>。</w:t>
      </w:r>
    </w:p>
    <w:p w14:paraId="37607C9E">
      <w:pPr>
        <w:spacing w:line="44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w:t>
      </w:r>
      <w:r>
        <w:rPr>
          <w:rFonts w:hint="eastAsia" w:ascii="宋体" w:hAnsi="宋体" w:eastAsia="宋体" w:cs="宋体"/>
          <w:color w:val="auto"/>
          <w:sz w:val="21"/>
          <w:szCs w:val="21"/>
          <w:highlight w:val="none"/>
          <w:lang w:val="en-US" w:eastAsia="zh-CN"/>
        </w:rPr>
        <w:t>该项目完整的授权书。</w:t>
      </w:r>
    </w:p>
    <w:p w14:paraId="71BBED5E">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2.售后服务要求</w:t>
      </w:r>
    </w:p>
    <w:p w14:paraId="2B351F45">
      <w:pPr>
        <w:tabs>
          <w:tab w:val="left" w:pos="420"/>
        </w:tabs>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必须在中国境内有售后服务机构，并附有售后服务能力说明。</w:t>
      </w:r>
    </w:p>
    <w:p w14:paraId="70FB5255">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须提供设备原厂质保（设备原厂质量保修范围和保修期）至少</w:t>
      </w:r>
      <w:r>
        <w:rPr>
          <w:rFonts w:hint="eastAsia" w:ascii="宋体" w:hAnsi="宋体" w:eastAsia="宋体" w:cs="宋体"/>
          <w:b/>
          <w:bCs/>
          <w:color w:val="auto"/>
          <w:sz w:val="21"/>
          <w:szCs w:val="21"/>
          <w:highlight w:val="yellow"/>
        </w:rPr>
        <w:t>为</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u w:val="single"/>
          <w:lang w:val="en-US" w:eastAsia="zh-CN"/>
        </w:rPr>
        <w:t>1</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rPr>
        <w:t>年。</w:t>
      </w:r>
    </w:p>
    <w:p w14:paraId="34C701EB">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2.3在售后期内，</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在接到用户的维修通知，响应时间为半小时内，工程师到达现场时间为4小时内，排除故障时限为到达现场后8小时内。</w:t>
      </w:r>
    </w:p>
    <w:p w14:paraId="64958E8F">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2.4如果产品故障在检修12小时后仍无法排除，</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应在24小时内提供不低于故障产品规格型号档次的备用产品供采购人使用，直至故障产品修复。</w:t>
      </w:r>
    </w:p>
    <w:p w14:paraId="5ED331B0">
      <w:pPr>
        <w:spacing w:line="440" w:lineRule="exact"/>
        <w:rPr>
          <w:rFonts w:hint="eastAsia" w:ascii="宋体" w:hAnsi="宋体" w:eastAsia="宋体" w:cs="宋体"/>
          <w:b/>
          <w:color w:val="000000" w:themeColor="text1"/>
          <w:sz w:val="21"/>
          <w:szCs w:val="21"/>
        </w:rPr>
      </w:pPr>
    </w:p>
    <w:p w14:paraId="5BC1A48F">
      <w:pPr>
        <w:spacing w:line="440" w:lineRule="exact"/>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
          <w:color w:val="000000" w:themeColor="text1"/>
          <w:sz w:val="21"/>
          <w:szCs w:val="21"/>
        </w:rPr>
        <w:t>3.付款方式</w:t>
      </w:r>
    </w:p>
    <w:p w14:paraId="1BE3E546">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3.1本合同的每笔款项以人民币转账方式支付</w:t>
      </w:r>
      <w:r>
        <w:rPr>
          <w:rFonts w:hint="eastAsia" w:ascii="宋体" w:hAnsi="宋体" w:eastAsia="宋体" w:cs="宋体"/>
          <w:color w:val="000000" w:themeColor="text1"/>
          <w:sz w:val="21"/>
          <w:szCs w:val="21"/>
          <w:lang w:eastAsia="zh-CN"/>
        </w:rPr>
        <w:t>。</w:t>
      </w:r>
    </w:p>
    <w:p w14:paraId="2797CF2D">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3.2</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中标人即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支付合同总金额的</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5%</w:t>
      </w:r>
      <w:r>
        <w:rPr>
          <w:rFonts w:hint="eastAsia" w:ascii="宋体" w:hAnsi="宋体" w:eastAsia="宋体" w:cs="宋体"/>
          <w:color w:val="000000" w:themeColor="text1"/>
          <w:sz w:val="21"/>
          <w:szCs w:val="21"/>
        </w:rPr>
        <w:t>；合同总金额的5%</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作为第二期款项，</w:t>
      </w:r>
      <w:r>
        <w:rPr>
          <w:rFonts w:hint="eastAsia" w:ascii="宋体" w:hAnsi="宋体" w:eastAsia="宋体" w:cs="宋体"/>
          <w:color w:val="000000" w:themeColor="text1"/>
          <w:sz w:val="21"/>
          <w:szCs w:val="21"/>
        </w:rPr>
        <w:t>在</w:t>
      </w:r>
      <w:r>
        <w:rPr>
          <w:rFonts w:hint="eastAsia" w:ascii="宋体" w:hAnsi="宋体" w:eastAsia="宋体" w:cs="宋体"/>
          <w:color w:val="000000" w:themeColor="text1"/>
          <w:sz w:val="21"/>
          <w:szCs w:val="21"/>
          <w:highlight w:val="yellow"/>
          <w:u w:val="single"/>
          <w:lang w:val="en-US" w:eastAsia="zh-CN"/>
        </w:rPr>
        <w:t xml:space="preserve"> 质保期满</w:t>
      </w:r>
      <w:r>
        <w:rPr>
          <w:rFonts w:hint="eastAsia" w:ascii="宋体" w:hAnsi="宋体" w:eastAsia="宋体" w:cs="宋体"/>
          <w:color w:val="000000" w:themeColor="text1"/>
          <w:sz w:val="21"/>
          <w:szCs w:val="21"/>
        </w:rPr>
        <w:t>后一次性无息</w:t>
      </w:r>
      <w:r>
        <w:rPr>
          <w:rFonts w:hint="eastAsia" w:ascii="宋体" w:hAnsi="宋体" w:eastAsia="宋体" w:cs="宋体"/>
          <w:color w:val="000000" w:themeColor="text1"/>
          <w:sz w:val="21"/>
          <w:szCs w:val="21"/>
          <w:lang w:val="en-US" w:eastAsia="zh-CN"/>
        </w:rPr>
        <w:t>支付</w:t>
      </w:r>
      <w:r>
        <w:rPr>
          <w:rFonts w:hint="eastAsia" w:ascii="宋体" w:hAnsi="宋体" w:eastAsia="宋体" w:cs="宋体"/>
          <w:color w:val="000000" w:themeColor="text1"/>
          <w:sz w:val="21"/>
          <w:szCs w:val="21"/>
        </w:rPr>
        <w:t>。</w:t>
      </w:r>
    </w:p>
    <w:p w14:paraId="2BA2B841">
      <w:pPr>
        <w:pStyle w:val="4"/>
        <w:rPr>
          <w:rFonts w:hint="eastAsia" w:ascii="宋体" w:hAnsi="宋体" w:eastAsia="宋体" w:cs="宋体"/>
          <w:sz w:val="21"/>
          <w:szCs w:val="21"/>
        </w:rPr>
      </w:pPr>
    </w:p>
    <w:p w14:paraId="764DAB56">
      <w:pPr>
        <w:numPr>
          <w:ilvl w:val="0"/>
          <w:numId w:val="0"/>
        </w:numPr>
        <w:ind w:leftChars="0"/>
        <w:rPr>
          <w:rFonts w:hint="eastAsia" w:ascii="宋体" w:hAnsi="宋体" w:eastAsia="宋体" w:cs="宋体"/>
          <w:b/>
          <w:color w:val="0000FF"/>
          <w:sz w:val="21"/>
          <w:szCs w:val="21"/>
          <w:lang w:val="en-US" w:eastAsia="zh-CN"/>
        </w:rPr>
      </w:pPr>
      <w:r>
        <w:rPr>
          <w:rFonts w:hint="eastAsia" w:ascii="宋体" w:hAnsi="宋体" w:eastAsia="宋体" w:cs="宋体"/>
          <w:b/>
          <w:color w:val="0000FF"/>
          <w:sz w:val="21"/>
          <w:szCs w:val="21"/>
          <w:lang w:val="en-US" w:eastAsia="zh-CN"/>
        </w:rPr>
        <w:t>六、其他商务要求</w:t>
      </w:r>
    </w:p>
    <w:p w14:paraId="5148A802">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投标人须对本项目的采购标的进行整体投标，任何只对本项目采购标的其中一部分内容、数量进行的投标都被视为无效投标。</w:t>
      </w:r>
    </w:p>
    <w:p w14:paraId="4FAACF49">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投标人应分别列明该项目所有设备的总报价和分项报价。</w:t>
      </w:r>
    </w:p>
    <w:p w14:paraId="60E1B4C6">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000000" w:themeColor="text1"/>
          <w:sz w:val="21"/>
          <w:szCs w:val="21"/>
        </w:rPr>
        <w:t xml:space="preserve"> </w:t>
      </w:r>
    </w:p>
    <w:p w14:paraId="7CA9A5C9">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E5F79699"/>
    <w:multiLevelType w:val="singleLevel"/>
    <w:tmpl w:val="E5F79699"/>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abstractNum w:abstractNumId="6">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43097C"/>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390262"/>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3604</Words>
  <Characters>3743</Characters>
  <Lines>5</Lines>
  <Paragraphs>1</Paragraphs>
  <TotalTime>0</TotalTime>
  <ScaleCrop>false</ScaleCrop>
  <LinksUpToDate>false</LinksUpToDate>
  <CharactersWithSpaces>3816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2026-04-11T03:41:12Z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