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w:t>
      </w:r>
      <w:r>
        <w:rPr>
          <w:rFonts w:hint="eastAsia" w:ascii="仿宋" w:hAnsi="仿宋" w:eastAsia="仿宋" w:cs="仿宋"/>
          <w:color w:val="000000" w:themeColor="text1"/>
          <w:sz w:val="24"/>
          <w:lang w:eastAsia="zh-CN"/>
        </w:rPr>
        <w:t>截至</w:t>
      </w:r>
      <w:r>
        <w:rPr>
          <w:rFonts w:hint="eastAsia" w:ascii="仿宋" w:hAnsi="仿宋" w:eastAsia="仿宋" w:cs="仿宋"/>
          <w:color w:val="000000" w:themeColor="text1"/>
          <w:sz w:val="24"/>
        </w:rPr>
        <w:t>中标人承诺的期限。</w:t>
      </w:r>
      <w:bookmarkStart w:id="0" w:name="_GoBack"/>
      <w:bookmarkEnd w:id="0"/>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纤维输尿管肾镜</w:t>
            </w:r>
          </w:p>
        </w:tc>
        <w:tc>
          <w:tcPr>
            <w:tcW w:w="2268" w:type="dxa"/>
            <w:vAlign w:val="top"/>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泌尿外科</w:t>
            </w:r>
          </w:p>
        </w:tc>
        <w:tc>
          <w:tcPr>
            <w:tcW w:w="2508" w:type="dxa"/>
            <w:vAlign w:val="top"/>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p>
        </w:tc>
      </w:tr>
    </w:tbl>
    <w:p w14:paraId="6497795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纤维输尿管肾镜</w:t>
      </w:r>
    </w:p>
    <w:p w14:paraId="064BF146">
      <w:pPr>
        <w:spacing w:line="440" w:lineRule="exact"/>
        <w:rPr>
          <w:rFonts w:ascii="仿宋" w:hAnsi="仿宋" w:eastAsia="仿宋" w:cs="仿宋"/>
          <w:color w:val="000000" w:themeColor="text1"/>
          <w:sz w:val="24"/>
        </w:rPr>
      </w:pPr>
    </w:p>
    <w:p w14:paraId="423CFB9C">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highlight w:val="none"/>
          <w:lang w:val="en-US" w:eastAsia="zh-CN"/>
        </w:rPr>
        <w:t>用于</w:t>
      </w:r>
      <w:r>
        <w:rPr>
          <w:rFonts w:hint="eastAsia" w:ascii="仿宋" w:hAnsi="仿宋" w:eastAsia="仿宋" w:cs="仿宋"/>
          <w:color w:val="000000" w:themeColor="text1"/>
          <w:sz w:val="24"/>
          <w:highlight w:val="none"/>
        </w:rPr>
        <w:t>输尿管镜检、经尿道输尿管镜激光碎石术、经皮肾镜激光碎石取石术</w:t>
      </w:r>
    </w:p>
    <w:p w14:paraId="56E1AC65">
      <w:pPr>
        <w:spacing w:line="440" w:lineRule="exact"/>
        <w:rPr>
          <w:rFonts w:ascii="仿宋" w:hAnsi="仿宋" w:eastAsia="仿宋" w:cs="仿宋"/>
          <w:b/>
          <w:color w:val="000000" w:themeColor="text1"/>
          <w:sz w:val="24"/>
        </w:rPr>
      </w:pPr>
    </w:p>
    <w:p w14:paraId="426AD8A4">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0A425817">
      <w:pPr>
        <w:spacing w:line="360" w:lineRule="auto"/>
        <w:rPr>
          <w:rFonts w:ascii="仿宋" w:hAnsi="仿宋" w:eastAsia="仿宋" w:cs="仿宋"/>
          <w:color w:val="auto"/>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highlight w:val="none"/>
        </w:rPr>
        <w:t>两段设计，</w:t>
      </w:r>
      <w:r>
        <w:rPr>
          <w:rFonts w:hint="eastAsia" w:ascii="仿宋" w:hAnsi="仿宋" w:eastAsia="仿宋" w:cs="仿宋"/>
          <w:color w:val="auto"/>
          <w:sz w:val="24"/>
          <w:highlight w:val="none"/>
          <w:lang w:val="en-US" w:eastAsia="zh-CN"/>
        </w:rPr>
        <w:t>2条</w:t>
      </w:r>
      <w:r>
        <w:rPr>
          <w:rFonts w:hint="eastAsia" w:ascii="仿宋" w:hAnsi="仿宋" w:eastAsia="仿宋" w:cs="仿宋"/>
          <w:color w:val="auto"/>
          <w:sz w:val="24"/>
          <w:highlight w:val="none"/>
        </w:rPr>
        <w:t>Fr8.0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9.8</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另外2条</w:t>
      </w:r>
      <w:r>
        <w:rPr>
          <w:rFonts w:hint="eastAsia" w:ascii="仿宋" w:hAnsi="仿宋" w:eastAsia="仿宋" w:cs="仿宋"/>
          <w:color w:val="auto"/>
          <w:sz w:val="24"/>
          <w:highlight w:val="none"/>
        </w:rPr>
        <w:t>Fr</w:t>
      </w:r>
      <w:r>
        <w:rPr>
          <w:rStyle w:val="11"/>
          <w:rFonts w:ascii="Segoe UI" w:hAnsi="Segoe UI" w:eastAsia="Segoe UI" w:cs="Segoe UI"/>
          <w:b w:val="0"/>
          <w:bCs w:val="0"/>
          <w:i w:val="0"/>
          <w:iCs w:val="0"/>
          <w:caps w:val="0"/>
          <w:color w:val="auto"/>
          <w:spacing w:val="0"/>
          <w:sz w:val="22"/>
          <w:szCs w:val="22"/>
          <w:highlight w:val="none"/>
          <w:shd w:val="clear" w:fill="FFFFFF"/>
        </w:rPr>
        <w:t>6.0</w:t>
      </w:r>
      <w:r>
        <w:rPr>
          <w:rStyle w:val="11"/>
          <w:rFonts w:hint="eastAsia" w:ascii="Segoe UI" w:hAnsi="Segoe UI" w:eastAsia="宋体" w:cs="Segoe UI"/>
          <w:b w:val="0"/>
          <w:bCs w:val="0"/>
          <w:i w:val="0"/>
          <w:iCs w:val="0"/>
          <w:caps w:val="0"/>
          <w:color w:val="auto"/>
          <w:spacing w:val="0"/>
          <w:sz w:val="22"/>
          <w:szCs w:val="22"/>
          <w:highlight w:val="none"/>
          <w:shd w:val="clear" w:fill="FFFFFF"/>
          <w:lang w:val="en-US" w:eastAsia="zh-CN"/>
        </w:rPr>
        <w:t>-</w:t>
      </w:r>
      <w:r>
        <w:rPr>
          <w:rStyle w:val="11"/>
          <w:rFonts w:ascii="Segoe UI" w:hAnsi="Segoe UI" w:eastAsia="Segoe UI" w:cs="Segoe UI"/>
          <w:b w:val="0"/>
          <w:bCs w:val="0"/>
          <w:i w:val="0"/>
          <w:iCs w:val="0"/>
          <w:caps w:val="0"/>
          <w:color w:val="auto"/>
          <w:spacing w:val="0"/>
          <w:sz w:val="22"/>
          <w:szCs w:val="22"/>
          <w:highlight w:val="none"/>
          <w:shd w:val="clear" w:fill="FFFFFF"/>
        </w:rPr>
        <w:t>7.5</w:t>
      </w:r>
      <w:r>
        <w:rPr>
          <w:rFonts w:hint="eastAsia" w:ascii="仿宋" w:hAnsi="仿宋" w:eastAsia="仿宋" w:cs="仿宋"/>
          <w:color w:val="auto"/>
          <w:sz w:val="24"/>
          <w:highlight w:val="none"/>
        </w:rPr>
        <w:t>；</w:t>
      </w:r>
    </w:p>
    <w:p w14:paraId="00708E3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highlight w:val="none"/>
        </w:rPr>
        <w:t>视角: 12 度；</w:t>
      </w:r>
    </w:p>
    <w:p w14:paraId="4DDD927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highlight w:val="none"/>
        </w:rPr>
        <w:t>可配合5Fr器械使用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其中2条细镜不作此要求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13D2927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4、工作长度≥430mm；</w:t>
      </w:r>
    </w:p>
    <w:p w14:paraId="2F9BB96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、防损伤插入前端；</w:t>
      </w:r>
    </w:p>
    <w:p w14:paraId="0D63AF6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highlight w:val="none"/>
        </w:rPr>
        <w:t>高亮度，图像不低于</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0000像素；</w:t>
      </w:r>
    </w:p>
    <w:p w14:paraId="25A2BEF7">
      <w:pPr>
        <w:pStyle w:val="16"/>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、器械通道具有反渗水功能；</w:t>
      </w:r>
    </w:p>
    <w:p w14:paraId="48AA8C63">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、蓝宝石镜面；</w:t>
      </w:r>
    </w:p>
    <w:p w14:paraId="794F0218">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highlight w:val="none"/>
        </w:rPr>
        <w:t>输尿管一体镜</w:t>
      </w:r>
      <w:r>
        <w:rPr>
          <w:rFonts w:hint="eastAsia" w:ascii="仿宋" w:hAnsi="仿宋" w:eastAsia="仿宋" w:cs="仿宋"/>
          <w:color w:val="auto"/>
          <w:sz w:val="24"/>
          <w:highlight w:val="none"/>
          <w:lang w:eastAsia="zh-CN"/>
        </w:rPr>
        <w:t>；</w:t>
      </w:r>
    </w:p>
    <w:p w14:paraId="465EDF21">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使用年限≥5年</w:t>
      </w:r>
      <w:r>
        <w:rPr>
          <w:rFonts w:hint="eastAsia" w:ascii="仿宋" w:hAnsi="仿宋" w:eastAsia="仿宋" w:cs="仿宋"/>
          <w:color w:val="auto"/>
          <w:sz w:val="24"/>
          <w:highlight w:val="none"/>
          <w:lang w:eastAsia="zh-CN"/>
        </w:rPr>
        <w:t>。</w:t>
      </w:r>
    </w:p>
    <w:p w14:paraId="2D9C1BC3">
      <w:pPr>
        <w:numPr>
          <w:ilvl w:val="0"/>
          <w:numId w:val="0"/>
        </w:numPr>
        <w:spacing w:line="440" w:lineRule="exact"/>
        <w:rPr>
          <w:rFonts w:hint="eastAsia" w:ascii="仿宋" w:hAnsi="仿宋" w:eastAsia="仿宋" w:cs="仿宋"/>
          <w:b/>
          <w:color w:val="auto"/>
          <w:sz w:val="24"/>
          <w:highlight w:val="none"/>
        </w:rPr>
      </w:pPr>
    </w:p>
    <w:p w14:paraId="43C85C40">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四、</w:t>
      </w:r>
      <w:r>
        <w:rPr>
          <w:rFonts w:hint="eastAsia" w:ascii="仿宋" w:hAnsi="仿宋" w:eastAsia="仿宋" w:cs="仿宋"/>
          <w:b/>
          <w:color w:val="auto"/>
          <w:sz w:val="24"/>
          <w:highlight w:val="none"/>
        </w:rPr>
        <w:t>商务要求：</w:t>
      </w:r>
    </w:p>
    <w:p w14:paraId="446DF9B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w:t>
      </w:r>
      <w:r>
        <w:rPr>
          <w:rFonts w:hint="eastAsia" w:ascii="仿宋" w:hAnsi="仿宋" w:eastAsia="仿宋" w:cs="仿宋"/>
          <w:color w:val="auto"/>
          <w:sz w:val="24"/>
          <w:highlight w:val="none"/>
          <w:lang w:val="en-US" w:eastAsia="zh-CN"/>
        </w:rPr>
        <w:t>器械</w:t>
      </w:r>
      <w:r>
        <w:rPr>
          <w:rFonts w:hint="eastAsia" w:ascii="仿宋" w:hAnsi="仿宋" w:eastAsia="仿宋" w:cs="仿宋"/>
          <w:color w:val="auto"/>
          <w:sz w:val="24"/>
          <w:highlight w:val="none"/>
        </w:rPr>
        <w:t>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w:t>
      </w:r>
      <w:r>
        <w:rPr>
          <w:rFonts w:hint="eastAsia" w:ascii="仿宋" w:hAnsi="仿宋" w:eastAsia="仿宋" w:cs="仿宋"/>
          <w:color w:val="auto"/>
          <w:sz w:val="24"/>
          <w:highlight w:val="none"/>
          <w:lang w:val="en-US" w:eastAsia="zh-CN"/>
        </w:rPr>
        <w:t>器械</w:t>
      </w:r>
      <w:r>
        <w:rPr>
          <w:rFonts w:hint="eastAsia" w:ascii="仿宋" w:hAnsi="仿宋" w:eastAsia="仿宋" w:cs="仿宋"/>
          <w:color w:val="auto"/>
          <w:sz w:val="24"/>
          <w:highlight w:val="none"/>
        </w:rPr>
        <w:t>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74CA169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7BFCC5A8">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691BFC72">
      <w:pPr>
        <w:numPr>
          <w:ilvl w:val="0"/>
          <w:numId w:val="0"/>
        </w:numPr>
        <w:ind w:leftChars="0"/>
        <w:rPr>
          <w:rFonts w:hint="eastAsia" w:ascii="仿宋" w:hAnsi="仿宋" w:eastAsia="仿宋" w:cs="仿宋"/>
          <w:b/>
          <w:color w:val="auto"/>
          <w:sz w:val="24"/>
          <w:highlight w:val="none"/>
          <w:lang w:val="en-US" w:eastAsia="zh-CN"/>
        </w:rPr>
      </w:pPr>
    </w:p>
    <w:p w14:paraId="53D1B821">
      <w:pPr>
        <w:numPr>
          <w:ilvl w:val="0"/>
          <w:numId w:val="0"/>
        </w:numPr>
        <w:ind w:leftChars="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047343D5">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32BD5BE4">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2.投标人同意采购人以任何形式对其投标文件内容及采购人认为有必要的相关资料的真实性和有效性进行审查、验证。</w:t>
      </w:r>
    </w:p>
    <w:p w14:paraId="77E8FF6E">
      <w:pPr>
        <w:rPr>
          <w:rFonts w:ascii="仿宋" w:hAnsi="仿宋" w:eastAsia="仿宋" w:cs="仿宋"/>
          <w:color w:val="000000" w:themeColor="text1"/>
          <w:sz w:val="24"/>
          <w:highlight w:val="cyan"/>
          <w:lang w:val="zh-CN"/>
        </w:rPr>
      </w:pPr>
    </w:p>
    <w:p w14:paraId="616EFD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7F7871"/>
    <w:rsid w:val="2D5D7614"/>
    <w:rsid w:val="2D8169D8"/>
    <w:rsid w:val="2DBE4A06"/>
    <w:rsid w:val="2E712EDD"/>
    <w:rsid w:val="2EBD544A"/>
    <w:rsid w:val="2EC173C5"/>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921199"/>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styleId="12">
    <w:name w:val="List Paragraph"/>
    <w:basedOn w:val="1"/>
    <w:qFormat/>
    <w:uiPriority w:val="34"/>
    <w:pPr>
      <w:ind w:firstLine="420" w:firstLineChars="200"/>
    </w:pPr>
  </w:style>
  <w:style w:type="character" w:customStyle="1" w:styleId="13">
    <w:name w:val="Anrede1IhrZeichen"/>
    <w:basedOn w:val="10"/>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0"/>
    <w:link w:val="6"/>
    <w:qFormat/>
    <w:uiPriority w:val="0"/>
    <w:rPr>
      <w:rFonts w:ascii="Times New Roman" w:hAnsi="Times New Roman" w:eastAsia="宋体" w:cs="Times New Roman"/>
      <w:kern w:val="2"/>
      <w:sz w:val="18"/>
      <w:szCs w:val="18"/>
    </w:rPr>
  </w:style>
  <w:style w:type="paragraph" w:customStyle="1" w:styleId="16">
    <w:name w:val="列出段落1"/>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2179</Words>
  <Characters>2337</Characters>
  <Lines>5</Lines>
  <Paragraphs>1</Paragraphs>
  <TotalTime>0</TotalTime>
  <ScaleCrop>false</ScaleCrop>
  <LinksUpToDate>false</LinksUpToDate>
  <CharactersWithSpaces>2351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2026-03-18T00:29:40Z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