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10"/>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10"/>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10"/>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10"/>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10"/>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10"/>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529DCEFC">
      <w:pPr>
        <w:spacing w:line="440" w:lineRule="exact"/>
        <w:jc w:val="both"/>
        <w:rPr>
          <w:rFonts w:hint="eastAsia"/>
          <w:b/>
          <w:sz w:val="32"/>
          <w:szCs w:val="32"/>
        </w:rPr>
      </w:pPr>
      <w:bookmarkStart w:id="1" w:name="_GoBack"/>
      <w:bookmarkEnd w:id="1"/>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50BED645">
      <w:pPr>
        <w:spacing w:line="360" w:lineRule="auto"/>
        <w:jc w:val="center"/>
        <w:rPr>
          <w:rFonts w:hint="eastAsia" w:ascii="宋体" w:hAnsi="宋体" w:eastAsia="宋体" w:cs="宋体"/>
          <w:b/>
          <w:color w:val="000000" w:themeColor="text1"/>
          <w:kern w:val="28"/>
          <w:sz w:val="44"/>
          <w:szCs w:val="36"/>
        </w:rPr>
      </w:pPr>
      <w:r>
        <w:rPr>
          <w:rFonts w:hint="eastAsia" w:ascii="宋体" w:hAnsi="宋体" w:eastAsia="宋体" w:cs="宋体"/>
          <w:b/>
          <w:color w:val="000000" w:themeColor="text1"/>
          <w:kern w:val="28"/>
          <w:sz w:val="44"/>
          <w:szCs w:val="36"/>
        </w:rPr>
        <w:t>采购需求书</w:t>
      </w:r>
    </w:p>
    <w:p w14:paraId="442EF9B2">
      <w:pPr>
        <w:numPr>
          <w:ilvl w:val="0"/>
          <w:numId w:val="4"/>
        </w:numPr>
        <w:spacing w:line="360" w:lineRule="auto"/>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总则：</w:t>
      </w:r>
    </w:p>
    <w:p w14:paraId="592DF954">
      <w:pPr>
        <w:numPr>
          <w:ilvl w:val="0"/>
          <w:numId w:val="5"/>
        </w:numPr>
        <w:spacing w:line="360" w:lineRule="auto"/>
        <w:rPr>
          <w:rFonts w:hint="eastAsia" w:ascii="宋体" w:hAnsi="宋体" w:eastAsia="宋体" w:cs="宋体"/>
          <w:color w:val="000000" w:themeColor="text1"/>
          <w:szCs w:val="21"/>
        </w:rPr>
      </w:pPr>
      <w:r>
        <w:rPr>
          <w:rFonts w:hint="eastAsia" w:ascii="宋体" w:hAnsi="宋体" w:eastAsia="宋体" w:cs="宋体"/>
          <w:szCs w:val="21"/>
          <w:lang w:eastAsia="zh-CN"/>
        </w:rPr>
        <w:t>投标人</w:t>
      </w:r>
      <w:r>
        <w:rPr>
          <w:rFonts w:hint="eastAsia" w:ascii="宋体" w:hAnsi="宋体" w:eastAsia="宋体" w:cs="宋体"/>
          <w:szCs w:val="21"/>
        </w:rPr>
        <w:t>报价应包括标的设备（原装、全新合格的设备）、相关附件、配套设施、税费、运费、保险费、仓储费、安装调试、中标服务费、二次本地服务、售后服务、</w:t>
      </w:r>
      <w:r>
        <w:rPr>
          <w:rFonts w:hint="eastAsia" w:ascii="宋体" w:hAnsi="宋体" w:eastAsia="宋体" w:cs="宋体"/>
          <w:highlight w:val="none"/>
        </w:rPr>
        <w:t>系统对接费、端口对接费</w:t>
      </w:r>
      <w:r>
        <w:rPr>
          <w:rFonts w:hint="eastAsia" w:ascii="宋体" w:hAnsi="宋体" w:eastAsia="宋体" w:cs="宋体"/>
          <w:szCs w:val="21"/>
        </w:rPr>
        <w:t>（含支付给第三方厂商的对接费用）、培训、质保及合同实施过程中不可预见费用等的相关全部费用，在项目实施过程中出现报价内容的任何遗漏，均由</w:t>
      </w:r>
      <w:r>
        <w:rPr>
          <w:rFonts w:hint="eastAsia" w:ascii="宋体" w:hAnsi="宋体" w:eastAsia="宋体" w:cs="宋体"/>
          <w:szCs w:val="21"/>
          <w:lang w:eastAsia="zh-CN"/>
        </w:rPr>
        <w:t>中标人</w:t>
      </w:r>
      <w:r>
        <w:rPr>
          <w:rFonts w:hint="eastAsia" w:ascii="宋体" w:hAnsi="宋体" w:eastAsia="宋体" w:cs="宋体"/>
          <w:szCs w:val="21"/>
        </w:rPr>
        <w:t>负责相关费用，采购人将不再支付任何费用。</w:t>
      </w:r>
    </w:p>
    <w:p w14:paraId="53C2F949">
      <w:pPr>
        <w:pStyle w:val="5"/>
        <w:numPr>
          <w:ilvl w:val="0"/>
          <w:numId w:val="5"/>
        </w:numPr>
        <w:spacing w:after="0" w:line="360" w:lineRule="auto"/>
        <w:rPr>
          <w:rFonts w:hint="eastAsia" w:ascii="宋体" w:hAnsi="宋体" w:eastAsia="宋体" w:cs="宋体"/>
          <w:color w:val="0000FF"/>
          <w:szCs w:val="21"/>
        </w:rPr>
      </w:pPr>
      <w:r>
        <w:rPr>
          <w:rFonts w:hint="eastAsia" w:ascii="宋体" w:hAnsi="宋体" w:eastAsia="宋体" w:cs="宋体"/>
          <w:color w:val="000000" w:themeColor="text1"/>
          <w:szCs w:val="21"/>
        </w:rPr>
        <w:t>采购需求中凡有“</w:t>
      </w:r>
      <w:bookmarkStart w:id="0" w:name="OLE_LINK2"/>
      <w:r>
        <w:rPr>
          <w:rFonts w:hint="eastAsia" w:ascii="宋体" w:hAnsi="宋体" w:eastAsia="宋体" w:cs="宋体"/>
          <w:color w:val="000000" w:themeColor="text1"/>
          <w:szCs w:val="21"/>
        </w:rPr>
        <w:t>★</w:t>
      </w:r>
      <w:bookmarkEnd w:id="0"/>
      <w:r>
        <w:rPr>
          <w:rFonts w:hint="eastAsia" w:ascii="宋体" w:hAnsi="宋体" w:eastAsia="宋体" w:cs="宋体"/>
          <w:color w:val="000000" w:themeColor="text1"/>
          <w:szCs w:val="21"/>
        </w:rPr>
        <w:t>”标识的内容条款为关键条款，</w:t>
      </w:r>
      <w:r>
        <w:rPr>
          <w:rFonts w:hint="eastAsia" w:ascii="宋体" w:hAnsi="宋体" w:eastAsia="宋体" w:cs="宋体"/>
          <w:color w:val="000000" w:themeColor="text1"/>
          <w:szCs w:val="21"/>
          <w:lang w:eastAsia="zh-CN"/>
        </w:rPr>
        <w:t>投标人</w:t>
      </w:r>
      <w:r>
        <w:rPr>
          <w:rFonts w:hint="eastAsia" w:ascii="宋体" w:hAnsi="宋体" w:eastAsia="宋体" w:cs="宋体"/>
          <w:color w:val="000000" w:themeColor="text1"/>
          <w:szCs w:val="21"/>
        </w:rPr>
        <w:t>必须对此</w:t>
      </w:r>
      <w:r>
        <w:rPr>
          <w:rFonts w:hint="eastAsia" w:ascii="宋体" w:hAnsi="宋体" w:eastAsia="宋体" w:cs="宋体"/>
          <w:color w:val="000000" w:themeColor="text1"/>
          <w:szCs w:val="21"/>
          <w:lang w:eastAsia="zh-CN"/>
        </w:rPr>
        <w:t>做出</w:t>
      </w:r>
      <w:r>
        <w:rPr>
          <w:rFonts w:hint="eastAsia" w:ascii="宋体" w:hAnsi="宋体" w:eastAsia="宋体" w:cs="宋体"/>
          <w:color w:val="000000" w:themeColor="text1"/>
          <w:szCs w:val="21"/>
        </w:rPr>
        <w:t>回答并完全满足这些要求不可以出现任何负偏离，对这些关键条款的任何负偏离将视为无效投标。</w:t>
      </w:r>
    </w:p>
    <w:p w14:paraId="79E24354">
      <w:pPr>
        <w:pStyle w:val="5"/>
        <w:numPr>
          <w:ilvl w:val="0"/>
          <w:numId w:val="5"/>
        </w:numPr>
        <w:spacing w:after="0" w:line="360" w:lineRule="auto"/>
        <w:rPr>
          <w:rFonts w:hint="eastAsia" w:ascii="宋体" w:hAnsi="宋体" w:eastAsia="宋体" w:cs="宋体"/>
          <w:color w:val="0000FF"/>
          <w:szCs w:val="21"/>
        </w:rPr>
      </w:pPr>
      <w:r>
        <w:rPr>
          <w:rFonts w:hint="eastAsia" w:ascii="宋体" w:hAnsi="宋体" w:eastAsia="宋体" w:cs="宋体"/>
          <w:color w:val="000000" w:themeColor="text1"/>
          <w:szCs w:val="21"/>
        </w:rPr>
        <w:t>加注“▲”的内容为重点评标项目，</w:t>
      </w:r>
      <w:r>
        <w:rPr>
          <w:rFonts w:hint="eastAsia" w:ascii="宋体" w:hAnsi="宋体" w:eastAsia="宋体" w:cs="宋体"/>
          <w:color w:val="000000" w:themeColor="text1"/>
          <w:szCs w:val="21"/>
          <w:lang w:eastAsia="zh-CN"/>
        </w:rPr>
        <w:t>投标人</w:t>
      </w:r>
      <w:r>
        <w:rPr>
          <w:rFonts w:hint="eastAsia" w:ascii="宋体" w:hAnsi="宋体" w:eastAsia="宋体" w:cs="宋体"/>
          <w:color w:val="000000" w:themeColor="text1"/>
          <w:szCs w:val="21"/>
        </w:rPr>
        <w:t>必须对该标识项目按照要求进行真实应答描述。但不作为无效投标条款。</w:t>
      </w:r>
    </w:p>
    <w:p w14:paraId="783DD73D">
      <w:pPr>
        <w:pStyle w:val="5"/>
        <w:numPr>
          <w:ilvl w:val="0"/>
          <w:numId w:val="5"/>
        </w:numPr>
        <w:spacing w:after="0" w:line="360" w:lineRule="auto"/>
        <w:rPr>
          <w:rFonts w:hint="eastAsia" w:ascii="宋体" w:hAnsi="宋体" w:eastAsia="宋体" w:cs="宋体"/>
          <w:color w:val="000000" w:themeColor="text1"/>
          <w:szCs w:val="21"/>
        </w:rPr>
      </w:pPr>
      <w:r>
        <w:rPr>
          <w:rFonts w:hint="eastAsia" w:ascii="宋体" w:hAnsi="宋体" w:eastAsia="宋体" w:cs="宋体"/>
          <w:szCs w:val="21"/>
        </w:rPr>
        <w:t>★投标人所投设备如属于医疗器械设备</w:t>
      </w:r>
      <w:r>
        <w:rPr>
          <w:rFonts w:hint="eastAsia" w:ascii="宋体" w:hAnsi="宋体" w:eastAsia="宋体" w:cs="宋体"/>
          <w:color w:val="0000FF"/>
          <w:szCs w:val="21"/>
        </w:rPr>
        <w:t>（含医用耗材）</w:t>
      </w:r>
      <w:r>
        <w:rPr>
          <w:rFonts w:hint="eastAsia" w:ascii="宋体" w:hAnsi="宋体" w:eastAsia="宋体" w:cs="宋体"/>
          <w:szCs w:val="21"/>
        </w:rPr>
        <w:t>，</w:t>
      </w:r>
      <w:r>
        <w:rPr>
          <w:rFonts w:hint="eastAsia" w:ascii="宋体" w:hAnsi="宋体" w:eastAsia="宋体" w:cs="宋体"/>
          <w:szCs w:val="21"/>
          <w:lang w:eastAsia="zh-CN"/>
        </w:rPr>
        <w:t>投标人</w:t>
      </w:r>
      <w:r>
        <w:rPr>
          <w:rFonts w:hint="eastAsia" w:ascii="宋体" w:hAnsi="宋体" w:eastAsia="宋体" w:cs="宋体"/>
          <w:szCs w:val="21"/>
        </w:rPr>
        <w:t>应该符合《医疗器械经营质量管理规范》和《医疗器械监督管理条例》规定，并结合本项目特性提供</w:t>
      </w:r>
      <w:r>
        <w:rPr>
          <w:rFonts w:hint="eastAsia" w:ascii="宋体" w:hAnsi="宋体" w:eastAsia="宋体" w:cs="宋体"/>
          <w:color w:val="0000FF"/>
          <w:szCs w:val="21"/>
        </w:rPr>
        <w:t>设备或耗材的</w:t>
      </w:r>
      <w:r>
        <w:rPr>
          <w:rFonts w:hint="eastAsia" w:ascii="宋体" w:hAnsi="宋体" w:eastAsia="宋体" w:cs="宋体"/>
          <w:szCs w:val="21"/>
        </w:rPr>
        <w:t>有效医疗器械注册证或备案证明材料和</w:t>
      </w:r>
      <w:r>
        <w:rPr>
          <w:rFonts w:hint="eastAsia" w:ascii="宋体" w:hAnsi="宋体" w:eastAsia="宋体" w:cs="宋体"/>
          <w:szCs w:val="21"/>
          <w:lang w:eastAsia="zh-CN"/>
        </w:rPr>
        <w:t>投标人</w:t>
      </w:r>
      <w:r>
        <w:rPr>
          <w:rFonts w:hint="eastAsia" w:ascii="宋体" w:hAnsi="宋体" w:eastAsia="宋体" w:cs="宋体"/>
          <w:szCs w:val="21"/>
        </w:rPr>
        <w:t>的经营许可或备案证明材料（提供证明材料复印件加盖公章）。所投设备</w:t>
      </w:r>
      <w:r>
        <w:rPr>
          <w:rFonts w:hint="eastAsia" w:ascii="宋体" w:hAnsi="宋体" w:eastAsia="宋体" w:cs="宋体"/>
          <w:color w:val="0000FF"/>
          <w:szCs w:val="21"/>
        </w:rPr>
        <w:t>（含医用耗材）</w:t>
      </w:r>
      <w:r>
        <w:rPr>
          <w:rFonts w:hint="eastAsia" w:ascii="宋体" w:hAnsi="宋体" w:eastAsia="宋体" w:cs="宋体"/>
          <w:szCs w:val="21"/>
        </w:rPr>
        <w:t>必须是在医疗器械注册证或备案证明有效期内生产的产品。不属于医疗器械设备无须提供医疗器械注册证或备案证。</w:t>
      </w:r>
    </w:p>
    <w:p w14:paraId="77772463">
      <w:pPr>
        <w:pStyle w:val="5"/>
        <w:numPr>
          <w:ilvl w:val="0"/>
          <w:numId w:val="5"/>
        </w:numPr>
        <w:spacing w:after="0"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本文的“质保期”是指中标标的物经约定的验收机构完成验收之日起算，截至</w:t>
      </w:r>
      <w:r>
        <w:rPr>
          <w:rFonts w:hint="eastAsia" w:ascii="宋体" w:hAnsi="宋体" w:eastAsia="宋体" w:cs="宋体"/>
          <w:color w:val="000000" w:themeColor="text1"/>
          <w:szCs w:val="21"/>
          <w:lang w:eastAsia="zh-CN"/>
        </w:rPr>
        <w:t>中标人</w:t>
      </w:r>
      <w:r>
        <w:rPr>
          <w:rFonts w:hint="eastAsia" w:ascii="宋体" w:hAnsi="宋体" w:eastAsia="宋体" w:cs="宋体"/>
          <w:color w:val="000000" w:themeColor="text1"/>
          <w:szCs w:val="21"/>
        </w:rPr>
        <w:t>承诺的期限。</w:t>
      </w:r>
    </w:p>
    <w:p w14:paraId="30BBD317">
      <w:pPr>
        <w:numPr>
          <w:ilvl w:val="0"/>
          <w:numId w:val="4"/>
        </w:numPr>
        <w:spacing w:line="360" w:lineRule="auto"/>
        <w:rPr>
          <w:rFonts w:hint="eastAsia" w:ascii="宋体" w:hAnsi="宋体" w:eastAsia="宋体" w:cs="宋体"/>
          <w:b/>
          <w:color w:val="000000" w:themeColor="text1"/>
          <w:szCs w:val="21"/>
          <w:highlight w:val="yellow"/>
        </w:rPr>
      </w:pPr>
      <w:r>
        <w:rPr>
          <w:rFonts w:hint="eastAsia" w:ascii="宋体" w:hAnsi="宋体" w:eastAsia="宋体" w:cs="宋体"/>
          <w:b/>
          <w:color w:val="000000" w:themeColor="text1"/>
          <w:szCs w:val="21"/>
          <w:highlight w:val="yellow"/>
        </w:rPr>
        <w:t>基本需求</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2"/>
        <w:gridCol w:w="3007"/>
        <w:gridCol w:w="3329"/>
      </w:tblGrid>
      <w:tr w14:paraId="719E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033" w:type="pct"/>
            <w:vAlign w:val="center"/>
          </w:tcPr>
          <w:p w14:paraId="309DED34">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项目名称</w:t>
            </w:r>
          </w:p>
        </w:tc>
        <w:tc>
          <w:tcPr>
            <w:tcW w:w="1408" w:type="pct"/>
            <w:vAlign w:val="center"/>
          </w:tcPr>
          <w:p w14:paraId="35A1A12F">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需求科室/部门</w:t>
            </w:r>
          </w:p>
        </w:tc>
        <w:tc>
          <w:tcPr>
            <w:tcW w:w="1558" w:type="pct"/>
            <w:vAlign w:val="center"/>
          </w:tcPr>
          <w:p w14:paraId="14B151E2">
            <w:pPr>
              <w:jc w:val="center"/>
              <w:rPr>
                <w:rFonts w:hint="eastAsia" w:ascii="宋体" w:hAnsi="宋体" w:eastAsia="宋体" w:cs="宋体"/>
                <w:color w:val="000000" w:themeColor="text1"/>
                <w:szCs w:val="21"/>
              </w:rPr>
            </w:pPr>
            <w:r>
              <w:rPr>
                <w:rFonts w:hint="eastAsia" w:ascii="宋体" w:hAnsi="宋体" w:eastAsia="宋体" w:cs="宋体"/>
                <w:color w:val="auto"/>
                <w:szCs w:val="21"/>
              </w:rPr>
              <w:t>数量（套）</w:t>
            </w:r>
          </w:p>
        </w:tc>
      </w:tr>
      <w:tr w14:paraId="2954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033" w:type="pct"/>
            <w:vAlign w:val="center"/>
          </w:tcPr>
          <w:p w14:paraId="7B1DAAFF">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电子支气管内窥镜</w:t>
            </w:r>
          </w:p>
        </w:tc>
        <w:tc>
          <w:tcPr>
            <w:tcW w:w="1408" w:type="pct"/>
            <w:vAlign w:val="center"/>
          </w:tcPr>
          <w:p w14:paraId="3C35E9DB">
            <w:pPr>
              <w:jc w:val="center"/>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rPr>
              <w:t>儿科</w:t>
            </w:r>
            <w:r>
              <w:rPr>
                <w:rFonts w:hint="eastAsia" w:ascii="宋体" w:hAnsi="宋体" w:eastAsia="宋体" w:cs="宋体"/>
                <w:color w:val="000000" w:themeColor="text1"/>
                <w:szCs w:val="21"/>
                <w:lang w:val="en-US" w:eastAsia="zh-CN"/>
              </w:rPr>
              <w:t>picu</w:t>
            </w:r>
          </w:p>
        </w:tc>
        <w:tc>
          <w:tcPr>
            <w:tcW w:w="1558" w:type="pct"/>
            <w:vAlign w:val="center"/>
          </w:tcPr>
          <w:p w14:paraId="7B593BB7">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r>
    </w:tbl>
    <w:p w14:paraId="038CC560">
      <w:pPr>
        <w:numPr>
          <w:ilvl w:val="0"/>
          <w:numId w:val="6"/>
        </w:numPr>
        <w:spacing w:line="360" w:lineRule="auto"/>
        <w:ind w:left="425" w:leftChars="0" w:hanging="425" w:firstLineChars="0"/>
        <w:rPr>
          <w:rFonts w:hint="eastAsia" w:ascii="宋体" w:hAnsi="宋体" w:cs="宋体"/>
        </w:rPr>
      </w:pPr>
      <w:r>
        <w:rPr>
          <w:rFonts w:hint="eastAsia" w:ascii="宋体" w:hAnsi="宋体" w:eastAsia="宋体" w:cs="宋体"/>
          <w:color w:val="000000" w:themeColor="text1"/>
          <w:szCs w:val="21"/>
        </w:rPr>
        <w:t>核心产品：电子支气管内窥镜</w:t>
      </w:r>
    </w:p>
    <w:p w14:paraId="29C2C9AA">
      <w:pPr>
        <w:numPr>
          <w:ilvl w:val="0"/>
          <w:numId w:val="6"/>
        </w:numPr>
        <w:spacing w:line="360" w:lineRule="auto"/>
        <w:ind w:left="425" w:leftChars="0" w:hanging="425" w:firstLineChars="0"/>
        <w:rPr>
          <w:rFonts w:hint="eastAsia" w:ascii="宋体" w:hAnsi="宋体" w:eastAsia="宋体" w:cs="宋体"/>
          <w:b/>
          <w:color w:val="000000" w:themeColor="text1"/>
          <w:szCs w:val="21"/>
          <w:lang w:eastAsia="zh-CN"/>
        </w:rPr>
      </w:pPr>
      <w:r>
        <w:rPr>
          <w:rFonts w:hint="eastAsia" w:ascii="宋体" w:hAnsi="宋体" w:eastAsia="宋体" w:cs="宋体"/>
          <w:color w:val="000000" w:themeColor="text1"/>
          <w:szCs w:val="21"/>
        </w:rPr>
        <w:t>用途：新生儿及以上儿童气管、支气管及肺的观察、诊断、摄影或辅助治疗</w:t>
      </w:r>
      <w:r>
        <w:rPr>
          <w:rFonts w:hint="eastAsia" w:ascii="宋体" w:hAnsi="宋体" w:eastAsia="宋体" w:cs="宋体"/>
          <w:color w:val="000000" w:themeColor="text1"/>
          <w:szCs w:val="21"/>
          <w:lang w:eastAsia="zh-CN"/>
        </w:rPr>
        <w:t>。</w:t>
      </w:r>
    </w:p>
    <w:p w14:paraId="30BF4651">
      <w:pPr>
        <w:numPr>
          <w:ilvl w:val="0"/>
          <w:numId w:val="6"/>
        </w:numPr>
        <w:spacing w:line="360" w:lineRule="auto"/>
        <w:ind w:left="425" w:leftChars="0" w:hanging="425" w:firstLineChars="0"/>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设备符合中山市物价收费名目：</w:t>
      </w:r>
    </w:p>
    <w:tbl>
      <w:tblPr>
        <w:tblStyle w:val="10"/>
        <w:tblW w:w="3938" w:type="pct"/>
        <w:tblInd w:w="0" w:type="dxa"/>
        <w:tblLayout w:type="autofit"/>
        <w:tblCellMar>
          <w:top w:w="0" w:type="dxa"/>
          <w:left w:w="108" w:type="dxa"/>
          <w:bottom w:w="0" w:type="dxa"/>
          <w:right w:w="108" w:type="dxa"/>
        </w:tblCellMar>
      </w:tblPr>
      <w:tblGrid>
        <w:gridCol w:w="1390"/>
        <w:gridCol w:w="2159"/>
        <w:gridCol w:w="4864"/>
      </w:tblGrid>
      <w:tr w14:paraId="1317917B">
        <w:tblPrEx>
          <w:tblCellMar>
            <w:top w:w="0" w:type="dxa"/>
            <w:left w:w="108" w:type="dxa"/>
            <w:bottom w:w="0" w:type="dxa"/>
            <w:right w:w="108" w:type="dxa"/>
          </w:tblCellMar>
        </w:tblPrEx>
        <w:trPr>
          <w:trHeight w:val="750" w:hRule="atLeast"/>
        </w:trPr>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56CF">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使用科室</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24AE">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中山市物价编码</w:t>
            </w:r>
          </w:p>
        </w:tc>
        <w:tc>
          <w:tcPr>
            <w:tcW w:w="2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0D1D">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收费项目名称</w:t>
            </w:r>
          </w:p>
        </w:tc>
      </w:tr>
      <w:tr w14:paraId="191F0718">
        <w:tblPrEx>
          <w:tblCellMar>
            <w:top w:w="0" w:type="dxa"/>
            <w:left w:w="108" w:type="dxa"/>
            <w:bottom w:w="0" w:type="dxa"/>
            <w:right w:w="108" w:type="dxa"/>
          </w:tblCellMar>
        </w:tblPrEx>
        <w:trPr>
          <w:trHeight w:val="375" w:hRule="atLeast"/>
        </w:trPr>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D981">
            <w:pPr>
              <w:widowControl/>
              <w:spacing w:line="360" w:lineRule="auto"/>
              <w:jc w:val="center"/>
              <w:textAlignment w:val="center"/>
              <w:rPr>
                <w:rFonts w:hint="eastAsia" w:ascii="宋体" w:hAnsi="宋体" w:eastAsia="宋体" w:cs="宋体"/>
                <w:szCs w:val="21"/>
              </w:rPr>
            </w:pPr>
            <w:r>
              <w:rPr>
                <w:rFonts w:hint="eastAsia" w:ascii="宋体" w:hAnsi="宋体" w:eastAsia="宋体" w:cs="宋体"/>
                <w:color w:val="000000" w:themeColor="text1"/>
                <w:szCs w:val="21"/>
                <w:lang w:val="en-US" w:eastAsia="zh-CN"/>
              </w:rPr>
              <w:t>儿科</w:t>
            </w:r>
            <w:r>
              <w:rPr>
                <w:rFonts w:hint="eastAsia" w:ascii="宋体" w:hAnsi="宋体" w:eastAsia="宋体" w:cs="宋体"/>
                <w:color w:val="000000" w:themeColor="text1"/>
                <w:szCs w:val="21"/>
              </w:rPr>
              <w:t>PICU</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D7B9">
            <w:pPr>
              <w:widowControl/>
              <w:spacing w:line="360" w:lineRule="auto"/>
              <w:jc w:val="center"/>
              <w:textAlignment w:val="center"/>
              <w:rPr>
                <w:rFonts w:hint="eastAsia" w:ascii="宋体" w:hAnsi="宋体" w:eastAsia="宋体" w:cs="宋体"/>
                <w:szCs w:val="21"/>
              </w:rPr>
            </w:pPr>
            <w:r>
              <w:rPr>
                <w:rFonts w:ascii="宋体" w:hAnsi="宋体" w:eastAsia="宋体" w:cs="宋体"/>
                <w:color w:val="000000" w:themeColor="text1"/>
                <w:kern w:val="0"/>
                <w:szCs w:val="21"/>
                <w:lang w:bidi="ar"/>
              </w:rPr>
              <w:t>310605002</w:t>
            </w:r>
          </w:p>
        </w:tc>
        <w:tc>
          <w:tcPr>
            <w:tcW w:w="2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8DFB">
            <w:pPr>
              <w:widowControl/>
              <w:spacing w:line="360" w:lineRule="auto"/>
              <w:jc w:val="center"/>
              <w:textAlignment w:val="center"/>
              <w:rPr>
                <w:rFonts w:hint="eastAsia" w:ascii="宋体" w:hAnsi="宋体" w:eastAsia="宋体" w:cs="宋体"/>
                <w:szCs w:val="21"/>
              </w:rPr>
            </w:pPr>
            <w:r>
              <w:rPr>
                <w:rFonts w:hint="eastAsia" w:ascii="宋体" w:hAnsi="宋体" w:eastAsia="宋体" w:cs="宋体"/>
                <w:color w:val="000000" w:themeColor="text1"/>
                <w:szCs w:val="21"/>
              </w:rPr>
              <w:t>纤维支气管镜检查</w:t>
            </w:r>
          </w:p>
        </w:tc>
      </w:tr>
      <w:tr w14:paraId="3FE70D4D">
        <w:tblPrEx>
          <w:tblCellMar>
            <w:top w:w="0" w:type="dxa"/>
            <w:left w:w="108" w:type="dxa"/>
            <w:bottom w:w="0" w:type="dxa"/>
            <w:right w:w="108" w:type="dxa"/>
          </w:tblCellMar>
        </w:tblPrEx>
        <w:trPr>
          <w:trHeight w:val="375" w:hRule="atLeast"/>
        </w:trPr>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EB0D">
            <w:pPr>
              <w:widowControl/>
              <w:spacing w:line="360" w:lineRule="auto"/>
              <w:jc w:val="center"/>
              <w:textAlignment w:val="center"/>
              <w:rPr>
                <w:rFonts w:hint="eastAsia" w:ascii="宋体" w:hAnsi="宋体" w:eastAsia="宋体" w:cs="宋体"/>
                <w:kern w:val="0"/>
                <w:szCs w:val="21"/>
                <w:lang w:bidi="ar"/>
              </w:rPr>
            </w:pPr>
            <w:r>
              <w:rPr>
                <w:rFonts w:hint="eastAsia" w:ascii="宋体" w:hAnsi="宋体" w:eastAsia="宋体" w:cs="宋体"/>
                <w:color w:val="000000" w:themeColor="text1"/>
                <w:szCs w:val="21"/>
                <w:lang w:val="en-US" w:eastAsia="zh-CN"/>
              </w:rPr>
              <w:t>儿科</w:t>
            </w:r>
            <w:r>
              <w:rPr>
                <w:rFonts w:hint="eastAsia" w:ascii="宋体" w:hAnsi="宋体" w:eastAsia="宋体" w:cs="宋体"/>
                <w:color w:val="000000" w:themeColor="text1"/>
                <w:szCs w:val="21"/>
              </w:rPr>
              <w:t>PICU</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2891">
            <w:pPr>
              <w:ind w:firstLine="420" w:firstLineChars="200"/>
              <w:rPr>
                <w:rFonts w:hint="eastAsia" w:ascii="宋体" w:hAnsi="宋体" w:eastAsia="宋体" w:cs="宋体"/>
                <w:kern w:val="0"/>
                <w:szCs w:val="21"/>
                <w:lang w:bidi="ar"/>
              </w:rPr>
            </w:pPr>
            <w:r>
              <w:rPr>
                <w:rFonts w:ascii="宋体" w:hAnsi="宋体" w:eastAsia="宋体" w:cs="宋体"/>
                <w:color w:val="000000" w:themeColor="text1"/>
                <w:kern w:val="0"/>
                <w:szCs w:val="21"/>
                <w:lang w:bidi="ar"/>
              </w:rPr>
              <w:t>310605006</w:t>
            </w:r>
          </w:p>
        </w:tc>
        <w:tc>
          <w:tcPr>
            <w:tcW w:w="2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0A29">
            <w:pPr>
              <w:widowControl/>
              <w:spacing w:line="360" w:lineRule="auto"/>
              <w:jc w:val="center"/>
              <w:textAlignment w:val="center"/>
              <w:rPr>
                <w:rFonts w:hint="eastAsia" w:ascii="宋体" w:hAnsi="宋体" w:eastAsia="宋体" w:cs="宋体"/>
                <w:kern w:val="0"/>
                <w:szCs w:val="21"/>
                <w:lang w:bidi="ar"/>
              </w:rPr>
            </w:pPr>
            <w:r>
              <w:rPr>
                <w:rFonts w:hint="eastAsia" w:ascii="宋体" w:hAnsi="宋体" w:eastAsia="宋体" w:cs="宋体"/>
                <w:color w:val="000000" w:themeColor="text1"/>
                <w:szCs w:val="21"/>
              </w:rPr>
              <w:t>经纤支镜肺泡灌洗诊疗术</w:t>
            </w:r>
          </w:p>
        </w:tc>
      </w:tr>
      <w:tr w14:paraId="27DCC213">
        <w:tblPrEx>
          <w:tblCellMar>
            <w:top w:w="0" w:type="dxa"/>
            <w:left w:w="108" w:type="dxa"/>
            <w:bottom w:w="0" w:type="dxa"/>
            <w:right w:w="108" w:type="dxa"/>
          </w:tblCellMar>
        </w:tblPrEx>
        <w:trPr>
          <w:trHeight w:val="375" w:hRule="atLeast"/>
        </w:trPr>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2881">
            <w:pPr>
              <w:widowControl/>
              <w:spacing w:line="360" w:lineRule="auto"/>
              <w:jc w:val="center"/>
              <w:textAlignment w:val="center"/>
              <w:rPr>
                <w:rFonts w:hint="eastAsia" w:ascii="宋体" w:hAnsi="宋体" w:eastAsia="宋体" w:cs="宋体"/>
                <w:kern w:val="0"/>
                <w:szCs w:val="21"/>
                <w:lang w:bidi="ar"/>
              </w:rPr>
            </w:pPr>
            <w:r>
              <w:rPr>
                <w:rFonts w:hint="eastAsia" w:ascii="宋体" w:hAnsi="宋体" w:eastAsia="宋体" w:cs="宋体"/>
                <w:color w:val="000000" w:themeColor="text1"/>
                <w:szCs w:val="21"/>
                <w:lang w:val="en-US" w:eastAsia="zh-CN"/>
              </w:rPr>
              <w:t>儿科</w:t>
            </w:r>
            <w:r>
              <w:rPr>
                <w:rFonts w:hint="eastAsia" w:ascii="宋体" w:hAnsi="宋体" w:eastAsia="宋体" w:cs="宋体"/>
                <w:color w:val="000000" w:themeColor="text1"/>
                <w:szCs w:val="21"/>
              </w:rPr>
              <w:t>PICU</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9510">
            <w:pPr>
              <w:widowControl/>
              <w:spacing w:line="360" w:lineRule="auto"/>
              <w:jc w:val="center"/>
              <w:textAlignment w:val="center"/>
              <w:rPr>
                <w:rFonts w:hint="eastAsia" w:ascii="宋体" w:hAnsi="宋体" w:eastAsia="宋体" w:cs="宋体"/>
                <w:kern w:val="0"/>
                <w:szCs w:val="21"/>
                <w:lang w:bidi="ar"/>
              </w:rPr>
            </w:pPr>
            <w:r>
              <w:rPr>
                <w:rFonts w:ascii="宋体" w:hAnsi="宋体" w:eastAsia="宋体" w:cs="宋体"/>
                <w:color w:val="000000" w:themeColor="text1"/>
                <w:kern w:val="0"/>
                <w:szCs w:val="21"/>
                <w:lang w:bidi="ar"/>
              </w:rPr>
              <w:t>310605000-1</w:t>
            </w:r>
          </w:p>
        </w:tc>
        <w:tc>
          <w:tcPr>
            <w:tcW w:w="2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4321">
            <w:pPr>
              <w:widowControl/>
              <w:spacing w:line="360" w:lineRule="auto"/>
              <w:jc w:val="center"/>
              <w:textAlignment w:val="center"/>
              <w:rPr>
                <w:rFonts w:hint="eastAsia" w:ascii="宋体" w:hAnsi="宋体" w:eastAsia="宋体" w:cs="宋体"/>
                <w:kern w:val="0"/>
                <w:szCs w:val="21"/>
                <w:lang w:bidi="ar"/>
              </w:rPr>
            </w:pPr>
            <w:r>
              <w:rPr>
                <w:rFonts w:hint="eastAsia" w:ascii="宋体" w:hAnsi="宋体" w:eastAsia="宋体" w:cs="宋体"/>
                <w:color w:val="000000" w:themeColor="text1"/>
                <w:szCs w:val="21"/>
              </w:rPr>
              <w:t>呼吸系统诊疗加收(使用电子纤维内镜)</w:t>
            </w:r>
          </w:p>
        </w:tc>
      </w:tr>
    </w:tbl>
    <w:p w14:paraId="3038C6A8">
      <w:pPr>
        <w:widowControl w:val="0"/>
        <w:numPr>
          <w:numId w:val="0"/>
        </w:numPr>
        <w:spacing w:line="360" w:lineRule="auto"/>
        <w:jc w:val="both"/>
        <w:rPr>
          <w:rFonts w:hint="eastAsia" w:ascii="宋体" w:hAnsi="宋体" w:eastAsia="宋体" w:cs="宋体"/>
          <w:b/>
          <w:color w:val="000000" w:themeColor="text1"/>
          <w:szCs w:val="21"/>
          <w:highlight w:val="yellow"/>
        </w:rPr>
      </w:pPr>
    </w:p>
    <w:p w14:paraId="1CAA3026">
      <w:pPr>
        <w:numPr>
          <w:ilvl w:val="0"/>
          <w:numId w:val="4"/>
        </w:numPr>
        <w:spacing w:line="360" w:lineRule="auto"/>
        <w:rPr>
          <w:rFonts w:hint="eastAsia" w:ascii="宋体" w:hAnsi="宋体" w:eastAsia="宋体" w:cs="宋体"/>
          <w:b/>
          <w:color w:val="000000" w:themeColor="text1"/>
          <w:szCs w:val="21"/>
          <w:highlight w:val="yellow"/>
        </w:rPr>
      </w:pPr>
      <w:r>
        <w:rPr>
          <w:rFonts w:hint="eastAsia" w:ascii="宋体" w:hAnsi="宋体" w:eastAsia="宋体" w:cs="宋体"/>
          <w:b/>
          <w:color w:val="000000" w:themeColor="text1"/>
          <w:szCs w:val="21"/>
          <w:highlight w:val="yellow"/>
        </w:rPr>
        <w:t>技术参数：</w:t>
      </w:r>
    </w:p>
    <w:p w14:paraId="6AB19D1A">
      <w:pPr>
        <w:spacing w:line="360" w:lineRule="auto"/>
        <w:rPr>
          <w:rFonts w:hint="eastAsia" w:ascii="宋体" w:hAnsi="宋体" w:eastAsia="宋体" w:cs="宋体"/>
          <w:b/>
          <w:bCs/>
        </w:rPr>
      </w:pPr>
      <w:r>
        <w:rPr>
          <w:rFonts w:hint="eastAsia" w:ascii="宋体" w:hAnsi="宋体" w:eastAsia="宋体" w:cs="宋体"/>
          <w:b/>
          <w:bCs/>
        </w:rPr>
        <w:t>1.电子支气管内窥镜：</w:t>
      </w:r>
    </w:p>
    <w:p w14:paraId="3AE4D865">
      <w:pPr>
        <w:spacing w:line="360" w:lineRule="auto"/>
        <w:rPr>
          <w:rFonts w:hint="eastAsia" w:ascii="宋体" w:hAnsi="宋体" w:eastAsia="宋体" w:cs="宋体"/>
          <w:color w:val="auto"/>
        </w:rPr>
      </w:pPr>
      <w:r>
        <w:rPr>
          <w:rFonts w:hint="eastAsia" w:ascii="宋体" w:hAnsi="宋体" w:eastAsia="宋体" w:cs="宋体"/>
        </w:rPr>
        <w:t>1.1</w:t>
      </w:r>
      <w:r>
        <w:rPr>
          <w:rFonts w:hint="eastAsia" w:ascii="宋体" w:hAnsi="宋体" w:eastAsia="宋体" w:cs="宋体"/>
          <w:color w:val="auto"/>
        </w:rPr>
        <w:t>适用范围：适用于气管、支气管及肺的观察、诊断、摄影或辅助治疗；</w:t>
      </w:r>
    </w:p>
    <w:p w14:paraId="784E6E62">
      <w:pPr>
        <w:spacing w:line="360" w:lineRule="auto"/>
        <w:rPr>
          <w:rFonts w:hint="eastAsia" w:ascii="宋体" w:hAnsi="宋体" w:eastAsia="宋体" w:cs="宋体"/>
          <w:color w:val="auto"/>
        </w:rPr>
      </w:pPr>
      <w:r>
        <w:rPr>
          <w:rFonts w:hint="eastAsia" w:ascii="宋体" w:hAnsi="宋体" w:eastAsia="宋体" w:cs="宋体"/>
          <w:color w:val="auto"/>
        </w:rPr>
        <w:t>1.2吸引阀座一体式防脱设计；</w:t>
      </w:r>
    </w:p>
    <w:p w14:paraId="73EDA1AE">
      <w:pPr>
        <w:spacing w:line="360" w:lineRule="auto"/>
        <w:rPr>
          <w:rFonts w:hint="eastAsia" w:ascii="宋体" w:hAnsi="宋体" w:eastAsia="宋体" w:cs="宋体"/>
          <w:color w:val="auto"/>
        </w:rPr>
      </w:pPr>
      <w:r>
        <w:rPr>
          <w:rFonts w:hint="eastAsia" w:ascii="宋体" w:hAnsi="宋体" w:eastAsia="宋体" w:cs="宋体"/>
          <w:color w:val="auto"/>
        </w:rPr>
        <w:t>1.3景深：3-100mm；</w:t>
      </w:r>
    </w:p>
    <w:p w14:paraId="7E60889E">
      <w:pPr>
        <w:spacing w:line="360" w:lineRule="auto"/>
        <w:rPr>
          <w:rFonts w:hint="eastAsia" w:ascii="宋体" w:hAnsi="宋体" w:eastAsia="宋体" w:cs="宋体"/>
          <w:color w:val="auto"/>
        </w:rPr>
      </w:pPr>
      <w:r>
        <w:rPr>
          <w:rFonts w:hint="eastAsia" w:ascii="宋体" w:hAnsi="宋体" w:eastAsia="宋体" w:cs="宋体"/>
          <w:color w:val="auto"/>
        </w:rPr>
        <w:t>1.4视场角≥120°；</w:t>
      </w:r>
    </w:p>
    <w:p w14:paraId="586611B4">
      <w:pPr>
        <w:spacing w:line="360" w:lineRule="auto"/>
        <w:rPr>
          <w:rFonts w:hint="eastAsia" w:ascii="宋体" w:hAnsi="宋体" w:eastAsia="宋体" w:cs="宋体"/>
          <w:color w:val="auto"/>
        </w:rPr>
      </w:pPr>
      <w:r>
        <w:rPr>
          <w:rFonts w:hint="eastAsia" w:ascii="宋体" w:hAnsi="宋体" w:eastAsia="宋体" w:cs="宋体"/>
          <w:color w:val="auto"/>
        </w:rPr>
        <w:t>▲1.5软镜</w:t>
      </w:r>
      <w:r>
        <w:rPr>
          <w:rFonts w:hint="eastAsia" w:ascii="宋体" w:hAnsi="宋体" w:eastAsia="宋体" w:cs="宋体"/>
          <w:color w:val="auto"/>
        </w:rPr>
        <w:fldChar w:fldCharType="begin"/>
      </w:r>
      <w:r>
        <w:rPr>
          <w:rFonts w:hint="eastAsia" w:ascii="宋体" w:hAnsi="宋体" w:eastAsia="宋体" w:cs="宋体"/>
          <w:color w:val="auto"/>
        </w:rPr>
        <w:instrText xml:space="preserve">=1\*GB3</w:instrText>
      </w:r>
      <w:r>
        <w:rPr>
          <w:rFonts w:hint="eastAsia" w:ascii="宋体" w:hAnsi="宋体" w:eastAsia="宋体" w:cs="宋体"/>
          <w:color w:val="auto"/>
        </w:rPr>
        <w:fldChar w:fldCharType="separate"/>
      </w:r>
      <w:r>
        <w:rPr>
          <w:rFonts w:hint="eastAsia" w:ascii="宋体" w:hAnsi="宋体" w:eastAsia="宋体" w:cs="宋体"/>
          <w:color w:val="auto"/>
        </w:rPr>
        <w:t>①</w:t>
      </w:r>
      <w:r>
        <w:rPr>
          <w:rFonts w:hint="eastAsia" w:ascii="宋体" w:hAnsi="宋体" w:eastAsia="宋体" w:cs="宋体"/>
          <w:color w:val="auto"/>
        </w:rPr>
        <w:fldChar w:fldCharType="end"/>
      </w:r>
      <w:r>
        <w:rPr>
          <w:rFonts w:hint="eastAsia" w:ascii="宋体" w:hAnsi="宋体" w:eastAsia="宋体" w:cs="宋体"/>
          <w:color w:val="auto"/>
        </w:rPr>
        <w:t>插入管外径≤2.8mm，工作管道内径≥1.2mm；不经润滑可轻松通过3.5号单腔导管；</w:t>
      </w:r>
    </w:p>
    <w:p w14:paraId="5EC20D6A">
      <w:pPr>
        <w:spacing w:line="360" w:lineRule="auto"/>
        <w:rPr>
          <w:rFonts w:hint="eastAsia" w:ascii="宋体" w:hAnsi="宋体" w:eastAsia="宋体" w:cs="宋体"/>
          <w:color w:val="auto"/>
        </w:rPr>
      </w:pPr>
      <w:r>
        <w:rPr>
          <w:rFonts w:hint="eastAsia" w:ascii="宋体" w:hAnsi="宋体" w:eastAsia="宋体" w:cs="宋体"/>
          <w:color w:val="auto"/>
        </w:rPr>
        <w:t>1.6成像原理：电子成像技术，工作软管不含导像、导光纤维；</w:t>
      </w:r>
    </w:p>
    <w:p w14:paraId="55899258">
      <w:pPr>
        <w:spacing w:line="360" w:lineRule="auto"/>
        <w:rPr>
          <w:rFonts w:hint="eastAsia" w:ascii="宋体" w:hAnsi="宋体" w:eastAsia="宋体" w:cs="宋体"/>
          <w:color w:val="auto"/>
        </w:rPr>
      </w:pPr>
      <w:r>
        <w:rPr>
          <w:rFonts w:hint="eastAsia" w:ascii="宋体" w:hAnsi="宋体" w:eastAsia="宋体" w:cs="宋体"/>
          <w:color w:val="auto"/>
        </w:rPr>
        <w:t>1.7软镜工作软管有效长度≥610mm,插入管自带有360°刻度标识；</w:t>
      </w:r>
    </w:p>
    <w:p w14:paraId="19C016F5">
      <w:pPr>
        <w:spacing w:line="360" w:lineRule="auto"/>
        <w:rPr>
          <w:rFonts w:hint="eastAsia" w:ascii="宋体" w:hAnsi="宋体" w:eastAsia="宋体" w:cs="宋体"/>
          <w:color w:val="auto"/>
        </w:rPr>
      </w:pPr>
      <w:r>
        <w:rPr>
          <w:rFonts w:hint="eastAsia" w:ascii="宋体" w:hAnsi="宋体" w:eastAsia="宋体" w:cs="宋体"/>
          <w:color w:val="auto"/>
        </w:rPr>
        <w:t>1.8插入管先端头采用医用高分子材料，内外绝缘，确保手术安全；</w:t>
      </w:r>
    </w:p>
    <w:p w14:paraId="793D7870">
      <w:pPr>
        <w:spacing w:line="360" w:lineRule="auto"/>
        <w:rPr>
          <w:rFonts w:hint="eastAsia" w:ascii="宋体" w:hAnsi="宋体" w:eastAsia="宋体" w:cs="宋体"/>
          <w:color w:val="auto"/>
        </w:rPr>
      </w:pPr>
      <w:r>
        <w:rPr>
          <w:rFonts w:hint="eastAsia" w:ascii="宋体" w:hAnsi="宋体" w:eastAsia="宋体" w:cs="宋体"/>
          <w:color w:val="auto"/>
        </w:rPr>
        <w:t>▲1.9插入管软管前端弯曲角度：向上弯曲≥210°，向下弯曲≥130°，双向弯曲≥340°；</w:t>
      </w:r>
    </w:p>
    <w:p w14:paraId="46424CCF">
      <w:pPr>
        <w:spacing w:line="360" w:lineRule="auto"/>
        <w:rPr>
          <w:rFonts w:hint="eastAsia" w:ascii="宋体" w:hAnsi="宋体" w:eastAsia="宋体" w:cs="宋体"/>
          <w:color w:val="auto"/>
        </w:rPr>
      </w:pPr>
      <w:r>
        <w:rPr>
          <w:rFonts w:hint="eastAsia" w:ascii="宋体" w:hAnsi="宋体" w:eastAsia="宋体" w:cs="宋体"/>
          <w:color w:val="auto"/>
        </w:rPr>
        <w:t>1.10插入管具有被动弯曲关节，可实现灵活的插入；</w:t>
      </w:r>
    </w:p>
    <w:p w14:paraId="78897F3B">
      <w:pPr>
        <w:spacing w:line="360" w:lineRule="auto"/>
        <w:rPr>
          <w:rFonts w:hint="eastAsia" w:ascii="宋体" w:hAnsi="宋体" w:eastAsia="宋体" w:cs="宋体"/>
          <w:color w:val="auto"/>
        </w:rPr>
      </w:pPr>
      <w:r>
        <w:rPr>
          <w:rFonts w:hint="eastAsia" w:ascii="宋体" w:hAnsi="宋体" w:eastAsia="宋体" w:cs="宋体"/>
          <w:color w:val="auto"/>
        </w:rPr>
        <w:t>1.11操作手柄具备左右旋转关节，可带动插入软管部先端左右旋转，向左≥120°，向右≥120°；</w:t>
      </w:r>
    </w:p>
    <w:p w14:paraId="4DE2F910">
      <w:pPr>
        <w:spacing w:line="360" w:lineRule="auto"/>
        <w:rPr>
          <w:rFonts w:hint="eastAsia" w:ascii="宋体" w:hAnsi="宋体" w:eastAsia="宋体" w:cs="宋体"/>
          <w:color w:val="auto"/>
        </w:rPr>
      </w:pPr>
      <w:r>
        <w:rPr>
          <w:rFonts w:hint="eastAsia" w:ascii="宋体" w:hAnsi="宋体" w:eastAsia="宋体" w:cs="宋体"/>
          <w:color w:val="auto"/>
        </w:rPr>
        <w:t>▲1.12操作手柄上按键可控制</w:t>
      </w:r>
      <w:r>
        <w:rPr>
          <w:rFonts w:hint="eastAsia" w:ascii="宋体" w:hAnsi="宋体" w:eastAsia="宋体" w:cs="宋体"/>
          <w:color w:val="auto"/>
        </w:rPr>
        <w:fldChar w:fldCharType="begin"/>
      </w:r>
      <w:r>
        <w:rPr>
          <w:rFonts w:hint="eastAsia" w:ascii="宋体" w:hAnsi="宋体" w:eastAsia="宋体" w:cs="宋体"/>
          <w:color w:val="auto"/>
        </w:rPr>
        <w:instrText xml:space="preserve">=1\*GB3</w:instrText>
      </w:r>
      <w:r>
        <w:rPr>
          <w:rFonts w:hint="eastAsia" w:ascii="宋体" w:hAnsi="宋体" w:eastAsia="宋体" w:cs="宋体"/>
          <w:color w:val="auto"/>
        </w:rPr>
        <w:fldChar w:fldCharType="separate"/>
      </w:r>
      <w:r>
        <w:rPr>
          <w:rFonts w:hint="eastAsia" w:ascii="宋体" w:hAnsi="宋体" w:eastAsia="宋体" w:cs="宋体"/>
          <w:color w:val="auto"/>
        </w:rPr>
        <w:t>①</w:t>
      </w:r>
      <w:r>
        <w:rPr>
          <w:rFonts w:hint="eastAsia" w:ascii="宋体" w:hAnsi="宋体" w:eastAsia="宋体" w:cs="宋体"/>
          <w:color w:val="auto"/>
        </w:rPr>
        <w:fldChar w:fldCharType="end"/>
      </w:r>
      <w:r>
        <w:rPr>
          <w:rFonts w:hint="eastAsia" w:ascii="宋体" w:hAnsi="宋体" w:eastAsia="宋体" w:cs="宋体"/>
          <w:color w:val="auto"/>
        </w:rPr>
        <w:t>图像放大/缩小、</w:t>
      </w:r>
      <w:r>
        <w:rPr>
          <w:rFonts w:hint="eastAsia" w:ascii="宋体" w:hAnsi="宋体" w:eastAsia="宋体" w:cs="宋体"/>
          <w:color w:val="auto"/>
        </w:rPr>
        <w:fldChar w:fldCharType="begin"/>
      </w:r>
      <w:r>
        <w:rPr>
          <w:rFonts w:hint="eastAsia" w:ascii="宋体" w:hAnsi="宋体" w:eastAsia="宋体" w:cs="宋体"/>
          <w:color w:val="auto"/>
        </w:rPr>
        <w:instrText xml:space="preserve">=2\*GB3</w:instrText>
      </w:r>
      <w:r>
        <w:rPr>
          <w:rFonts w:hint="eastAsia" w:ascii="宋体" w:hAnsi="宋体" w:eastAsia="宋体" w:cs="宋体"/>
          <w:color w:val="auto"/>
        </w:rPr>
        <w:fldChar w:fldCharType="separate"/>
      </w:r>
      <w:r>
        <w:rPr>
          <w:rFonts w:hint="eastAsia" w:ascii="宋体" w:hAnsi="宋体" w:eastAsia="宋体" w:cs="宋体"/>
          <w:color w:val="auto"/>
        </w:rPr>
        <w:t>②</w:t>
      </w:r>
      <w:r>
        <w:rPr>
          <w:rFonts w:hint="eastAsia" w:ascii="宋体" w:hAnsi="宋体" w:eastAsia="宋体" w:cs="宋体"/>
          <w:color w:val="auto"/>
        </w:rPr>
        <w:fldChar w:fldCharType="end"/>
      </w:r>
      <w:r>
        <w:rPr>
          <w:rFonts w:hint="eastAsia" w:ascii="宋体" w:hAnsi="宋体" w:eastAsia="宋体" w:cs="宋体"/>
          <w:color w:val="auto"/>
        </w:rPr>
        <w:t>拍照/录像、</w:t>
      </w:r>
      <w:r>
        <w:rPr>
          <w:rFonts w:hint="eastAsia" w:ascii="宋体" w:hAnsi="宋体" w:eastAsia="宋体" w:cs="宋体"/>
          <w:color w:val="auto"/>
        </w:rPr>
        <w:fldChar w:fldCharType="begin"/>
      </w:r>
      <w:r>
        <w:rPr>
          <w:rFonts w:hint="eastAsia" w:ascii="宋体" w:hAnsi="宋体" w:eastAsia="宋体" w:cs="宋体"/>
          <w:color w:val="auto"/>
        </w:rPr>
        <w:instrText xml:space="preserve">=3\*GB3</w:instrText>
      </w:r>
      <w:r>
        <w:rPr>
          <w:rFonts w:hint="eastAsia" w:ascii="宋体" w:hAnsi="宋体" w:eastAsia="宋体" w:cs="宋体"/>
          <w:color w:val="auto"/>
        </w:rPr>
        <w:fldChar w:fldCharType="separate"/>
      </w:r>
      <w:r>
        <w:rPr>
          <w:rFonts w:hint="eastAsia" w:ascii="宋体" w:hAnsi="宋体" w:eastAsia="宋体" w:cs="宋体"/>
          <w:color w:val="auto"/>
        </w:rPr>
        <w:t>③</w:t>
      </w:r>
      <w:r>
        <w:rPr>
          <w:rFonts w:hint="eastAsia" w:ascii="宋体" w:hAnsi="宋体" w:eastAsia="宋体" w:cs="宋体"/>
          <w:color w:val="auto"/>
        </w:rPr>
        <w:fldChar w:fldCharType="end"/>
      </w:r>
      <w:r>
        <w:rPr>
          <w:rFonts w:hint="eastAsia" w:ascii="宋体" w:hAnsi="宋体" w:eastAsia="宋体" w:cs="宋体"/>
          <w:color w:val="auto"/>
        </w:rPr>
        <w:t>画面冻结/解结；</w:t>
      </w:r>
    </w:p>
    <w:p w14:paraId="1779B3C1">
      <w:pPr>
        <w:spacing w:line="360" w:lineRule="auto"/>
        <w:rPr>
          <w:rFonts w:hint="eastAsia" w:ascii="宋体" w:hAnsi="宋体" w:eastAsia="宋体" w:cs="宋体"/>
          <w:color w:val="auto"/>
          <w:lang w:eastAsia="zh-CN"/>
        </w:rPr>
      </w:pPr>
      <w:r>
        <w:rPr>
          <w:rFonts w:hint="eastAsia" w:ascii="宋体" w:hAnsi="宋体" w:eastAsia="宋体" w:cs="宋体"/>
          <w:color w:val="auto"/>
        </w:rPr>
        <w:t>1.13视频转接线与操作手柄一体式设计，转接线可耐受浸泡消毒</w:t>
      </w:r>
      <w:r>
        <w:rPr>
          <w:rFonts w:hint="eastAsia" w:ascii="宋体" w:hAnsi="宋体" w:eastAsia="宋体" w:cs="宋体"/>
          <w:color w:val="auto"/>
          <w:lang w:eastAsia="zh-CN"/>
        </w:rPr>
        <w:t>；</w:t>
      </w:r>
    </w:p>
    <w:p w14:paraId="32F1BDE5">
      <w:pPr>
        <w:spacing w:line="360" w:lineRule="auto"/>
        <w:rPr>
          <w:rFonts w:hint="eastAsia" w:ascii="宋体" w:hAnsi="宋体" w:eastAsia="宋体" w:cs="宋体"/>
        </w:rPr>
      </w:pPr>
      <w:r>
        <w:rPr>
          <w:rFonts w:hint="eastAsia" w:ascii="宋体" w:hAnsi="宋体" w:eastAsia="宋体" w:cs="宋体"/>
        </w:rPr>
        <w:t>1.14内置LED冷光源，具备防雾功能，无需预热，即可观察；</w:t>
      </w:r>
    </w:p>
    <w:p w14:paraId="7F0EB84E">
      <w:pPr>
        <w:spacing w:line="360" w:lineRule="auto"/>
        <w:rPr>
          <w:rFonts w:hint="eastAsia" w:ascii="宋体" w:hAnsi="宋体" w:eastAsia="宋体" w:cs="宋体"/>
        </w:rPr>
      </w:pPr>
      <w:r>
        <w:rPr>
          <w:rFonts w:hint="eastAsia" w:ascii="宋体" w:hAnsi="宋体" w:eastAsia="宋体" w:cs="宋体"/>
        </w:rPr>
        <w:t>1.15操作手柄为医用高分子材料材质，轻盈更耐腐蚀；</w:t>
      </w:r>
    </w:p>
    <w:p w14:paraId="72C1786D">
      <w:pPr>
        <w:spacing w:line="360" w:lineRule="auto"/>
        <w:rPr>
          <w:rFonts w:hint="eastAsia" w:ascii="宋体" w:hAnsi="宋体" w:eastAsia="宋体" w:cs="宋体"/>
        </w:rPr>
      </w:pPr>
      <w:r>
        <w:rPr>
          <w:rFonts w:hint="eastAsia" w:ascii="宋体" w:hAnsi="宋体" w:eastAsia="宋体" w:cs="宋体"/>
        </w:rPr>
        <w:t>1.16操作部防水等级：IPX7，配备防水盖可进行全浸泡消毒；</w:t>
      </w:r>
    </w:p>
    <w:p w14:paraId="0335E39D">
      <w:pPr>
        <w:spacing w:line="360" w:lineRule="auto"/>
        <w:rPr>
          <w:rFonts w:hint="eastAsia" w:ascii="宋体" w:hAnsi="宋体" w:eastAsia="宋体" w:cs="宋体"/>
        </w:rPr>
      </w:pPr>
      <w:r>
        <w:rPr>
          <w:rFonts w:hint="eastAsia" w:ascii="宋体" w:hAnsi="宋体" w:eastAsia="宋体" w:cs="宋体"/>
        </w:rPr>
        <w:t>1.17采用智能主控芯片，具备无需手动调节即可实现自动控制图像曝光度功能。</w:t>
      </w:r>
    </w:p>
    <w:p w14:paraId="4569B4CF">
      <w:pPr>
        <w:spacing w:line="360" w:lineRule="auto"/>
        <w:rPr>
          <w:rFonts w:hint="eastAsia" w:ascii="宋体" w:hAnsi="宋体" w:eastAsia="宋体" w:cs="宋体"/>
        </w:rPr>
      </w:pPr>
      <w:r>
        <w:rPr>
          <w:rFonts w:hint="eastAsia" w:ascii="宋体" w:hAnsi="宋体" w:eastAsia="宋体" w:cs="宋体"/>
        </w:rPr>
        <w:t>1.18操作手柄具备3个功能按键；</w:t>
      </w:r>
    </w:p>
    <w:p w14:paraId="034A3A94">
      <w:pPr>
        <w:spacing w:line="360" w:lineRule="auto"/>
        <w:rPr>
          <w:rFonts w:hint="eastAsia" w:ascii="宋体" w:hAnsi="宋体" w:eastAsia="宋体" w:cs="宋体"/>
        </w:rPr>
      </w:pPr>
      <w:r>
        <w:rPr>
          <w:rFonts w:hint="eastAsia" w:ascii="宋体" w:hAnsi="宋体" w:eastAsia="宋体" w:cs="宋体"/>
        </w:rPr>
        <w:t>1.18.1操作手柄上按键可控制大小屏切换功能；</w:t>
      </w:r>
    </w:p>
    <w:p w14:paraId="51B5EDEC">
      <w:pPr>
        <w:spacing w:line="360" w:lineRule="auto"/>
        <w:rPr>
          <w:rFonts w:hint="eastAsia" w:ascii="宋体" w:hAnsi="宋体" w:eastAsia="宋体" w:cs="宋体"/>
        </w:rPr>
      </w:pPr>
      <w:r>
        <w:rPr>
          <w:rFonts w:hint="eastAsia" w:ascii="宋体" w:hAnsi="宋体" w:eastAsia="宋体" w:cs="宋体"/>
        </w:rPr>
        <w:t>1.18.2操作手柄上按键可控制拍照录像功能，可在图像冻结或录像的同时进行拍照；</w:t>
      </w:r>
    </w:p>
    <w:p w14:paraId="4B754C61">
      <w:pPr>
        <w:spacing w:line="360" w:lineRule="auto"/>
        <w:rPr>
          <w:rFonts w:hint="eastAsia" w:ascii="宋体" w:hAnsi="宋体" w:eastAsia="宋体" w:cs="宋体"/>
        </w:rPr>
      </w:pPr>
      <w:r>
        <w:rPr>
          <w:rFonts w:hint="eastAsia" w:ascii="宋体" w:hAnsi="宋体" w:eastAsia="宋体" w:cs="宋体"/>
        </w:rPr>
        <w:t>1.18.3操作手柄上按键可控制图像冻结和解冻功能，提升病灶部位诊断精确度。</w:t>
      </w:r>
    </w:p>
    <w:p w14:paraId="6E000751">
      <w:pPr>
        <w:spacing w:line="360" w:lineRule="auto"/>
        <w:rPr>
          <w:rFonts w:hint="eastAsia" w:ascii="宋体" w:hAnsi="宋体" w:eastAsia="宋体" w:cs="宋体"/>
        </w:rPr>
      </w:pPr>
    </w:p>
    <w:p w14:paraId="1225A5B7">
      <w:pPr>
        <w:spacing w:line="360" w:lineRule="auto"/>
        <w:rPr>
          <w:rFonts w:hint="eastAsia" w:ascii="宋体" w:hAnsi="宋体" w:eastAsia="宋体" w:cs="宋体"/>
          <w:b/>
          <w:bCs/>
        </w:rPr>
      </w:pPr>
      <w:r>
        <w:rPr>
          <w:rFonts w:hint="eastAsia" w:ascii="宋体" w:hAnsi="宋体" w:eastAsia="宋体" w:cs="宋体"/>
          <w:b/>
          <w:bCs/>
        </w:rPr>
        <w:t>2.电子内窥镜图像处理器：</w:t>
      </w:r>
    </w:p>
    <w:p w14:paraId="4953178D">
      <w:pPr>
        <w:spacing w:line="360" w:lineRule="auto"/>
        <w:rPr>
          <w:rFonts w:hint="eastAsia" w:ascii="宋体" w:hAnsi="宋体" w:eastAsia="宋体" w:cs="宋体"/>
        </w:rPr>
      </w:pPr>
      <w:r>
        <w:rPr>
          <w:rFonts w:hint="eastAsia" w:ascii="宋体" w:hAnsi="宋体" w:eastAsia="宋体" w:cs="宋体"/>
        </w:rPr>
        <w:t>▲2.1具备独立的图像处理器医疗器械注册证(产品组成部分不含内镜)。</w:t>
      </w:r>
    </w:p>
    <w:p w14:paraId="13BB4D4C">
      <w:pPr>
        <w:spacing w:line="360" w:lineRule="auto"/>
        <w:rPr>
          <w:rFonts w:hint="eastAsia" w:ascii="宋体" w:hAnsi="宋体" w:eastAsia="宋体" w:cs="宋体"/>
        </w:rPr>
      </w:pPr>
      <w:r>
        <w:rPr>
          <w:rFonts w:hint="eastAsia" w:ascii="宋体" w:hAnsi="宋体" w:eastAsia="宋体" w:cs="宋体"/>
        </w:rPr>
        <w:t>2.2显示屏：TFT-LCD,液晶玻璃。</w:t>
      </w:r>
    </w:p>
    <w:p w14:paraId="1391249E">
      <w:pPr>
        <w:spacing w:line="360" w:lineRule="auto"/>
        <w:rPr>
          <w:rFonts w:hint="eastAsia" w:ascii="宋体" w:hAnsi="宋体" w:eastAsia="宋体" w:cs="宋体"/>
          <w:color w:val="auto"/>
        </w:rPr>
      </w:pPr>
      <w:r>
        <w:rPr>
          <w:rFonts w:hint="eastAsia" w:ascii="宋体" w:hAnsi="宋体" w:eastAsia="宋体" w:cs="宋体"/>
        </w:rPr>
        <w:t>2.3触摸屏：电</w:t>
      </w:r>
      <w:r>
        <w:rPr>
          <w:rFonts w:hint="eastAsia" w:ascii="宋体" w:hAnsi="宋体" w:eastAsia="宋体" w:cs="宋体"/>
          <w:color w:val="auto"/>
        </w:rPr>
        <w:t>容式触摸屏。</w:t>
      </w:r>
    </w:p>
    <w:p w14:paraId="42368A3B">
      <w:pPr>
        <w:spacing w:line="360" w:lineRule="auto"/>
        <w:rPr>
          <w:rFonts w:hint="eastAsia" w:ascii="宋体" w:hAnsi="宋体" w:eastAsia="宋体" w:cs="宋体"/>
          <w:color w:val="auto"/>
        </w:rPr>
      </w:pPr>
      <w:r>
        <w:rPr>
          <w:rFonts w:hint="eastAsia" w:ascii="宋体" w:hAnsi="宋体" w:eastAsia="宋体" w:cs="宋体"/>
          <w:color w:val="auto"/>
        </w:rPr>
        <w:t>2.4高清视频信号输出分辨率：≥1280×800。</w:t>
      </w:r>
    </w:p>
    <w:p w14:paraId="4161C230">
      <w:pPr>
        <w:spacing w:line="360" w:lineRule="auto"/>
        <w:rPr>
          <w:rFonts w:hint="eastAsia" w:ascii="宋体" w:hAnsi="宋体" w:eastAsia="宋体" w:cs="宋体"/>
          <w:color w:val="auto"/>
        </w:rPr>
      </w:pPr>
      <w:r>
        <w:rPr>
          <w:rFonts w:hint="eastAsia" w:ascii="宋体" w:hAnsi="宋体" w:eastAsia="宋体" w:cs="宋体"/>
          <w:color w:val="auto"/>
        </w:rPr>
        <w:t>2.5显示功能：自带显示屏≥10.1英寸，开机时间≤5秒，能实现图像实时显示，满足临床快速使用需求。</w:t>
      </w:r>
    </w:p>
    <w:p w14:paraId="5E639396">
      <w:pPr>
        <w:spacing w:line="360" w:lineRule="auto"/>
        <w:rPr>
          <w:rFonts w:hint="eastAsia" w:ascii="宋体" w:hAnsi="宋体" w:eastAsia="宋体" w:cs="宋体"/>
          <w:color w:val="auto"/>
        </w:rPr>
      </w:pPr>
      <w:r>
        <w:rPr>
          <w:rFonts w:hint="eastAsia" w:ascii="宋体" w:hAnsi="宋体" w:eastAsia="宋体" w:cs="宋体"/>
          <w:color w:val="auto"/>
        </w:rPr>
        <w:t>2.6通过操作部功能按键即可实现：图像放大缩小，图像冻结，拍照，录像功能(无需触摸屏幕，避免术后消毒问题)。</w:t>
      </w:r>
    </w:p>
    <w:p w14:paraId="2D21CDC4">
      <w:pPr>
        <w:spacing w:line="360" w:lineRule="auto"/>
        <w:rPr>
          <w:rFonts w:hint="eastAsia" w:ascii="宋体" w:hAnsi="宋体" w:eastAsia="宋体" w:cs="宋体"/>
          <w:color w:val="auto"/>
        </w:rPr>
      </w:pPr>
      <w:r>
        <w:rPr>
          <w:rFonts w:hint="eastAsia" w:ascii="宋体" w:hAnsi="宋体" w:eastAsia="宋体" w:cs="宋体"/>
          <w:color w:val="auto"/>
        </w:rPr>
        <w:t>2.7能够同时连接两条内窥镜，具备≥2路信号输入接口及双镜切换物理按键，切换实时视频输入信号。</w:t>
      </w:r>
    </w:p>
    <w:p w14:paraId="04DF9DBE">
      <w:pPr>
        <w:spacing w:line="360" w:lineRule="auto"/>
        <w:rPr>
          <w:rFonts w:hint="eastAsia" w:ascii="宋体" w:hAnsi="宋体" w:eastAsia="宋体" w:cs="宋体"/>
          <w:color w:val="auto"/>
        </w:rPr>
      </w:pPr>
      <w:r>
        <w:rPr>
          <w:rFonts w:hint="eastAsia" w:ascii="宋体" w:hAnsi="宋体" w:eastAsia="宋体" w:cs="宋体"/>
          <w:color w:val="auto"/>
        </w:rPr>
        <w:t>2.8存储功能：配备有外置存储卡，可以存储图片及视频，内存≥64G,可兼容128G。</w:t>
      </w:r>
    </w:p>
    <w:p w14:paraId="11B324B8">
      <w:pPr>
        <w:spacing w:line="360" w:lineRule="auto"/>
        <w:rPr>
          <w:rFonts w:hint="eastAsia" w:ascii="宋体" w:hAnsi="宋体" w:eastAsia="宋体" w:cs="宋体"/>
          <w:color w:val="auto"/>
        </w:rPr>
      </w:pPr>
      <w:r>
        <w:rPr>
          <w:rFonts w:hint="eastAsia" w:ascii="宋体" w:hAnsi="宋体" w:eastAsia="宋体" w:cs="宋体"/>
          <w:color w:val="auto"/>
        </w:rPr>
        <w:t>2.9视频及照片回放：本机上可实时回放视频及照片。</w:t>
      </w:r>
    </w:p>
    <w:p w14:paraId="20945E25">
      <w:pPr>
        <w:spacing w:line="360" w:lineRule="auto"/>
        <w:rPr>
          <w:rFonts w:hint="eastAsia" w:ascii="宋体" w:hAnsi="宋体" w:eastAsia="宋体" w:cs="宋体"/>
          <w:color w:val="auto"/>
        </w:rPr>
      </w:pPr>
      <w:r>
        <w:rPr>
          <w:rFonts w:hint="eastAsia" w:ascii="宋体" w:hAnsi="宋体" w:eastAsia="宋体" w:cs="宋体"/>
          <w:color w:val="auto"/>
        </w:rPr>
        <w:t>2.10白平衡功能：具有白平衡功能，可一键恢复白平衡出厂值，具有开机记忆色彩功能。</w:t>
      </w:r>
    </w:p>
    <w:p w14:paraId="76EC66DD">
      <w:pPr>
        <w:spacing w:line="360" w:lineRule="auto"/>
        <w:rPr>
          <w:rFonts w:hint="eastAsia" w:ascii="宋体" w:hAnsi="宋体" w:eastAsia="宋体" w:cs="宋体"/>
          <w:color w:val="auto"/>
        </w:rPr>
      </w:pPr>
      <w:r>
        <w:rPr>
          <w:rFonts w:hint="eastAsia" w:ascii="宋体" w:hAnsi="宋体" w:eastAsia="宋体" w:cs="宋体"/>
          <w:color w:val="auto"/>
        </w:rPr>
        <w:t>2.11预览、隐藏功能：具有可实时观察、记录与回放功能，且可一键隐藏所有按键功能。有利于临床操作使用。</w:t>
      </w:r>
    </w:p>
    <w:p w14:paraId="663319AE">
      <w:pPr>
        <w:spacing w:line="360" w:lineRule="auto"/>
        <w:rPr>
          <w:rFonts w:hint="eastAsia" w:ascii="宋体" w:hAnsi="宋体" w:eastAsia="宋体" w:cs="宋体"/>
          <w:color w:val="auto"/>
        </w:rPr>
      </w:pPr>
      <w:r>
        <w:rPr>
          <w:rFonts w:hint="eastAsia" w:ascii="宋体" w:hAnsi="宋体" w:eastAsia="宋体" w:cs="宋体"/>
          <w:color w:val="auto"/>
        </w:rPr>
        <w:t>▲2.12调节图像输出比例功能：在外接显示器时，可向外接显示器输出16:9、4:3以及16:10三种显示比例的图像，满足不同场景下观看需求。</w:t>
      </w:r>
    </w:p>
    <w:p w14:paraId="516D098B">
      <w:pPr>
        <w:spacing w:line="360" w:lineRule="auto"/>
        <w:rPr>
          <w:rFonts w:hint="eastAsia" w:ascii="宋体" w:hAnsi="宋体" w:eastAsia="宋体" w:cs="宋体"/>
          <w:color w:val="auto"/>
        </w:rPr>
      </w:pPr>
      <w:r>
        <w:rPr>
          <w:rFonts w:hint="eastAsia" w:ascii="宋体" w:hAnsi="宋体" w:eastAsia="宋体" w:cs="宋体"/>
          <w:color w:val="auto"/>
        </w:rPr>
        <w:t>2.13具有≥3种输出图像形状可选，满足不同操作者的习惯。</w:t>
      </w:r>
    </w:p>
    <w:p w14:paraId="5F13F176">
      <w:pPr>
        <w:spacing w:line="360" w:lineRule="auto"/>
        <w:rPr>
          <w:rFonts w:hint="eastAsia" w:ascii="宋体" w:hAnsi="宋体" w:eastAsia="宋体" w:cs="宋体"/>
          <w:color w:val="auto"/>
        </w:rPr>
      </w:pPr>
      <w:r>
        <w:rPr>
          <w:rFonts w:hint="eastAsia" w:ascii="宋体" w:hAnsi="宋体" w:eastAsia="宋体" w:cs="宋体"/>
          <w:color w:val="auto"/>
        </w:rPr>
        <w:t>2.14亮度调节功能：≥4级亮度调节，可调节配套使用的电子内窥镜上的LED灯的亮度(非仅调节显示屏幕亮度)。</w:t>
      </w:r>
    </w:p>
    <w:p w14:paraId="1B231F26">
      <w:pPr>
        <w:spacing w:line="360" w:lineRule="auto"/>
        <w:rPr>
          <w:rFonts w:hint="eastAsia" w:ascii="宋体" w:hAnsi="宋体" w:eastAsia="宋体" w:cs="宋体"/>
          <w:color w:val="auto"/>
        </w:rPr>
      </w:pPr>
      <w:r>
        <w:rPr>
          <w:rFonts w:hint="eastAsia" w:ascii="宋体" w:hAnsi="宋体" w:eastAsia="宋体" w:cs="宋体"/>
          <w:color w:val="auto"/>
        </w:rPr>
        <w:t>2.15关灯功能：可控制搭配使用的内窥镜关闭LED灯。</w:t>
      </w:r>
    </w:p>
    <w:p w14:paraId="2D6EC222">
      <w:pPr>
        <w:spacing w:line="360" w:lineRule="auto"/>
        <w:rPr>
          <w:rFonts w:hint="eastAsia" w:ascii="宋体" w:hAnsi="宋体" w:eastAsia="宋体" w:cs="宋体"/>
          <w:color w:val="auto"/>
        </w:rPr>
      </w:pPr>
      <w:r>
        <w:rPr>
          <w:rFonts w:hint="eastAsia" w:ascii="宋体" w:hAnsi="宋体" w:eastAsia="宋体" w:cs="宋体"/>
          <w:color w:val="auto"/>
        </w:rPr>
        <w:t>2.16色彩参数设置：可进行色彩参数调节，包括对比度、饱和度及亮度等。</w:t>
      </w:r>
    </w:p>
    <w:p w14:paraId="0D1A5737">
      <w:pPr>
        <w:spacing w:line="360" w:lineRule="auto"/>
        <w:rPr>
          <w:rFonts w:hint="eastAsia" w:ascii="宋体" w:hAnsi="宋体" w:eastAsia="宋体" w:cs="宋体"/>
          <w:color w:val="auto"/>
        </w:rPr>
      </w:pPr>
      <w:r>
        <w:rPr>
          <w:rFonts w:hint="eastAsia" w:ascii="宋体" w:hAnsi="宋体" w:eastAsia="宋体" w:cs="宋体"/>
          <w:color w:val="auto"/>
        </w:rPr>
        <w:t>2.17色彩还原性4级。</w:t>
      </w:r>
    </w:p>
    <w:p w14:paraId="469089AF">
      <w:pPr>
        <w:spacing w:line="360" w:lineRule="auto"/>
        <w:rPr>
          <w:rFonts w:hint="eastAsia" w:ascii="宋体" w:hAnsi="宋体" w:eastAsia="宋体" w:cs="宋体"/>
          <w:color w:val="auto"/>
        </w:rPr>
      </w:pPr>
      <w:r>
        <w:rPr>
          <w:rFonts w:hint="eastAsia" w:ascii="宋体" w:hAnsi="宋体" w:eastAsia="宋体" w:cs="宋体"/>
          <w:color w:val="auto"/>
        </w:rPr>
        <w:t>2.18用户访问控制：可设置开机后输入管理用户的账号密码，输入正确可查看产品的实时图像及更改系统设置。</w:t>
      </w:r>
    </w:p>
    <w:p w14:paraId="31FEDAF6">
      <w:pPr>
        <w:spacing w:line="360" w:lineRule="auto"/>
        <w:rPr>
          <w:rFonts w:hint="eastAsia" w:ascii="宋体" w:hAnsi="宋体" w:eastAsia="宋体" w:cs="宋体"/>
          <w:color w:val="auto"/>
        </w:rPr>
      </w:pPr>
      <w:r>
        <w:rPr>
          <w:rFonts w:hint="eastAsia" w:ascii="宋体" w:hAnsi="宋体" w:eastAsia="宋体" w:cs="宋体"/>
          <w:color w:val="auto"/>
        </w:rPr>
        <w:t>2.19视频转接线：搭配指定型号内镜时可选配180度可旋转的视频转接线，调整视频线方向，配合更多诊疗操作。</w:t>
      </w:r>
    </w:p>
    <w:p w14:paraId="1922E7C9">
      <w:pPr>
        <w:spacing w:line="360" w:lineRule="auto"/>
        <w:rPr>
          <w:rFonts w:hint="eastAsia" w:ascii="宋体" w:hAnsi="宋体" w:eastAsia="宋体" w:cs="宋体"/>
          <w:color w:val="auto"/>
        </w:rPr>
      </w:pPr>
      <w:r>
        <w:rPr>
          <w:rFonts w:hint="eastAsia" w:ascii="宋体" w:hAnsi="宋体" w:eastAsia="宋体" w:cs="宋体"/>
          <w:color w:val="auto"/>
        </w:rPr>
        <w:t>2.20视频输出接口：有BNC视频输出接口和DVI视频输出接口，可与医用显示器或工作站连接并输出图像显示。</w:t>
      </w:r>
    </w:p>
    <w:p w14:paraId="6B22CA61">
      <w:pPr>
        <w:spacing w:line="360" w:lineRule="auto"/>
        <w:rPr>
          <w:rFonts w:hint="eastAsia" w:ascii="宋体" w:hAnsi="宋体" w:eastAsia="宋体" w:cs="宋体"/>
          <w:color w:val="auto"/>
        </w:rPr>
      </w:pPr>
      <w:r>
        <w:rPr>
          <w:rFonts w:hint="eastAsia" w:ascii="宋体" w:hAnsi="宋体" w:eastAsia="宋体" w:cs="宋体"/>
          <w:color w:val="auto"/>
        </w:rPr>
        <w:t>2.21录像显示及电量提示功能：具有摄录时问长短提示功能与循环摄录功能及电量智能检测指示标示(用于显示充电电量或适配器连接充电提示)。</w:t>
      </w:r>
    </w:p>
    <w:p w14:paraId="30BAEC91">
      <w:pPr>
        <w:spacing w:line="360" w:lineRule="auto"/>
        <w:rPr>
          <w:rFonts w:hint="eastAsia" w:ascii="宋体" w:hAnsi="宋体" w:eastAsia="宋体" w:cs="宋体"/>
          <w:color w:val="auto"/>
        </w:rPr>
      </w:pPr>
      <w:r>
        <w:rPr>
          <w:rFonts w:hint="eastAsia" w:ascii="宋体" w:hAnsi="宋体" w:eastAsia="宋体" w:cs="宋体"/>
          <w:color w:val="auto"/>
        </w:rPr>
        <w:t>2.22产品维护：软件终身免费升级。</w:t>
      </w:r>
    </w:p>
    <w:p w14:paraId="0E123DF0">
      <w:pPr>
        <w:spacing w:line="360" w:lineRule="auto"/>
        <w:rPr>
          <w:rFonts w:hint="eastAsia" w:ascii="宋体" w:hAnsi="宋体" w:eastAsia="宋体" w:cs="宋体"/>
          <w:color w:val="auto"/>
        </w:rPr>
      </w:pPr>
      <w:r>
        <w:rPr>
          <w:rFonts w:hint="eastAsia" w:ascii="宋体" w:hAnsi="宋体" w:eastAsia="宋体" w:cs="宋体"/>
          <w:color w:val="auto"/>
        </w:rPr>
        <w:t>2.23供电方式：</w:t>
      </w:r>
    </w:p>
    <w:p w14:paraId="6CDEC9B2">
      <w:pPr>
        <w:spacing w:line="360" w:lineRule="auto"/>
        <w:rPr>
          <w:rFonts w:hint="eastAsia" w:ascii="宋体" w:hAnsi="宋体" w:eastAsia="宋体" w:cs="宋体"/>
          <w:color w:val="auto"/>
        </w:rPr>
      </w:pPr>
      <w:r>
        <w:rPr>
          <w:rFonts w:hint="eastAsia" w:ascii="宋体" w:hAnsi="宋体" w:eastAsia="宋体" w:cs="宋体"/>
          <w:color w:val="auto"/>
        </w:rPr>
        <w:t>(1)电池供电：具有内置可充电电池，一次充满电的内部电源连续工作时间≥4小时。</w:t>
      </w:r>
    </w:p>
    <w:p w14:paraId="39ECA3A1">
      <w:pPr>
        <w:spacing w:line="360" w:lineRule="auto"/>
        <w:rPr>
          <w:rFonts w:hint="eastAsia" w:ascii="宋体" w:hAnsi="宋体" w:eastAsia="宋体" w:cs="宋体"/>
          <w:color w:val="auto"/>
        </w:rPr>
      </w:pPr>
      <w:r>
        <w:rPr>
          <w:rFonts w:hint="eastAsia" w:ascii="宋体" w:hAnsi="宋体" w:eastAsia="宋体" w:cs="宋体"/>
          <w:color w:val="auto"/>
        </w:rPr>
        <w:t>(2)交流电供电：可通过接入DC适配器连接交流电使用，可通过适配器实现24小时连续工作。</w:t>
      </w:r>
    </w:p>
    <w:p w14:paraId="464E3BF8">
      <w:pPr>
        <w:spacing w:line="360" w:lineRule="auto"/>
        <w:rPr>
          <w:rFonts w:hint="eastAsia" w:ascii="宋体" w:hAnsi="宋体" w:eastAsia="宋体" w:cs="宋体"/>
          <w:color w:val="auto"/>
        </w:rPr>
      </w:pPr>
      <w:r>
        <w:rPr>
          <w:rFonts w:hint="eastAsia" w:ascii="宋体" w:hAnsi="宋体" w:eastAsia="宋体" w:cs="宋体"/>
          <w:color w:val="auto"/>
        </w:rPr>
        <w:t>▲2.24产品兼容性：可兼容同一品牌指定的电子支气管内窥镜、电子鼻咽喉镜及电子胸腔镜。</w:t>
      </w:r>
    </w:p>
    <w:p w14:paraId="425F62D3">
      <w:pPr>
        <w:spacing w:line="360" w:lineRule="auto"/>
        <w:rPr>
          <w:rFonts w:hint="eastAsia" w:ascii="宋体" w:hAnsi="宋体" w:eastAsia="宋体" w:cs="宋体"/>
          <w:color w:val="auto"/>
          <w:lang w:eastAsia="zh-CN"/>
        </w:rPr>
      </w:pPr>
      <w:r>
        <w:rPr>
          <w:rFonts w:hint="eastAsia" w:ascii="宋体" w:hAnsi="宋体" w:eastAsia="宋体" w:cs="宋体"/>
          <w:color w:val="auto"/>
        </w:rPr>
        <w:t>2.25设备使用年限≥10年</w:t>
      </w:r>
      <w:r>
        <w:rPr>
          <w:rFonts w:hint="eastAsia" w:ascii="宋体" w:hAnsi="宋体" w:eastAsia="宋体" w:cs="宋体"/>
          <w:color w:val="auto"/>
          <w:lang w:eastAsia="zh-CN"/>
        </w:rPr>
        <w:t>。</w:t>
      </w:r>
    </w:p>
    <w:p w14:paraId="5CD272B6">
      <w:pPr>
        <w:pStyle w:val="4"/>
        <w:rPr>
          <w:rFonts w:hint="eastAsia" w:ascii="宋体" w:hAnsi="宋体" w:cs="宋体"/>
        </w:rPr>
      </w:pPr>
    </w:p>
    <w:p w14:paraId="10879CD7">
      <w:pPr>
        <w:numPr>
          <w:ilvl w:val="0"/>
          <w:numId w:val="4"/>
        </w:numPr>
        <w:spacing w:line="360" w:lineRule="auto"/>
        <w:rPr>
          <w:rFonts w:hint="eastAsia" w:ascii="宋体" w:hAnsi="宋体" w:eastAsia="宋体" w:cs="宋体"/>
          <w:b/>
          <w:color w:val="000000" w:themeColor="text1"/>
          <w:szCs w:val="21"/>
          <w:highlight w:val="yellow"/>
        </w:rPr>
      </w:pPr>
      <w:r>
        <w:rPr>
          <w:rFonts w:hint="eastAsia" w:ascii="宋体" w:hAnsi="宋体" w:eastAsia="宋体" w:cs="宋体"/>
          <w:b/>
          <w:szCs w:val="21"/>
        </w:rPr>
        <w:t>每套设备配置要求（标准套至少包含以下内容）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4375"/>
        <w:gridCol w:w="1197"/>
        <w:gridCol w:w="1197"/>
        <w:gridCol w:w="989"/>
      </w:tblGrid>
      <w:tr w14:paraId="79DF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3D98AD16">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序号</w:t>
            </w:r>
          </w:p>
        </w:tc>
        <w:tc>
          <w:tcPr>
            <w:tcW w:w="4375" w:type="dxa"/>
            <w:vAlign w:val="center"/>
          </w:tcPr>
          <w:p w14:paraId="2534FBB0">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名称</w:t>
            </w:r>
          </w:p>
        </w:tc>
        <w:tc>
          <w:tcPr>
            <w:tcW w:w="1197" w:type="dxa"/>
            <w:vAlign w:val="center"/>
          </w:tcPr>
          <w:p w14:paraId="7CA8487B">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要求</w:t>
            </w:r>
          </w:p>
        </w:tc>
        <w:tc>
          <w:tcPr>
            <w:tcW w:w="1197" w:type="dxa"/>
            <w:vAlign w:val="center"/>
          </w:tcPr>
          <w:p w14:paraId="5EF183B4">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数量</w:t>
            </w:r>
          </w:p>
        </w:tc>
        <w:tc>
          <w:tcPr>
            <w:tcW w:w="989" w:type="dxa"/>
            <w:vAlign w:val="center"/>
          </w:tcPr>
          <w:p w14:paraId="72567551">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单位</w:t>
            </w:r>
          </w:p>
        </w:tc>
      </w:tr>
      <w:tr w14:paraId="72CC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11D5BC2B">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4375" w:type="dxa"/>
            <w:vAlign w:val="center"/>
          </w:tcPr>
          <w:p w14:paraId="4FA08494">
            <w:pPr>
              <w:jc w:val="center"/>
              <w:rPr>
                <w:rFonts w:hint="eastAsia" w:ascii="宋体" w:hAnsi="宋体" w:eastAsia="宋体" w:cs="宋体"/>
                <w:b/>
                <w:color w:val="000000" w:themeColor="text1"/>
                <w:szCs w:val="21"/>
              </w:rPr>
            </w:pPr>
            <w:r>
              <w:rPr>
                <w:rFonts w:hint="eastAsia" w:ascii="宋体" w:hAnsi="宋体" w:eastAsia="宋体" w:cs="宋体"/>
                <w:sz w:val="22"/>
                <w:szCs w:val="22"/>
                <w:lang w:eastAsia="zh-Hans"/>
              </w:rPr>
              <w:t>电子支气管内窥镜</w:t>
            </w:r>
            <w:r>
              <w:rPr>
                <w:rFonts w:hint="eastAsia" w:ascii="宋体" w:hAnsi="宋体" w:eastAsia="宋体" w:cs="宋体"/>
                <w:sz w:val="22"/>
                <w:szCs w:val="22"/>
              </w:rPr>
              <w:t>操作部</w:t>
            </w:r>
          </w:p>
        </w:tc>
        <w:tc>
          <w:tcPr>
            <w:tcW w:w="1197" w:type="dxa"/>
            <w:vAlign w:val="center"/>
          </w:tcPr>
          <w:p w14:paraId="5C0AFC21">
            <w:pPr>
              <w:jc w:val="center"/>
              <w:rPr>
                <w:rFonts w:hint="eastAsia" w:ascii="宋体" w:hAnsi="宋体" w:eastAsia="宋体" w:cs="宋体"/>
                <w:color w:val="000000"/>
                <w:kern w:val="0"/>
                <w:szCs w:val="21"/>
                <w:lang w:bidi="ar"/>
              </w:rPr>
            </w:pPr>
          </w:p>
        </w:tc>
        <w:tc>
          <w:tcPr>
            <w:tcW w:w="1197" w:type="dxa"/>
            <w:vAlign w:val="center"/>
          </w:tcPr>
          <w:p w14:paraId="2C775A14">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vAlign w:val="center"/>
          </w:tcPr>
          <w:p w14:paraId="79C76DCE">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条</w:t>
            </w:r>
          </w:p>
        </w:tc>
      </w:tr>
      <w:tr w14:paraId="525E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27CCF8E7">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4375" w:type="dxa"/>
            <w:vAlign w:val="center"/>
          </w:tcPr>
          <w:p w14:paraId="7D756BCA">
            <w:pPr>
              <w:jc w:val="center"/>
              <w:rPr>
                <w:rFonts w:hint="eastAsia" w:ascii="宋体" w:hAnsi="宋体" w:eastAsia="宋体" w:cs="宋体"/>
                <w:b/>
                <w:color w:val="000000" w:themeColor="text1"/>
                <w:szCs w:val="21"/>
              </w:rPr>
            </w:pPr>
            <w:r>
              <w:rPr>
                <w:rFonts w:hint="eastAsia" w:ascii="宋体" w:hAnsi="宋体" w:eastAsia="宋体" w:cs="宋体"/>
                <w:sz w:val="22"/>
                <w:szCs w:val="22"/>
              </w:rPr>
              <w:t>防水盖</w:t>
            </w:r>
          </w:p>
        </w:tc>
        <w:tc>
          <w:tcPr>
            <w:tcW w:w="1197" w:type="dxa"/>
            <w:vAlign w:val="center"/>
          </w:tcPr>
          <w:p w14:paraId="1CB5153A">
            <w:pPr>
              <w:jc w:val="center"/>
              <w:rPr>
                <w:rFonts w:hint="eastAsia" w:ascii="宋体" w:hAnsi="宋体" w:eastAsia="宋体" w:cs="宋体"/>
                <w:color w:val="000000"/>
                <w:kern w:val="0"/>
                <w:szCs w:val="21"/>
                <w:lang w:bidi="ar"/>
              </w:rPr>
            </w:pPr>
          </w:p>
        </w:tc>
        <w:tc>
          <w:tcPr>
            <w:tcW w:w="1197" w:type="dxa"/>
            <w:vAlign w:val="center"/>
          </w:tcPr>
          <w:p w14:paraId="69FC1AD3">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vAlign w:val="center"/>
          </w:tcPr>
          <w:p w14:paraId="079DF8CE">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r>
      <w:tr w14:paraId="7F80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177BB0EC">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4375" w:type="dxa"/>
            <w:vAlign w:val="center"/>
          </w:tcPr>
          <w:p w14:paraId="7F3F16C9">
            <w:pPr>
              <w:jc w:val="center"/>
              <w:rPr>
                <w:rFonts w:hint="eastAsia" w:ascii="宋体" w:hAnsi="宋体" w:eastAsia="宋体" w:cs="宋体"/>
                <w:b/>
                <w:color w:val="000000" w:themeColor="text1"/>
                <w:szCs w:val="21"/>
              </w:rPr>
            </w:pPr>
            <w:r>
              <w:rPr>
                <w:rFonts w:hint="eastAsia" w:ascii="宋体" w:hAnsi="宋体" w:eastAsia="宋体" w:cs="宋体"/>
                <w:sz w:val="22"/>
                <w:szCs w:val="22"/>
              </w:rPr>
              <w:t>活检阀帽</w:t>
            </w:r>
          </w:p>
        </w:tc>
        <w:tc>
          <w:tcPr>
            <w:tcW w:w="1197" w:type="dxa"/>
            <w:vAlign w:val="center"/>
          </w:tcPr>
          <w:p w14:paraId="325A210B">
            <w:pPr>
              <w:jc w:val="center"/>
              <w:rPr>
                <w:rFonts w:hint="eastAsia" w:ascii="宋体" w:hAnsi="宋体" w:eastAsia="宋体" w:cs="宋体"/>
                <w:color w:val="000000"/>
                <w:kern w:val="0"/>
                <w:szCs w:val="21"/>
                <w:lang w:bidi="ar"/>
              </w:rPr>
            </w:pPr>
          </w:p>
        </w:tc>
        <w:tc>
          <w:tcPr>
            <w:tcW w:w="1197" w:type="dxa"/>
            <w:vAlign w:val="center"/>
          </w:tcPr>
          <w:p w14:paraId="46B27EEF">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989" w:type="dxa"/>
            <w:vAlign w:val="center"/>
          </w:tcPr>
          <w:p w14:paraId="48BC6BCB">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r>
      <w:tr w14:paraId="69C4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71EBA174">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4</w:t>
            </w:r>
          </w:p>
        </w:tc>
        <w:tc>
          <w:tcPr>
            <w:tcW w:w="4375" w:type="dxa"/>
            <w:vAlign w:val="center"/>
          </w:tcPr>
          <w:p w14:paraId="779DE1BD">
            <w:pPr>
              <w:jc w:val="center"/>
              <w:rPr>
                <w:rFonts w:hint="eastAsia" w:ascii="宋体" w:hAnsi="宋体" w:eastAsia="宋体" w:cs="宋体"/>
                <w:b/>
                <w:color w:val="000000" w:themeColor="text1"/>
                <w:szCs w:val="21"/>
              </w:rPr>
            </w:pPr>
            <w:r>
              <w:rPr>
                <w:rFonts w:hint="eastAsia" w:ascii="宋体" w:hAnsi="宋体" w:eastAsia="宋体" w:cs="宋体"/>
                <w:sz w:val="22"/>
                <w:szCs w:val="22"/>
              </w:rPr>
              <w:t>吸引按钮</w:t>
            </w:r>
          </w:p>
        </w:tc>
        <w:tc>
          <w:tcPr>
            <w:tcW w:w="1197" w:type="dxa"/>
            <w:vAlign w:val="center"/>
          </w:tcPr>
          <w:p w14:paraId="7EEA0093">
            <w:pPr>
              <w:jc w:val="center"/>
              <w:rPr>
                <w:rFonts w:hint="eastAsia" w:ascii="宋体" w:hAnsi="宋体" w:eastAsia="宋体" w:cs="宋体"/>
                <w:color w:val="000000"/>
                <w:kern w:val="0"/>
                <w:szCs w:val="21"/>
                <w:lang w:bidi="ar"/>
              </w:rPr>
            </w:pPr>
          </w:p>
        </w:tc>
        <w:tc>
          <w:tcPr>
            <w:tcW w:w="1197" w:type="dxa"/>
            <w:vAlign w:val="center"/>
          </w:tcPr>
          <w:p w14:paraId="7224FD69">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989" w:type="dxa"/>
            <w:vAlign w:val="center"/>
          </w:tcPr>
          <w:p w14:paraId="101AA8A6">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r>
      <w:tr w14:paraId="346C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355727D0">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5</w:t>
            </w:r>
          </w:p>
        </w:tc>
        <w:tc>
          <w:tcPr>
            <w:tcW w:w="4375" w:type="dxa"/>
            <w:vAlign w:val="center"/>
          </w:tcPr>
          <w:p w14:paraId="6B9F3126">
            <w:pPr>
              <w:jc w:val="center"/>
              <w:rPr>
                <w:rFonts w:hint="eastAsia" w:ascii="宋体" w:hAnsi="宋体" w:eastAsia="宋体" w:cs="宋体"/>
                <w:b/>
                <w:color w:val="000000" w:themeColor="text1"/>
                <w:szCs w:val="21"/>
              </w:rPr>
            </w:pPr>
            <w:r>
              <w:rPr>
                <w:rFonts w:hint="eastAsia" w:ascii="宋体" w:hAnsi="宋体" w:eastAsia="宋体" w:cs="宋体"/>
                <w:sz w:val="22"/>
                <w:szCs w:val="22"/>
              </w:rPr>
              <w:t>包装箱组件</w:t>
            </w:r>
          </w:p>
        </w:tc>
        <w:tc>
          <w:tcPr>
            <w:tcW w:w="1197" w:type="dxa"/>
            <w:vAlign w:val="center"/>
          </w:tcPr>
          <w:p w14:paraId="552D6FCC">
            <w:pPr>
              <w:jc w:val="center"/>
              <w:rPr>
                <w:rFonts w:hint="eastAsia" w:ascii="宋体" w:hAnsi="宋体" w:eastAsia="宋体" w:cs="宋体"/>
                <w:color w:val="000000"/>
                <w:kern w:val="0"/>
                <w:szCs w:val="21"/>
                <w:lang w:bidi="ar"/>
              </w:rPr>
            </w:pPr>
          </w:p>
        </w:tc>
        <w:tc>
          <w:tcPr>
            <w:tcW w:w="1197" w:type="dxa"/>
            <w:vAlign w:val="center"/>
          </w:tcPr>
          <w:p w14:paraId="4B26BBA7">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989" w:type="dxa"/>
            <w:vAlign w:val="center"/>
          </w:tcPr>
          <w:p w14:paraId="27F9C7A4">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套</w:t>
            </w:r>
          </w:p>
        </w:tc>
      </w:tr>
      <w:tr w14:paraId="020C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4848056D">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6</w:t>
            </w:r>
          </w:p>
        </w:tc>
        <w:tc>
          <w:tcPr>
            <w:tcW w:w="4375" w:type="dxa"/>
            <w:vAlign w:val="center"/>
          </w:tcPr>
          <w:p w14:paraId="0E04F3DA">
            <w:pPr>
              <w:jc w:val="center"/>
              <w:rPr>
                <w:rFonts w:hint="eastAsia" w:ascii="宋体" w:hAnsi="宋体" w:eastAsia="宋体" w:cs="宋体"/>
                <w:b/>
                <w:color w:val="000000" w:themeColor="text1"/>
                <w:szCs w:val="21"/>
              </w:rPr>
            </w:pPr>
            <w:r>
              <w:rPr>
                <w:rFonts w:hint="eastAsia" w:ascii="宋体" w:hAnsi="宋体" w:eastAsia="宋体" w:cs="宋体"/>
                <w:sz w:val="22"/>
                <w:szCs w:val="22"/>
              </w:rPr>
              <w:t>电子内窥镜图像处理器</w:t>
            </w:r>
          </w:p>
        </w:tc>
        <w:tc>
          <w:tcPr>
            <w:tcW w:w="1197" w:type="dxa"/>
            <w:vAlign w:val="center"/>
          </w:tcPr>
          <w:p w14:paraId="6F0BB015">
            <w:pPr>
              <w:jc w:val="center"/>
              <w:rPr>
                <w:rFonts w:hint="eastAsia" w:ascii="宋体" w:hAnsi="宋体" w:eastAsia="宋体" w:cs="宋体"/>
                <w:color w:val="000000"/>
                <w:kern w:val="0"/>
                <w:szCs w:val="21"/>
                <w:lang w:bidi="ar"/>
              </w:rPr>
            </w:pPr>
          </w:p>
        </w:tc>
        <w:tc>
          <w:tcPr>
            <w:tcW w:w="1197" w:type="dxa"/>
            <w:vAlign w:val="center"/>
          </w:tcPr>
          <w:p w14:paraId="2E6F172E">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vAlign w:val="center"/>
          </w:tcPr>
          <w:p w14:paraId="76D91BCB">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r>
      <w:tr w14:paraId="347F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2B9A1E4D">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7</w:t>
            </w:r>
          </w:p>
        </w:tc>
        <w:tc>
          <w:tcPr>
            <w:tcW w:w="4375" w:type="dxa"/>
            <w:vAlign w:val="center"/>
          </w:tcPr>
          <w:p w14:paraId="52894970">
            <w:pPr>
              <w:jc w:val="center"/>
              <w:rPr>
                <w:rFonts w:hint="eastAsia" w:ascii="宋体" w:hAnsi="宋体" w:eastAsia="宋体" w:cs="宋体"/>
                <w:b/>
                <w:color w:val="000000" w:themeColor="text1"/>
                <w:szCs w:val="21"/>
              </w:rPr>
            </w:pPr>
            <w:r>
              <w:rPr>
                <w:rFonts w:hint="eastAsia" w:ascii="宋体" w:hAnsi="宋体" w:eastAsia="宋体" w:cs="宋体"/>
                <w:sz w:val="22"/>
                <w:szCs w:val="22"/>
              </w:rPr>
              <w:t>BNC-BNC视频线</w:t>
            </w:r>
          </w:p>
        </w:tc>
        <w:tc>
          <w:tcPr>
            <w:tcW w:w="1197" w:type="dxa"/>
            <w:vAlign w:val="center"/>
          </w:tcPr>
          <w:p w14:paraId="77D339E2">
            <w:pPr>
              <w:jc w:val="center"/>
              <w:rPr>
                <w:rFonts w:hint="eastAsia" w:ascii="宋体" w:hAnsi="宋体" w:eastAsia="宋体" w:cs="宋体"/>
                <w:color w:val="000000"/>
                <w:kern w:val="0"/>
                <w:szCs w:val="21"/>
                <w:lang w:bidi="ar"/>
              </w:rPr>
            </w:pPr>
          </w:p>
        </w:tc>
        <w:tc>
          <w:tcPr>
            <w:tcW w:w="1197" w:type="dxa"/>
            <w:vAlign w:val="center"/>
          </w:tcPr>
          <w:p w14:paraId="7D607807">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vAlign w:val="center"/>
          </w:tcPr>
          <w:p w14:paraId="78E99827">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r>
      <w:tr w14:paraId="56A3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0B364C28">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8</w:t>
            </w:r>
          </w:p>
        </w:tc>
        <w:tc>
          <w:tcPr>
            <w:tcW w:w="4375" w:type="dxa"/>
            <w:vAlign w:val="center"/>
          </w:tcPr>
          <w:p w14:paraId="3D145307">
            <w:pPr>
              <w:jc w:val="center"/>
              <w:rPr>
                <w:rFonts w:hint="eastAsia" w:ascii="宋体" w:hAnsi="宋体" w:eastAsia="宋体" w:cs="宋体"/>
                <w:b/>
                <w:color w:val="000000" w:themeColor="text1"/>
                <w:szCs w:val="21"/>
              </w:rPr>
            </w:pPr>
            <w:r>
              <w:rPr>
                <w:rFonts w:hint="eastAsia" w:ascii="宋体" w:hAnsi="宋体" w:eastAsia="宋体" w:cs="宋体"/>
                <w:sz w:val="22"/>
                <w:szCs w:val="22"/>
              </w:rPr>
              <w:t>DVI-DVI视频线</w:t>
            </w:r>
          </w:p>
        </w:tc>
        <w:tc>
          <w:tcPr>
            <w:tcW w:w="1197" w:type="dxa"/>
            <w:vAlign w:val="center"/>
          </w:tcPr>
          <w:p w14:paraId="4FC20BBC">
            <w:pPr>
              <w:jc w:val="center"/>
              <w:rPr>
                <w:rFonts w:hint="eastAsia" w:ascii="宋体" w:hAnsi="宋体" w:eastAsia="宋体" w:cs="宋体"/>
                <w:color w:val="000000"/>
                <w:kern w:val="0"/>
                <w:szCs w:val="21"/>
                <w:lang w:bidi="ar"/>
              </w:rPr>
            </w:pPr>
          </w:p>
        </w:tc>
        <w:tc>
          <w:tcPr>
            <w:tcW w:w="1197" w:type="dxa"/>
            <w:vAlign w:val="center"/>
          </w:tcPr>
          <w:p w14:paraId="6248FD1E">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vAlign w:val="center"/>
          </w:tcPr>
          <w:p w14:paraId="25234F3A">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条</w:t>
            </w:r>
          </w:p>
        </w:tc>
      </w:tr>
      <w:tr w14:paraId="1FE9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4C912796">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9</w:t>
            </w:r>
          </w:p>
        </w:tc>
        <w:tc>
          <w:tcPr>
            <w:tcW w:w="4375" w:type="dxa"/>
            <w:vAlign w:val="center"/>
          </w:tcPr>
          <w:p w14:paraId="77A890C9">
            <w:pPr>
              <w:jc w:val="center"/>
              <w:rPr>
                <w:rFonts w:hint="eastAsia" w:ascii="宋体" w:hAnsi="宋体" w:eastAsia="宋体" w:cs="宋体"/>
                <w:b/>
                <w:color w:val="000000" w:themeColor="text1"/>
                <w:szCs w:val="21"/>
              </w:rPr>
            </w:pPr>
            <w:r>
              <w:rPr>
                <w:rFonts w:hint="eastAsia" w:ascii="宋体" w:hAnsi="宋体" w:eastAsia="宋体" w:cs="宋体"/>
                <w:sz w:val="22"/>
                <w:szCs w:val="22"/>
              </w:rPr>
              <w:t>12V AC适配器</w:t>
            </w:r>
          </w:p>
        </w:tc>
        <w:tc>
          <w:tcPr>
            <w:tcW w:w="1197" w:type="dxa"/>
            <w:vAlign w:val="center"/>
          </w:tcPr>
          <w:p w14:paraId="18C7736C">
            <w:pPr>
              <w:jc w:val="center"/>
              <w:rPr>
                <w:rFonts w:hint="eastAsia" w:ascii="宋体" w:hAnsi="宋体" w:eastAsia="宋体" w:cs="宋体"/>
                <w:color w:val="000000"/>
                <w:kern w:val="0"/>
                <w:szCs w:val="21"/>
                <w:lang w:bidi="ar"/>
              </w:rPr>
            </w:pPr>
          </w:p>
        </w:tc>
        <w:tc>
          <w:tcPr>
            <w:tcW w:w="1197" w:type="dxa"/>
            <w:vAlign w:val="center"/>
          </w:tcPr>
          <w:p w14:paraId="36A3A836">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vAlign w:val="center"/>
          </w:tcPr>
          <w:p w14:paraId="3F78FF60">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条</w:t>
            </w:r>
          </w:p>
        </w:tc>
      </w:tr>
      <w:tr w14:paraId="087A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6B017819">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10</w:t>
            </w:r>
          </w:p>
        </w:tc>
        <w:tc>
          <w:tcPr>
            <w:tcW w:w="4375" w:type="dxa"/>
            <w:vAlign w:val="center"/>
          </w:tcPr>
          <w:p w14:paraId="326942E8">
            <w:pPr>
              <w:jc w:val="center"/>
              <w:rPr>
                <w:rFonts w:hint="eastAsia" w:ascii="宋体" w:hAnsi="宋体" w:eastAsia="宋体" w:cs="宋体"/>
                <w:b/>
                <w:color w:val="000000" w:themeColor="text1"/>
                <w:szCs w:val="21"/>
              </w:rPr>
            </w:pPr>
            <w:r>
              <w:rPr>
                <w:rFonts w:hint="eastAsia" w:ascii="宋体" w:hAnsi="宋体" w:eastAsia="宋体" w:cs="宋体"/>
                <w:sz w:val="22"/>
                <w:szCs w:val="22"/>
              </w:rPr>
              <w:t>AC适配器电源线</w:t>
            </w:r>
          </w:p>
        </w:tc>
        <w:tc>
          <w:tcPr>
            <w:tcW w:w="1197" w:type="dxa"/>
            <w:vAlign w:val="center"/>
          </w:tcPr>
          <w:p w14:paraId="0B388072">
            <w:pPr>
              <w:jc w:val="center"/>
              <w:rPr>
                <w:rFonts w:hint="eastAsia" w:ascii="宋体" w:hAnsi="宋体" w:eastAsia="宋体" w:cs="宋体"/>
                <w:color w:val="000000"/>
                <w:kern w:val="0"/>
                <w:szCs w:val="21"/>
                <w:lang w:bidi="ar"/>
              </w:rPr>
            </w:pPr>
          </w:p>
        </w:tc>
        <w:tc>
          <w:tcPr>
            <w:tcW w:w="1197" w:type="dxa"/>
            <w:vAlign w:val="center"/>
          </w:tcPr>
          <w:p w14:paraId="11A457CE">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vAlign w:val="center"/>
          </w:tcPr>
          <w:p w14:paraId="68C92AC3">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条</w:t>
            </w:r>
          </w:p>
        </w:tc>
      </w:tr>
      <w:tr w14:paraId="0757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5B932067">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11</w:t>
            </w:r>
          </w:p>
        </w:tc>
        <w:tc>
          <w:tcPr>
            <w:tcW w:w="4375" w:type="dxa"/>
            <w:vAlign w:val="center"/>
          </w:tcPr>
          <w:p w14:paraId="364EF745">
            <w:pPr>
              <w:jc w:val="center"/>
              <w:rPr>
                <w:rFonts w:hint="eastAsia" w:ascii="宋体" w:hAnsi="宋体" w:eastAsia="宋体" w:cs="宋体"/>
                <w:b/>
                <w:color w:val="000000" w:themeColor="text1"/>
                <w:szCs w:val="21"/>
              </w:rPr>
            </w:pPr>
            <w:r>
              <w:rPr>
                <w:rFonts w:hint="eastAsia" w:ascii="宋体" w:hAnsi="宋体" w:eastAsia="宋体" w:cs="宋体"/>
                <w:sz w:val="22"/>
                <w:szCs w:val="22"/>
              </w:rPr>
              <w:t>64G SD卡</w:t>
            </w:r>
          </w:p>
        </w:tc>
        <w:tc>
          <w:tcPr>
            <w:tcW w:w="1197" w:type="dxa"/>
            <w:vAlign w:val="center"/>
          </w:tcPr>
          <w:p w14:paraId="0E70E278">
            <w:pPr>
              <w:jc w:val="center"/>
              <w:rPr>
                <w:rFonts w:hint="eastAsia" w:ascii="宋体" w:hAnsi="宋体" w:eastAsia="宋体" w:cs="宋体"/>
                <w:color w:val="000000"/>
                <w:kern w:val="0"/>
                <w:szCs w:val="21"/>
                <w:lang w:bidi="ar"/>
              </w:rPr>
            </w:pPr>
          </w:p>
        </w:tc>
        <w:tc>
          <w:tcPr>
            <w:tcW w:w="1197" w:type="dxa"/>
            <w:vAlign w:val="center"/>
          </w:tcPr>
          <w:p w14:paraId="1BACC540">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vAlign w:val="center"/>
          </w:tcPr>
          <w:p w14:paraId="4E17EFCE">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r>
      <w:tr w14:paraId="5A1C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47453E9C">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12</w:t>
            </w:r>
          </w:p>
        </w:tc>
        <w:tc>
          <w:tcPr>
            <w:tcW w:w="4375" w:type="dxa"/>
            <w:vAlign w:val="center"/>
          </w:tcPr>
          <w:p w14:paraId="467FCC93">
            <w:pPr>
              <w:jc w:val="center"/>
              <w:rPr>
                <w:rFonts w:hint="eastAsia" w:ascii="宋体" w:hAnsi="宋体" w:eastAsia="宋体" w:cs="宋体"/>
                <w:b/>
                <w:color w:val="000000" w:themeColor="text1"/>
                <w:szCs w:val="21"/>
              </w:rPr>
            </w:pPr>
            <w:r>
              <w:rPr>
                <w:rFonts w:hint="eastAsia" w:ascii="宋体" w:hAnsi="宋体" w:eastAsia="宋体" w:cs="宋体"/>
                <w:sz w:val="22"/>
                <w:szCs w:val="22"/>
              </w:rPr>
              <w:t>移动台车</w:t>
            </w:r>
          </w:p>
        </w:tc>
        <w:tc>
          <w:tcPr>
            <w:tcW w:w="1197" w:type="dxa"/>
            <w:vAlign w:val="center"/>
          </w:tcPr>
          <w:p w14:paraId="2FD7FE71">
            <w:pPr>
              <w:jc w:val="center"/>
              <w:rPr>
                <w:rFonts w:hint="eastAsia" w:ascii="宋体" w:hAnsi="宋体" w:eastAsia="宋体" w:cs="宋体"/>
                <w:color w:val="000000"/>
                <w:kern w:val="0"/>
                <w:szCs w:val="21"/>
                <w:lang w:bidi="ar"/>
              </w:rPr>
            </w:pPr>
          </w:p>
        </w:tc>
        <w:tc>
          <w:tcPr>
            <w:tcW w:w="1197" w:type="dxa"/>
            <w:vAlign w:val="center"/>
          </w:tcPr>
          <w:p w14:paraId="0C490321">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vAlign w:val="center"/>
          </w:tcPr>
          <w:p w14:paraId="6809C6CD">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r>
      <w:tr w14:paraId="24D8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175B7639">
            <w:pPr>
              <w:jc w:val="center"/>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13</w:t>
            </w:r>
          </w:p>
        </w:tc>
        <w:tc>
          <w:tcPr>
            <w:tcW w:w="4375" w:type="dxa"/>
            <w:shd w:val="clear" w:color="auto" w:fill="auto"/>
            <w:vAlign w:val="center"/>
          </w:tcPr>
          <w:p w14:paraId="2AD31DE8">
            <w:pPr>
              <w:jc w:val="center"/>
              <w:rPr>
                <w:rFonts w:hint="eastAsia" w:ascii="宋体" w:hAnsi="宋体" w:eastAsia="宋体" w:cs="宋体"/>
                <w:b/>
                <w:color w:val="000000" w:themeColor="text1"/>
                <w:szCs w:val="21"/>
              </w:rPr>
            </w:pPr>
            <w:r>
              <w:rPr>
                <w:rFonts w:hint="eastAsia" w:ascii="宋体" w:hAnsi="宋体" w:eastAsia="宋体" w:cs="宋体"/>
                <w:szCs w:val="21"/>
              </w:rPr>
              <w:t>中文说明书、中文维修手册、中文操作流程卡（另电子版1份）；</w:t>
            </w:r>
          </w:p>
        </w:tc>
        <w:tc>
          <w:tcPr>
            <w:tcW w:w="1197" w:type="dxa"/>
            <w:shd w:val="clear" w:color="auto" w:fill="auto"/>
            <w:vAlign w:val="center"/>
          </w:tcPr>
          <w:p w14:paraId="002F25C7">
            <w:pPr>
              <w:jc w:val="center"/>
              <w:rPr>
                <w:rFonts w:hint="eastAsia" w:ascii="宋体" w:hAnsi="宋体" w:eastAsia="宋体" w:cs="宋体"/>
                <w:color w:val="000000"/>
                <w:kern w:val="0"/>
                <w:szCs w:val="21"/>
                <w:lang w:bidi="ar"/>
              </w:rPr>
            </w:pPr>
          </w:p>
        </w:tc>
        <w:tc>
          <w:tcPr>
            <w:tcW w:w="1197" w:type="dxa"/>
            <w:shd w:val="clear" w:color="auto" w:fill="auto"/>
            <w:vAlign w:val="center"/>
          </w:tcPr>
          <w:p w14:paraId="2BC8E443">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shd w:val="clear" w:color="auto" w:fill="auto"/>
            <w:vAlign w:val="center"/>
          </w:tcPr>
          <w:p w14:paraId="54E9B52F">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份</w:t>
            </w:r>
          </w:p>
        </w:tc>
      </w:tr>
      <w:tr w14:paraId="7B0F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25C97A89">
            <w:pPr>
              <w:jc w:val="center"/>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14</w:t>
            </w:r>
          </w:p>
        </w:tc>
        <w:tc>
          <w:tcPr>
            <w:tcW w:w="4375" w:type="dxa"/>
            <w:shd w:val="clear" w:color="auto" w:fill="auto"/>
            <w:vAlign w:val="center"/>
          </w:tcPr>
          <w:p w14:paraId="3D6EA765">
            <w:pPr>
              <w:jc w:val="center"/>
              <w:rPr>
                <w:rFonts w:hint="eastAsia" w:ascii="宋体" w:hAnsi="宋体" w:eastAsia="宋体" w:cs="宋体"/>
                <w:b/>
                <w:color w:val="000000" w:themeColor="text1"/>
                <w:szCs w:val="21"/>
              </w:rPr>
            </w:pPr>
            <w:r>
              <w:rPr>
                <w:rFonts w:hint="eastAsia" w:ascii="宋体" w:hAnsi="宋体" w:eastAsia="宋体" w:cs="宋体"/>
                <w:szCs w:val="21"/>
              </w:rPr>
              <w:t>配齐与主机相匹配的附件设备，如连接管、连线、架子、特殊插座插头和工具等</w:t>
            </w:r>
          </w:p>
        </w:tc>
        <w:tc>
          <w:tcPr>
            <w:tcW w:w="1197" w:type="dxa"/>
            <w:shd w:val="clear" w:color="auto" w:fill="auto"/>
            <w:vAlign w:val="center"/>
          </w:tcPr>
          <w:p w14:paraId="5918AE6C">
            <w:pPr>
              <w:jc w:val="center"/>
              <w:rPr>
                <w:rFonts w:hint="eastAsia" w:ascii="宋体" w:hAnsi="宋体" w:eastAsia="宋体" w:cs="宋体"/>
                <w:color w:val="000000"/>
                <w:kern w:val="0"/>
                <w:szCs w:val="21"/>
                <w:lang w:bidi="ar"/>
              </w:rPr>
            </w:pPr>
          </w:p>
        </w:tc>
        <w:tc>
          <w:tcPr>
            <w:tcW w:w="1197" w:type="dxa"/>
            <w:shd w:val="clear" w:color="auto" w:fill="auto"/>
            <w:vAlign w:val="center"/>
          </w:tcPr>
          <w:p w14:paraId="22E8522F">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shd w:val="clear" w:color="auto" w:fill="auto"/>
            <w:vAlign w:val="center"/>
          </w:tcPr>
          <w:p w14:paraId="45A58C99">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套</w:t>
            </w:r>
          </w:p>
        </w:tc>
      </w:tr>
    </w:tbl>
    <w:p w14:paraId="0C79D29C">
      <w:pPr>
        <w:spacing w:line="360" w:lineRule="auto"/>
        <w:rPr>
          <w:rFonts w:hint="eastAsia" w:ascii="宋体" w:hAnsi="宋体" w:eastAsia="宋体" w:cs="宋体"/>
          <w:b/>
          <w:color w:val="000000" w:themeColor="text1"/>
          <w:szCs w:val="21"/>
        </w:rPr>
      </w:pPr>
    </w:p>
    <w:p w14:paraId="38917261">
      <w:pPr>
        <w:numPr>
          <w:ilvl w:val="0"/>
          <w:numId w:val="4"/>
        </w:numPr>
        <w:spacing w:line="360" w:lineRule="auto"/>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主要商务要求：</w:t>
      </w:r>
    </w:p>
    <w:p w14:paraId="3EDDC68F">
      <w:pPr>
        <w:spacing w:line="360" w:lineRule="auto"/>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1.交货及安装、验收要求</w:t>
      </w:r>
    </w:p>
    <w:p w14:paraId="5D173530">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1.1交货地点：采购人指定地点。</w:t>
      </w:r>
    </w:p>
    <w:p w14:paraId="5E605916">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1.2交货期：</w:t>
      </w:r>
      <w:r>
        <w:rPr>
          <w:rFonts w:hint="eastAsia" w:ascii="宋体" w:hAnsi="宋体" w:eastAsia="宋体" w:cs="宋体"/>
          <w:color w:val="000000" w:themeColor="text1"/>
          <w:szCs w:val="21"/>
          <w:lang w:eastAsia="zh-CN"/>
        </w:rPr>
        <w:t>中标人</w:t>
      </w:r>
      <w:r>
        <w:rPr>
          <w:rFonts w:hint="eastAsia" w:ascii="宋体" w:hAnsi="宋体" w:eastAsia="宋体" w:cs="宋体"/>
          <w:color w:val="000000" w:themeColor="text1"/>
          <w:szCs w:val="21"/>
        </w:rPr>
        <w:t>应当在中标通知书发出之日起30日内按采购需求及</w:t>
      </w:r>
      <w:r>
        <w:rPr>
          <w:rFonts w:hint="eastAsia" w:ascii="宋体" w:hAnsi="宋体" w:eastAsia="宋体" w:cs="宋体"/>
          <w:color w:val="000000" w:themeColor="text1"/>
          <w:szCs w:val="21"/>
          <w:lang w:eastAsia="zh-CN"/>
        </w:rPr>
        <w:t>中标人</w:t>
      </w:r>
      <w:r>
        <w:rPr>
          <w:rFonts w:hint="eastAsia" w:ascii="宋体" w:hAnsi="宋体" w:eastAsia="宋体" w:cs="宋体"/>
          <w:color w:val="000000" w:themeColor="text1"/>
          <w:szCs w:val="21"/>
        </w:rPr>
        <w:t>的投标文件确定的事项与采购人签订合同，签订合同后</w:t>
      </w:r>
      <w:r>
        <w:rPr>
          <w:rFonts w:hint="eastAsia" w:ascii="宋体" w:hAnsi="宋体" w:eastAsia="宋体" w:cs="宋体"/>
          <w:color w:val="FF0000"/>
          <w:szCs w:val="21"/>
          <w:u w:val="single"/>
        </w:rPr>
        <w:t xml:space="preserve"> </w:t>
      </w:r>
      <w:r>
        <w:rPr>
          <w:rFonts w:hint="eastAsia" w:ascii="宋体" w:hAnsi="宋体" w:eastAsia="宋体" w:cs="宋体"/>
          <w:color w:val="FF0000"/>
          <w:szCs w:val="21"/>
          <w:highlight w:val="yellow"/>
          <w:u w:val="single"/>
        </w:rPr>
        <w:t xml:space="preserve">15 </w:t>
      </w:r>
      <w:r>
        <w:rPr>
          <w:rFonts w:hint="eastAsia" w:ascii="宋体" w:hAnsi="宋体" w:eastAsia="宋体" w:cs="宋体"/>
          <w:color w:val="FF0000"/>
          <w:szCs w:val="21"/>
          <w:highlight w:val="yellow"/>
        </w:rPr>
        <w:t>日</w:t>
      </w:r>
      <w:r>
        <w:rPr>
          <w:rFonts w:hint="eastAsia" w:ascii="宋体" w:hAnsi="宋体" w:eastAsia="宋体" w:cs="宋体"/>
          <w:color w:val="000000" w:themeColor="text1"/>
          <w:szCs w:val="21"/>
        </w:rPr>
        <w:t>内完成设备的安装调试。</w:t>
      </w:r>
    </w:p>
    <w:p w14:paraId="660760EC">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1.3</w:t>
      </w:r>
      <w:r>
        <w:rPr>
          <w:rFonts w:hint="eastAsia" w:ascii="宋体" w:hAnsi="宋体" w:eastAsia="宋体" w:cs="宋体"/>
          <w:color w:val="000000" w:themeColor="text1"/>
          <w:szCs w:val="21"/>
          <w:lang w:eastAsia="zh-CN"/>
        </w:rPr>
        <w:t>中标人</w:t>
      </w:r>
      <w:r>
        <w:rPr>
          <w:rFonts w:hint="eastAsia" w:ascii="宋体" w:hAnsi="宋体" w:eastAsia="宋体" w:cs="宋体"/>
          <w:color w:val="000000" w:themeColor="text1"/>
          <w:szCs w:val="21"/>
        </w:rPr>
        <w:t>须保证中标后所提供的设备为原装、全新合格的产品；且原装进口产品生产日期与交货日期差值</w:t>
      </w:r>
      <w:r>
        <w:rPr>
          <w:rFonts w:hint="eastAsia" w:ascii="宋体" w:hAnsi="宋体" w:eastAsia="宋体" w:cs="宋体"/>
          <w:color w:val="000000" w:themeColor="text1"/>
          <w:szCs w:val="21"/>
          <w:highlight w:val="yellow"/>
        </w:rPr>
        <w:t>≤</w:t>
      </w:r>
      <w:r>
        <w:rPr>
          <w:rFonts w:hint="eastAsia" w:ascii="宋体" w:hAnsi="宋体" w:eastAsia="宋体" w:cs="宋体"/>
          <w:color w:val="000000" w:themeColor="text1"/>
          <w:szCs w:val="21"/>
          <w:highlight w:val="yellow"/>
          <w:lang w:val="en-US" w:eastAsia="zh-CN"/>
        </w:rPr>
        <w:t>12</w:t>
      </w:r>
      <w:r>
        <w:rPr>
          <w:rFonts w:hint="eastAsia" w:ascii="宋体" w:hAnsi="宋体" w:eastAsia="宋体" w:cs="宋体"/>
          <w:color w:val="000000" w:themeColor="text1"/>
          <w:szCs w:val="21"/>
        </w:rPr>
        <w:t>个月；国产产品生产日期与交货日期差值≤3个月。</w:t>
      </w:r>
    </w:p>
    <w:p w14:paraId="7CC296EC">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1.4</w:t>
      </w:r>
      <w:r>
        <w:rPr>
          <w:rFonts w:hint="eastAsia" w:ascii="宋体" w:hAnsi="宋体" w:eastAsia="宋体" w:cs="宋体"/>
          <w:color w:val="000000" w:themeColor="text1"/>
          <w:szCs w:val="21"/>
          <w:lang w:eastAsia="zh-CN"/>
        </w:rPr>
        <w:t>中标人</w:t>
      </w:r>
      <w:r>
        <w:rPr>
          <w:rFonts w:hint="eastAsia" w:ascii="宋体" w:hAnsi="宋体" w:eastAsia="宋体" w:cs="宋体"/>
          <w:color w:val="000000" w:themeColor="text1"/>
          <w:szCs w:val="21"/>
        </w:rPr>
        <w:t>负责派技术人员到现场进行安装调试，直至验收合格，安装调试所需费用应包含在投标总报价内；同时提供培训服务，必须保证需求科室操作人员融会贯通，培训所需费用全部包含在总报价内。</w:t>
      </w:r>
    </w:p>
    <w:p w14:paraId="5024C3A9">
      <w:pPr>
        <w:spacing w:line="360" w:lineRule="auto"/>
        <w:rPr>
          <w:rFonts w:hint="eastAsia" w:ascii="宋体" w:hAnsi="宋体" w:eastAsia="宋体" w:cs="宋体"/>
          <w:color w:val="auto"/>
          <w:szCs w:val="21"/>
        </w:rPr>
      </w:pPr>
      <w:r>
        <w:rPr>
          <w:rFonts w:hint="eastAsia" w:ascii="宋体" w:hAnsi="宋体" w:eastAsia="宋体" w:cs="宋体"/>
          <w:color w:val="000000" w:themeColor="text1"/>
          <w:szCs w:val="21"/>
        </w:rPr>
        <w:t>1.5验收方式：按《小榄镇公立医</w:t>
      </w:r>
      <w:r>
        <w:rPr>
          <w:rFonts w:hint="eastAsia" w:ascii="宋体" w:hAnsi="宋体" w:eastAsia="宋体" w:cs="宋体"/>
          <w:color w:val="auto"/>
          <w:szCs w:val="21"/>
        </w:rPr>
        <w:t>院政府采购和验收办法》和《中山市小榄人民医院医疗设备验收管理制度》。</w:t>
      </w:r>
    </w:p>
    <w:p w14:paraId="2D7301D6">
      <w:pPr>
        <w:spacing w:line="360" w:lineRule="auto"/>
        <w:rPr>
          <w:rFonts w:hint="eastAsia" w:ascii="宋体" w:hAnsi="宋体" w:eastAsia="宋体" w:cs="宋体"/>
          <w:szCs w:val="21"/>
        </w:rPr>
      </w:pPr>
      <w:r>
        <w:rPr>
          <w:rFonts w:hint="eastAsia" w:ascii="宋体" w:hAnsi="宋体" w:eastAsia="宋体" w:cs="宋体"/>
          <w:szCs w:val="21"/>
        </w:rPr>
        <w:t>★1.6</w:t>
      </w:r>
      <w:r>
        <w:rPr>
          <w:rFonts w:hint="eastAsia" w:ascii="宋体" w:hAnsi="宋体" w:eastAsia="宋体" w:cs="宋体"/>
          <w:szCs w:val="21"/>
          <w:lang w:eastAsia="zh-CN"/>
        </w:rPr>
        <w:t>投标人</w:t>
      </w:r>
      <w:r>
        <w:rPr>
          <w:rFonts w:hint="eastAsia" w:ascii="宋体" w:hAnsi="宋体" w:eastAsia="宋体" w:cs="宋体"/>
          <w:szCs w:val="21"/>
        </w:rPr>
        <w:t>须在投标文件提供该项目完整的授权书。</w:t>
      </w:r>
    </w:p>
    <w:p w14:paraId="301A479C">
      <w:pPr>
        <w:pStyle w:val="4"/>
        <w:rPr>
          <w:rFonts w:hint="eastAsia" w:ascii="宋体" w:hAnsi="宋体" w:cs="宋体"/>
        </w:rPr>
      </w:pPr>
    </w:p>
    <w:p w14:paraId="7B39EF7B">
      <w:pPr>
        <w:spacing w:line="360" w:lineRule="auto"/>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2.售后服务要求</w:t>
      </w:r>
    </w:p>
    <w:p w14:paraId="78A52A48">
      <w:pPr>
        <w:tabs>
          <w:tab w:val="left" w:pos="420"/>
        </w:tabs>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2.1</w:t>
      </w:r>
      <w:r>
        <w:rPr>
          <w:rFonts w:hint="eastAsia" w:ascii="宋体" w:hAnsi="宋体" w:eastAsia="宋体" w:cs="宋体"/>
          <w:color w:val="000000" w:themeColor="text1"/>
          <w:szCs w:val="21"/>
          <w:lang w:eastAsia="zh-CN"/>
        </w:rPr>
        <w:t>中标人</w:t>
      </w:r>
      <w:r>
        <w:rPr>
          <w:rFonts w:hint="eastAsia" w:ascii="宋体" w:hAnsi="宋体" w:eastAsia="宋体" w:cs="宋体"/>
          <w:color w:val="000000" w:themeColor="text1"/>
          <w:szCs w:val="21"/>
        </w:rPr>
        <w:t>必须在中国境内有售后服务机构，并附有售后服务能力说明。</w:t>
      </w:r>
    </w:p>
    <w:p w14:paraId="7353FBDF">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★2.2</w:t>
      </w:r>
      <w:r>
        <w:rPr>
          <w:rFonts w:hint="eastAsia" w:ascii="宋体" w:hAnsi="宋体" w:eastAsia="宋体" w:cs="宋体"/>
          <w:color w:val="000000" w:themeColor="text1"/>
          <w:szCs w:val="21"/>
          <w:lang w:eastAsia="zh-CN"/>
        </w:rPr>
        <w:t>中标人</w:t>
      </w:r>
      <w:r>
        <w:rPr>
          <w:rFonts w:hint="eastAsia" w:ascii="宋体" w:hAnsi="宋体" w:eastAsia="宋体" w:cs="宋体"/>
          <w:color w:val="000000" w:themeColor="text1"/>
          <w:szCs w:val="21"/>
        </w:rPr>
        <w:t>须提供设备原厂质保（设备原厂质量保修范围和保修期）至少</w:t>
      </w:r>
      <w:r>
        <w:rPr>
          <w:rFonts w:hint="eastAsia" w:ascii="宋体" w:hAnsi="宋体" w:eastAsia="宋体" w:cs="宋体"/>
          <w:b/>
          <w:bCs/>
          <w:szCs w:val="21"/>
          <w:highlight w:val="yellow"/>
        </w:rPr>
        <w:t>为</w:t>
      </w:r>
      <w:r>
        <w:rPr>
          <w:rFonts w:hint="eastAsia" w:ascii="宋体" w:hAnsi="宋体" w:eastAsia="宋体" w:cs="宋体"/>
          <w:b/>
          <w:bCs/>
          <w:szCs w:val="21"/>
          <w:highlight w:val="yellow"/>
          <w:u w:val="single"/>
        </w:rPr>
        <w:t xml:space="preserve">  5 </w:t>
      </w:r>
      <w:r>
        <w:rPr>
          <w:rFonts w:hint="eastAsia" w:ascii="宋体" w:hAnsi="宋体" w:eastAsia="宋体" w:cs="宋体"/>
          <w:b/>
          <w:bCs/>
          <w:szCs w:val="21"/>
          <w:highlight w:val="yellow"/>
        </w:rPr>
        <w:t>年。</w:t>
      </w:r>
    </w:p>
    <w:p w14:paraId="77F2939E">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2.3在售后期内，</w:t>
      </w:r>
      <w:r>
        <w:rPr>
          <w:rFonts w:hint="eastAsia" w:ascii="宋体" w:hAnsi="宋体" w:eastAsia="宋体" w:cs="宋体"/>
          <w:color w:val="000000" w:themeColor="text1"/>
          <w:szCs w:val="21"/>
          <w:lang w:eastAsia="zh-CN"/>
        </w:rPr>
        <w:t>中标人</w:t>
      </w:r>
      <w:r>
        <w:rPr>
          <w:rFonts w:hint="eastAsia" w:ascii="宋体" w:hAnsi="宋体" w:eastAsia="宋体" w:cs="宋体"/>
          <w:color w:val="000000" w:themeColor="text1"/>
          <w:szCs w:val="21"/>
        </w:rPr>
        <w:t>在接到用户的维修通知，响应时间为半小时内，工程师到达现场时间为4小时内，排除故障时限为到达现场后8小时内。</w:t>
      </w:r>
    </w:p>
    <w:p w14:paraId="30160D1C">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2.4如果产品故障在检修12小时后仍无法排除，</w:t>
      </w:r>
      <w:r>
        <w:rPr>
          <w:rFonts w:hint="eastAsia" w:ascii="宋体" w:hAnsi="宋体" w:eastAsia="宋体" w:cs="宋体"/>
          <w:color w:val="000000" w:themeColor="text1"/>
          <w:szCs w:val="21"/>
          <w:lang w:eastAsia="zh-CN"/>
        </w:rPr>
        <w:t>中标人</w:t>
      </w:r>
      <w:r>
        <w:rPr>
          <w:rFonts w:hint="eastAsia" w:ascii="宋体" w:hAnsi="宋体" w:eastAsia="宋体" w:cs="宋体"/>
          <w:color w:val="000000" w:themeColor="text1"/>
          <w:szCs w:val="21"/>
        </w:rPr>
        <w:t>应在24小时内提供不低于故障产品规格型号档次的备用产品供采购人使用，直至故障产品修复。</w:t>
      </w:r>
    </w:p>
    <w:p w14:paraId="5901B6A0">
      <w:pPr>
        <w:spacing w:line="360" w:lineRule="auto"/>
        <w:rPr>
          <w:rFonts w:hint="eastAsia" w:ascii="宋体" w:hAnsi="宋体" w:eastAsia="宋体" w:cs="宋体"/>
          <w:b/>
          <w:color w:val="000000" w:themeColor="text1"/>
          <w:szCs w:val="21"/>
        </w:rPr>
      </w:pPr>
    </w:p>
    <w:p w14:paraId="31C7EE98">
      <w:pPr>
        <w:spacing w:line="360" w:lineRule="auto"/>
        <w:rPr>
          <w:rFonts w:hint="eastAsia" w:ascii="宋体" w:hAnsi="宋体" w:eastAsia="宋体" w:cs="宋体"/>
          <w:b/>
          <w:color w:val="000000" w:themeColor="text1"/>
          <w:szCs w:val="21"/>
        </w:rPr>
      </w:pPr>
      <w:r>
        <w:rPr>
          <w:rFonts w:hint="eastAsia" w:ascii="宋体" w:hAnsi="宋体" w:eastAsia="宋体" w:cs="宋体"/>
          <w:color w:val="000000" w:themeColor="text1"/>
          <w:szCs w:val="21"/>
        </w:rPr>
        <w:t>★</w:t>
      </w:r>
      <w:r>
        <w:rPr>
          <w:rFonts w:hint="eastAsia" w:ascii="宋体" w:hAnsi="宋体" w:eastAsia="宋体" w:cs="宋体"/>
          <w:b/>
          <w:color w:val="000000" w:themeColor="text1"/>
          <w:szCs w:val="21"/>
        </w:rPr>
        <w:t>3.付款方式</w:t>
      </w:r>
    </w:p>
    <w:p w14:paraId="5E190838">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3.1本合同的每笔款项以人民币转账方式支付。</w:t>
      </w:r>
    </w:p>
    <w:p w14:paraId="015D45BB">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3.2</w:t>
      </w:r>
      <w:r>
        <w:rPr>
          <w:rFonts w:hint="eastAsia" w:ascii="宋体" w:hAnsi="宋体" w:eastAsia="宋体" w:cs="宋体"/>
          <w:szCs w:val="21"/>
        </w:rPr>
        <w:t>合同签订后，</w:t>
      </w:r>
      <w:r>
        <w:rPr>
          <w:rFonts w:hint="eastAsia" w:ascii="宋体" w:hAnsi="宋体" w:eastAsia="宋体" w:cs="宋体"/>
          <w:szCs w:val="21"/>
          <w:lang w:eastAsia="zh-CN"/>
        </w:rPr>
        <w:t>中标人</w:t>
      </w:r>
      <w:r>
        <w:rPr>
          <w:rFonts w:hint="eastAsia" w:ascii="宋体" w:hAnsi="宋体" w:eastAsia="宋体" w:cs="宋体"/>
          <w:szCs w:val="21"/>
        </w:rPr>
        <w:t>按合同协议时间提供货物或服务完成后，经采购人规定的验收人员书面确认验收合格，</w:t>
      </w:r>
      <w:r>
        <w:rPr>
          <w:rFonts w:hint="eastAsia" w:ascii="宋体" w:hAnsi="宋体" w:eastAsia="宋体" w:cs="宋体"/>
          <w:szCs w:val="21"/>
          <w:lang w:eastAsia="zh-CN"/>
        </w:rPr>
        <w:t>中标人</w:t>
      </w:r>
      <w:r>
        <w:rPr>
          <w:rFonts w:hint="eastAsia" w:ascii="宋体" w:hAnsi="宋体" w:eastAsia="宋体" w:cs="宋体"/>
          <w:szCs w:val="21"/>
        </w:rPr>
        <w:t>即开具有效的增值税普通发票，采购人确认发票无误后，在收到发票之日起</w:t>
      </w:r>
      <w:r>
        <w:rPr>
          <w:rFonts w:hint="eastAsia" w:ascii="宋体" w:hAnsi="宋体" w:eastAsia="宋体" w:cs="宋体"/>
          <w:szCs w:val="21"/>
          <w:u w:val="single"/>
        </w:rPr>
        <w:t xml:space="preserve"> 30 </w:t>
      </w:r>
      <w:r>
        <w:rPr>
          <w:rFonts w:hint="eastAsia" w:ascii="宋体" w:hAnsi="宋体" w:eastAsia="宋体" w:cs="宋体"/>
          <w:szCs w:val="21"/>
        </w:rPr>
        <w:t>日内，支付合同总金额的95%</w:t>
      </w:r>
      <w:r>
        <w:rPr>
          <w:rFonts w:hint="eastAsia" w:ascii="宋体" w:hAnsi="宋体" w:eastAsia="宋体" w:cs="宋体"/>
          <w:color w:val="000000" w:themeColor="text1"/>
          <w:szCs w:val="21"/>
        </w:rPr>
        <w:t>；合同总金额的5%，作为第二期款项，在</w:t>
      </w:r>
      <w:r>
        <w:rPr>
          <w:rFonts w:hint="eastAsia" w:ascii="宋体" w:hAnsi="宋体" w:eastAsia="宋体" w:cs="宋体"/>
          <w:color w:val="000000" w:themeColor="text1"/>
          <w:szCs w:val="21"/>
          <w:highlight w:val="yellow"/>
          <w:u w:val="single"/>
        </w:rPr>
        <w:t xml:space="preserve"> 质保期满 </w:t>
      </w:r>
      <w:r>
        <w:rPr>
          <w:rFonts w:hint="eastAsia" w:ascii="宋体" w:hAnsi="宋体" w:eastAsia="宋体" w:cs="宋体"/>
          <w:color w:val="000000" w:themeColor="text1"/>
          <w:szCs w:val="21"/>
        </w:rPr>
        <w:t>后一次性无息支付。</w:t>
      </w:r>
    </w:p>
    <w:p w14:paraId="7248D44C">
      <w:pPr>
        <w:pStyle w:val="5"/>
        <w:spacing w:line="360" w:lineRule="auto"/>
        <w:rPr>
          <w:rFonts w:hint="eastAsia" w:ascii="宋体" w:hAnsi="宋体" w:eastAsia="宋体" w:cs="宋体"/>
          <w:szCs w:val="21"/>
        </w:rPr>
      </w:pPr>
    </w:p>
    <w:p w14:paraId="6F055EBE">
      <w:pPr>
        <w:spacing w:line="360" w:lineRule="auto"/>
        <w:rPr>
          <w:rFonts w:hint="eastAsia" w:ascii="宋体" w:hAnsi="宋体" w:eastAsia="宋体" w:cs="宋体"/>
          <w:b/>
          <w:color w:val="0000FF"/>
          <w:szCs w:val="21"/>
        </w:rPr>
      </w:pPr>
      <w:r>
        <w:rPr>
          <w:rFonts w:hint="eastAsia" w:ascii="宋体" w:hAnsi="宋体" w:eastAsia="宋体" w:cs="宋体"/>
          <w:b/>
          <w:color w:val="0000FF"/>
          <w:szCs w:val="21"/>
        </w:rPr>
        <w:t>六、其他商务要求</w:t>
      </w:r>
    </w:p>
    <w:p w14:paraId="3C10A36C">
      <w:pPr>
        <w:numPr>
          <w:ilvl w:val="0"/>
          <w:numId w:val="7"/>
        </w:numPr>
        <w:spacing w:line="360" w:lineRule="auto"/>
        <w:ind w:left="0" w:firstLine="0"/>
        <w:rPr>
          <w:rFonts w:hint="eastAsia" w:ascii="宋体" w:hAnsi="宋体" w:eastAsia="宋体" w:cs="宋体"/>
          <w:color w:val="000000" w:themeColor="text1"/>
          <w:szCs w:val="21"/>
        </w:rPr>
      </w:pPr>
      <w:r>
        <w:rPr>
          <w:rFonts w:hint="eastAsia" w:ascii="宋体" w:hAnsi="宋体" w:eastAsia="宋体" w:cs="宋体"/>
          <w:color w:val="000000" w:themeColor="text1"/>
          <w:szCs w:val="21"/>
        </w:rPr>
        <w:t>投标人须对本项目的采购标的进行整体投标，任何只对本项目采购标的其中一部分内容、数量进行的投标都被视为无效投标。</w:t>
      </w:r>
    </w:p>
    <w:p w14:paraId="372B79B9">
      <w:pPr>
        <w:numPr>
          <w:ilvl w:val="0"/>
          <w:numId w:val="7"/>
        </w:numPr>
        <w:spacing w:line="360" w:lineRule="auto"/>
        <w:ind w:left="0" w:firstLine="0"/>
        <w:rPr>
          <w:rFonts w:hint="eastAsia" w:ascii="宋体" w:hAnsi="宋体" w:eastAsia="宋体" w:cs="宋体"/>
          <w:color w:val="000000" w:themeColor="text1"/>
          <w:szCs w:val="21"/>
        </w:rPr>
      </w:pPr>
      <w:r>
        <w:rPr>
          <w:rFonts w:hint="eastAsia" w:ascii="宋体" w:hAnsi="宋体" w:eastAsia="宋体" w:cs="宋体"/>
          <w:color w:val="000000" w:themeColor="text1"/>
          <w:szCs w:val="21"/>
        </w:rPr>
        <w:t>★投标人应分别列明该项目所有设备的总报价和分项报价</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每台单独设备需要分项报价。</w:t>
      </w:r>
    </w:p>
    <w:p w14:paraId="521F6D29">
      <w:pPr>
        <w:numPr>
          <w:ilvl w:val="0"/>
          <w:numId w:val="7"/>
        </w:numPr>
        <w:spacing w:line="360" w:lineRule="auto"/>
        <w:ind w:left="0" w:firstLine="0"/>
        <w:rPr>
          <w:rFonts w:hint="eastAsia" w:ascii="宋体" w:hAnsi="宋体" w:eastAsia="宋体" w:cs="宋体"/>
          <w:color w:val="000000" w:themeColor="text1"/>
          <w:szCs w:val="21"/>
        </w:rPr>
      </w:pPr>
      <w:r>
        <w:rPr>
          <w:rFonts w:hint="eastAsia" w:ascii="宋体" w:hAnsi="宋体" w:eastAsia="宋体" w:cs="宋体"/>
          <w:color w:val="000000" w:themeColor="text1"/>
          <w:szCs w:val="21"/>
        </w:rPr>
        <w:t>涉及专机专用耗材、试剂、易损件等需填列报价，且承诺至少在质保期内按此价格执行。若投标人所投产品不涉及专机专用耗材、试剂、易损件等，提供不涉及专机专用耗材、试剂及易损件的声明函。</w:t>
      </w:r>
    </w:p>
    <w:p w14:paraId="44B20FEA">
      <w:pPr>
        <w:numPr>
          <w:ilvl w:val="0"/>
          <w:numId w:val="7"/>
        </w:numPr>
        <w:spacing w:line="360" w:lineRule="auto"/>
        <w:ind w:left="0" w:firstLine="0"/>
        <w:rPr>
          <w:rFonts w:hint="eastAsia" w:ascii="宋体" w:hAnsi="宋体" w:eastAsia="宋体" w:cs="宋体"/>
          <w:color w:val="000000" w:themeColor="text1"/>
          <w:sz w:val="24"/>
          <w:highlight w:val="cyan"/>
          <w:lang w:val="zh-CN"/>
        </w:rPr>
      </w:pPr>
      <w:r>
        <w:rPr>
          <w:rFonts w:hint="eastAsia" w:ascii="宋体" w:hAnsi="宋体" w:eastAsia="宋体" w:cs="宋体"/>
          <w:color w:val="000000" w:themeColor="text1"/>
          <w:szCs w:val="21"/>
        </w:rPr>
        <w:t xml:space="preserve">投标人同意采购人以任何形式对其投标文件内容及采购人认为有必要的相关资料的真实性和有效性进行审查、验证。 </w:t>
      </w:r>
    </w:p>
    <w:p w14:paraId="6005F7A4">
      <w:pPr>
        <w:rPr>
          <w:rFonts w:hint="eastAsia" w:ascii="宋体" w:hAnsi="宋体" w:eastAsia="宋体" w:cs="宋体"/>
          <w:lang w:val="zh-CN"/>
        </w:rPr>
      </w:pPr>
    </w:p>
    <w:p w14:paraId="4F24ADD7">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F8A78D87"/>
    <w:multiLevelType w:val="singleLevel"/>
    <w:tmpl w:val="F8A78D87"/>
    <w:lvl w:ilvl="0" w:tentative="0">
      <w:start w:val="1"/>
      <w:numFmt w:val="decimal"/>
      <w:suff w:val="nothing"/>
      <w:lvlText w:val="%1."/>
      <w:lvlJc w:val="left"/>
    </w:lvl>
  </w:abstractNum>
  <w:abstractNum w:abstractNumId="3">
    <w:nsid w:val="00EEDA50"/>
    <w:multiLevelType w:val="singleLevel"/>
    <w:tmpl w:val="00EEDA50"/>
    <w:lvl w:ilvl="0" w:tentative="0">
      <w:start w:val="1"/>
      <w:numFmt w:val="decimal"/>
      <w:lvlText w:val="%1."/>
      <w:lvlJc w:val="left"/>
      <w:pPr>
        <w:ind w:left="425" w:hanging="425"/>
      </w:pPr>
      <w:rPr>
        <w:rFonts w:hint="default"/>
      </w:rPr>
    </w:lvl>
  </w:abstractNum>
  <w:abstractNum w:abstractNumId="4">
    <w:nsid w:val="1E7E8738"/>
    <w:multiLevelType w:val="singleLevel"/>
    <w:tmpl w:val="1E7E8738"/>
    <w:lvl w:ilvl="0" w:tentative="0">
      <w:start w:val="1"/>
      <w:numFmt w:val="chineseCounting"/>
      <w:suff w:val="nothing"/>
      <w:lvlText w:val="%1、"/>
      <w:lvlJc w:val="left"/>
      <w:rPr>
        <w:rFonts w:hint="eastAsia"/>
      </w:rPr>
    </w:lvl>
  </w:abstractNum>
  <w:abstractNum w:abstractNumId="5">
    <w:nsid w:val="3CC1C2D7"/>
    <w:multiLevelType w:val="singleLevel"/>
    <w:tmpl w:val="3CC1C2D7"/>
    <w:lvl w:ilvl="0" w:tentative="0">
      <w:start w:val="1"/>
      <w:numFmt w:val="chineseCounting"/>
      <w:suff w:val="nothing"/>
      <w:lvlText w:val="%1、"/>
      <w:lvlJc w:val="left"/>
      <w:rPr>
        <w:rFonts w:hint="eastAsia"/>
      </w:rPr>
    </w:lvl>
  </w:abstractNum>
  <w:abstractNum w:abstractNumId="6">
    <w:nsid w:val="7A8F01B9"/>
    <w:multiLevelType w:val="singleLevel"/>
    <w:tmpl w:val="7A8F01B9"/>
    <w:lvl w:ilvl="0" w:tentative="0">
      <w:start w:val="1"/>
      <w:numFmt w:val="decimal"/>
      <w:suff w:val="nothing"/>
      <w:lvlText w:val="%1."/>
      <w:lvlJc w:val="left"/>
      <w:pPr>
        <w:ind w:left="425" w:hanging="425"/>
      </w:pPr>
      <w:rPr>
        <w:rFonts w:hint="default"/>
      </w:r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3E34020"/>
    <w:rsid w:val="152E75A3"/>
    <w:rsid w:val="15D67E1A"/>
    <w:rsid w:val="15DD12EB"/>
    <w:rsid w:val="15FB5391"/>
    <w:rsid w:val="16667C55"/>
    <w:rsid w:val="16AC3025"/>
    <w:rsid w:val="18197B20"/>
    <w:rsid w:val="182F3FFC"/>
    <w:rsid w:val="184F47E9"/>
    <w:rsid w:val="195B4CD4"/>
    <w:rsid w:val="196E5447"/>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33EB5"/>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83D9C"/>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toa heading"/>
    <w:basedOn w:val="1"/>
    <w:next w:val="1"/>
    <w:qFormat/>
    <w:uiPriority w:val="0"/>
    <w:pPr>
      <w:spacing w:before="120"/>
    </w:pPr>
    <w:rPr>
      <w:rFonts w:ascii="Cambria" w:hAnsi="Cambria" w:eastAsia="宋体" w:cs="Times New Roman"/>
      <w:sz w:val="24"/>
    </w:rPr>
  </w:style>
  <w:style w:type="paragraph" w:styleId="5">
    <w:name w:val="Body Text"/>
    <w:basedOn w:val="1"/>
    <w:next w:val="6"/>
    <w:qFormat/>
    <w:uiPriority w:val="0"/>
    <w:pPr>
      <w:spacing w:after="120"/>
    </w:pPr>
  </w:style>
  <w:style w:type="paragraph" w:styleId="6">
    <w:name w:val="toc 5"/>
    <w:basedOn w:val="1"/>
    <w:next w:val="1"/>
    <w:qFormat/>
    <w:uiPriority w:val="0"/>
    <w:pPr>
      <w:ind w:left="1680" w:leftChars="8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1396</Words>
  <Characters>1427</Characters>
  <Lines>5</Lines>
  <Paragraphs>1</Paragraphs>
  <TotalTime>0</TotalTime>
  <ScaleCrop>false</ScaleCrop>
  <LinksUpToDate>false</LinksUpToDate>
  <CharactersWithSpaces>1468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2026-03-10T03:48:03Z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