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471EC5A6">
      <w:pPr>
        <w:numPr>
          <w:ilvl w:val="0"/>
          <w:numId w:val="4"/>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总则：</w:t>
      </w:r>
    </w:p>
    <w:p w14:paraId="6C9A8D54">
      <w:pPr>
        <w:numPr>
          <w:ilvl w:val="0"/>
          <w:numId w:val="5"/>
        </w:numPr>
        <w:spacing w:line="440" w:lineRule="exact"/>
        <w:rPr>
          <w:rFonts w:hint="eastAsia" w:ascii="宋体" w:hAnsi="宋体" w:eastAsia="宋体" w:cs="宋体"/>
          <w:color w:val="000000" w:themeColor="text1"/>
          <w:sz w:val="21"/>
          <w:szCs w:val="21"/>
        </w:rPr>
      </w:pPr>
      <w:r>
        <w:rPr>
          <w:rFonts w:hint="eastAsia" w:ascii="宋体" w:hAnsi="宋体" w:eastAsia="宋体" w:cs="宋体"/>
          <w:color w:val="auto"/>
          <w:sz w:val="21"/>
          <w:szCs w:val="21"/>
          <w:highlight w:val="none"/>
        </w:rPr>
        <w:t>投标供应商报价应包括标的设备（原装、全新合格的设备）、相关附件、配套设施、税费、运费、保险费、仓储费、安装调试、</w:t>
      </w:r>
      <w:r>
        <w:rPr>
          <w:rFonts w:hint="eastAsia" w:ascii="宋体" w:hAnsi="宋体" w:eastAsia="宋体" w:cs="宋体"/>
          <w:color w:val="auto"/>
          <w:sz w:val="21"/>
          <w:szCs w:val="21"/>
          <w:highlight w:val="none"/>
          <w:lang w:val="en-US" w:eastAsia="zh-CN"/>
        </w:rPr>
        <w:t>中标服务费、二次本地服务、售后服务、</w:t>
      </w:r>
      <w:r>
        <w:rPr>
          <w:sz w:val="21"/>
          <w:highlight w:val="none"/>
        </w:rPr>
        <w:t>系统对接费、端口对接费</w:t>
      </w:r>
      <w:r>
        <w:rPr>
          <w:rFonts w:hint="eastAsia" w:ascii="宋体" w:hAnsi="宋体" w:eastAsia="宋体" w:cs="宋体"/>
          <w:color w:val="auto"/>
          <w:sz w:val="21"/>
          <w:szCs w:val="21"/>
          <w:highlight w:val="none"/>
          <w:lang w:val="en-US" w:eastAsia="zh-CN"/>
        </w:rPr>
        <w:t>（含支付给第三方厂商的对接费用）、</w:t>
      </w:r>
      <w:r>
        <w:rPr>
          <w:rFonts w:hint="eastAsia" w:ascii="宋体" w:hAnsi="宋体" w:eastAsia="宋体" w:cs="宋体"/>
          <w:color w:val="auto"/>
          <w:sz w:val="21"/>
          <w:szCs w:val="21"/>
          <w:highlight w:val="none"/>
        </w:rPr>
        <w:t>培训、质保</w:t>
      </w:r>
      <w:r>
        <w:rPr>
          <w:rFonts w:hint="eastAsia" w:ascii="宋体" w:hAnsi="宋体" w:eastAsia="宋体" w:cs="宋体"/>
          <w:color w:val="auto"/>
          <w:sz w:val="21"/>
          <w:szCs w:val="21"/>
          <w:highlight w:val="none"/>
          <w:lang w:val="en-US" w:eastAsia="zh-CN"/>
        </w:rPr>
        <w:t>及合同实施过程中不可预见费用等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全部费用，在项目实施过程中出现报价内容的任何遗漏，均由中标供应商负责相关费用，采购人将不再支付任何费用。</w:t>
      </w:r>
    </w:p>
    <w:p w14:paraId="3BDC6051">
      <w:pPr>
        <w:pStyle w:val="4"/>
        <w:numPr>
          <w:ilvl w:val="0"/>
          <w:numId w:val="5"/>
        </w:numPr>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w:t>
      </w:r>
      <w:r>
        <w:rPr>
          <w:rFonts w:hint="eastAsia" w:ascii="宋体" w:hAnsi="宋体" w:eastAsia="宋体" w:cs="宋体"/>
          <w:color w:val="000000" w:themeColor="text1"/>
          <w:sz w:val="21"/>
          <w:szCs w:val="21"/>
          <w:lang w:eastAsia="zh-CN"/>
        </w:rPr>
        <w:t>采购需求</w:t>
      </w:r>
      <w:r>
        <w:rPr>
          <w:rFonts w:hint="eastAsia" w:ascii="宋体" w:hAnsi="宋体" w:eastAsia="宋体" w:cs="宋体"/>
          <w:color w:val="000000" w:themeColor="text1"/>
          <w:sz w:val="21"/>
          <w:szCs w:val="21"/>
        </w:rPr>
        <w:t>中凡有“★”标识的内容条款为关键条款，投标供应商必须对此作出回答并完全满足这些要求不可以出现任何负偏离，对这些关键条款的任何负偏离将视为无效投标。</w:t>
      </w:r>
    </w:p>
    <w:p w14:paraId="29457C8E">
      <w:pPr>
        <w:pStyle w:val="4"/>
        <w:numPr>
          <w:ilvl w:val="0"/>
          <w:numId w:val="5"/>
        </w:numPr>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00" w:themeColor="text1"/>
          <w:sz w:val="21"/>
          <w:szCs w:val="21"/>
        </w:rPr>
        <w:t>加注“▲”的内容为重点评标项目，投标供应商必须对该标识项目按照要求进行真实应答描述。但不作为无效投标条款。</w:t>
      </w:r>
    </w:p>
    <w:p w14:paraId="06A8483C">
      <w:pPr>
        <w:pStyle w:val="4"/>
        <w:numPr>
          <w:ilvl w:val="0"/>
          <w:numId w:val="5"/>
        </w:numPr>
        <w:rPr>
          <w:rFonts w:hint="eastAsia" w:ascii="宋体" w:hAnsi="宋体" w:eastAsia="宋体" w:cs="宋体"/>
          <w:color w:val="000000" w:themeColor="text1"/>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投标人所投设备如属于医疗器械设备</w:t>
      </w:r>
      <w:r>
        <w:rPr>
          <w:rFonts w:hint="eastAsia" w:ascii="宋体" w:hAnsi="宋体" w:eastAsia="宋体" w:cs="宋体"/>
          <w:color w:val="0000FF"/>
          <w:kern w:val="2"/>
          <w:sz w:val="21"/>
          <w:szCs w:val="21"/>
          <w:lang w:val="en-US" w:eastAsia="zh-CN" w:bidi="ar-SA"/>
        </w:rPr>
        <w:t>（含医用耗材）</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rPr>
        <w:t>投标供应商应该符合《医疗器械经营质量管理规范》和《医疗器械监督管理条例》规定，并结合本项目特性提供</w:t>
      </w:r>
      <w:r>
        <w:rPr>
          <w:rFonts w:hint="eastAsia" w:ascii="宋体" w:hAnsi="宋体" w:eastAsia="宋体" w:cs="宋体"/>
          <w:color w:val="0000FF"/>
          <w:sz w:val="21"/>
          <w:szCs w:val="21"/>
          <w:highlight w:val="none"/>
          <w:lang w:val="en-US" w:eastAsia="zh-CN"/>
        </w:rPr>
        <w:t>设备或耗材的</w:t>
      </w:r>
      <w:r>
        <w:rPr>
          <w:rFonts w:hint="eastAsia" w:ascii="宋体" w:hAnsi="宋体" w:eastAsia="宋体" w:cs="宋体"/>
          <w:color w:val="auto"/>
          <w:sz w:val="21"/>
          <w:szCs w:val="21"/>
          <w:highlight w:val="none"/>
        </w:rPr>
        <w:t>有效医疗器械注册</w:t>
      </w:r>
      <w:r>
        <w:rPr>
          <w:rFonts w:hint="eastAsia" w:ascii="宋体" w:hAnsi="宋体" w:eastAsia="宋体" w:cs="宋体"/>
          <w:color w:val="auto"/>
          <w:sz w:val="21"/>
          <w:szCs w:val="21"/>
          <w:highlight w:val="none"/>
          <w:lang w:val="en-US" w:eastAsia="zh-CN"/>
        </w:rPr>
        <w:t>证或</w:t>
      </w:r>
      <w:r>
        <w:rPr>
          <w:rFonts w:hint="eastAsia" w:ascii="宋体" w:hAnsi="宋体" w:eastAsia="宋体" w:cs="宋体"/>
          <w:color w:val="auto"/>
          <w:sz w:val="21"/>
          <w:szCs w:val="21"/>
          <w:highlight w:val="none"/>
        </w:rPr>
        <w:t>备案证明材料和投标供应商的经营许可</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备案证明材料</w:t>
      </w:r>
      <w:r>
        <w:rPr>
          <w:rFonts w:hint="eastAsia" w:ascii="宋体" w:hAnsi="宋体" w:eastAsia="宋体" w:cs="宋体"/>
          <w:color w:val="auto"/>
          <w:kern w:val="2"/>
          <w:sz w:val="21"/>
          <w:szCs w:val="21"/>
          <w:lang w:val="en-US" w:eastAsia="zh-CN" w:bidi="ar-SA"/>
        </w:rPr>
        <w:t>（提供证明材料复印件加盖公章）</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所投设备</w:t>
      </w:r>
      <w:r>
        <w:rPr>
          <w:rFonts w:hint="eastAsia" w:ascii="宋体" w:hAnsi="宋体" w:eastAsia="宋体" w:cs="宋体"/>
          <w:color w:val="0000FF"/>
          <w:kern w:val="2"/>
          <w:sz w:val="21"/>
          <w:szCs w:val="21"/>
          <w:lang w:val="en-US" w:eastAsia="zh-CN" w:bidi="ar-SA"/>
        </w:rPr>
        <w:t>（含医用耗材）</w:t>
      </w:r>
      <w:r>
        <w:rPr>
          <w:rFonts w:hint="eastAsia" w:ascii="宋体" w:hAnsi="宋体" w:eastAsia="宋体" w:cs="宋体"/>
          <w:color w:val="auto"/>
          <w:kern w:val="2"/>
          <w:sz w:val="21"/>
          <w:szCs w:val="21"/>
          <w:lang w:val="en-US" w:eastAsia="zh-CN" w:bidi="ar-SA"/>
        </w:rPr>
        <w:t>必须是在医疗器械注册证或备案证明有效期内生产的产品。不属于医疗器械设备无须提供医疗器械注册证或备案证。</w:t>
      </w:r>
    </w:p>
    <w:p w14:paraId="6DD31A32">
      <w:pPr>
        <w:pStyle w:val="4"/>
        <w:numPr>
          <w:ilvl w:val="0"/>
          <w:numId w:val="5"/>
        </w:numPr>
        <w:rPr>
          <w:rFonts w:hint="eastAsia" w:ascii="宋体" w:hAnsi="宋体" w:eastAsia="宋体" w:cs="宋体"/>
          <w:color w:val="000000" w:themeColor="text1"/>
          <w:sz w:val="21"/>
          <w:szCs w:val="21"/>
        </w:rPr>
      </w:pPr>
      <w:r>
        <w:rPr>
          <w:rFonts w:hint="eastAsia" w:ascii="宋体" w:hAnsi="宋体" w:eastAsia="宋体" w:cs="宋体"/>
          <w:color w:val="000000" w:themeColor="text1"/>
          <w:kern w:val="2"/>
          <w:sz w:val="21"/>
          <w:szCs w:val="21"/>
          <w:lang w:val="en-US" w:eastAsia="zh-CN" w:bidi="ar-SA"/>
        </w:rPr>
        <w:t>本文的“质保期”是指中标标的物经约定的验收机构完成验收之日起算，截至</w:t>
      </w:r>
      <w:r>
        <w:rPr>
          <w:rFonts w:hint="eastAsia" w:ascii="宋体" w:hAnsi="宋体" w:eastAsia="宋体" w:cs="宋体"/>
          <w:color w:val="000000" w:themeColor="text1"/>
          <w:sz w:val="21"/>
          <w:szCs w:val="21"/>
        </w:rPr>
        <w:t>中标</w:t>
      </w:r>
      <w:r>
        <w:rPr>
          <w:rFonts w:hint="eastAsia" w:ascii="宋体" w:hAnsi="宋体" w:eastAsia="宋体" w:cs="宋体"/>
          <w:b w:val="0"/>
          <w:bCs/>
          <w:color w:val="000000" w:themeColor="text1"/>
          <w:sz w:val="21"/>
          <w:szCs w:val="21"/>
          <w:lang w:val="en-US" w:eastAsia="zh-CN"/>
        </w:rPr>
        <w:t>供应商</w:t>
      </w:r>
      <w:r>
        <w:rPr>
          <w:rFonts w:hint="eastAsia" w:ascii="宋体" w:hAnsi="宋体" w:eastAsia="宋体" w:cs="宋体"/>
          <w:color w:val="000000" w:themeColor="text1"/>
          <w:sz w:val="21"/>
          <w:szCs w:val="21"/>
        </w:rPr>
        <w:t>承诺的期限。</w:t>
      </w:r>
    </w:p>
    <w:p w14:paraId="2B9D2695">
      <w:pPr>
        <w:numPr>
          <w:ilvl w:val="0"/>
          <w:numId w:val="4"/>
        </w:numPr>
        <w:spacing w:line="440" w:lineRule="exact"/>
        <w:rPr>
          <w:rFonts w:hint="eastAsia" w:ascii="宋体" w:hAnsi="宋体" w:eastAsia="宋体" w:cs="宋体"/>
          <w:b/>
          <w:color w:val="000000" w:themeColor="text1"/>
          <w:sz w:val="21"/>
          <w:szCs w:val="21"/>
          <w:highlight w:val="yellow"/>
        </w:rPr>
      </w:pPr>
      <w:r>
        <w:rPr>
          <w:rFonts w:hint="eastAsia" w:ascii="宋体" w:hAnsi="宋体" w:eastAsia="宋体" w:cs="宋体"/>
          <w:b/>
          <w:color w:val="000000" w:themeColor="text1"/>
          <w:sz w:val="21"/>
          <w:szCs w:val="21"/>
          <w:highlight w:val="yellow"/>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项目名称</w:t>
            </w:r>
          </w:p>
        </w:tc>
        <w:tc>
          <w:tcPr>
            <w:tcW w:w="2268" w:type="dxa"/>
          </w:tcPr>
          <w:p w14:paraId="15D6B59C">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需求科室/部门</w:t>
            </w:r>
          </w:p>
        </w:tc>
        <w:tc>
          <w:tcPr>
            <w:tcW w:w="2508" w:type="dxa"/>
          </w:tcPr>
          <w:p w14:paraId="6782991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r>
              <w:rPr>
                <w:rFonts w:hint="eastAsia" w:ascii="宋体" w:hAnsi="宋体" w:eastAsia="宋体" w:cs="宋体"/>
                <w:color w:val="FF0000"/>
                <w:sz w:val="21"/>
                <w:szCs w:val="21"/>
              </w:rPr>
              <w:t>（套）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高频电刀</w:t>
            </w:r>
          </w:p>
        </w:tc>
        <w:tc>
          <w:tcPr>
            <w:tcW w:w="2268" w:type="dxa"/>
          </w:tcPr>
          <w:p w14:paraId="29F1C941">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手术室</w:t>
            </w:r>
          </w:p>
        </w:tc>
        <w:tc>
          <w:tcPr>
            <w:tcW w:w="2508" w:type="dxa"/>
          </w:tcPr>
          <w:p w14:paraId="5937043E">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r>
    </w:tbl>
    <w:p w14:paraId="3192A77B">
      <w:pPr>
        <w:spacing w:line="440" w:lineRule="exact"/>
        <w:rPr>
          <w:rFonts w:hint="eastAsia" w:ascii="宋体" w:hAnsi="宋体" w:eastAsia="宋体" w:cs="宋体"/>
          <w:color w:val="000000" w:themeColor="text1"/>
          <w:sz w:val="21"/>
          <w:szCs w:val="21"/>
          <w:highlight w:val="yellow"/>
        </w:rPr>
      </w:pPr>
      <w:r>
        <w:rPr>
          <w:rFonts w:hint="eastAsia" w:ascii="宋体" w:hAnsi="宋体" w:eastAsia="宋体" w:cs="宋体"/>
          <w:color w:val="000000" w:themeColor="text1"/>
          <w:sz w:val="21"/>
          <w:szCs w:val="21"/>
          <w:highlight w:val="none"/>
        </w:rPr>
        <w:t>核心产品：</w:t>
      </w:r>
      <w:r>
        <w:rPr>
          <w:rFonts w:hint="eastAsia" w:ascii="宋体" w:hAnsi="宋体" w:eastAsia="宋体" w:cs="宋体"/>
          <w:color w:val="000000" w:themeColor="text1"/>
          <w:sz w:val="21"/>
          <w:szCs w:val="21"/>
          <w:lang w:val="en-US" w:eastAsia="zh-CN"/>
        </w:rPr>
        <w:t>高频电刀</w:t>
      </w:r>
    </w:p>
    <w:p w14:paraId="26B12F7A">
      <w:pPr>
        <w:spacing w:line="440" w:lineRule="exact"/>
        <w:rPr>
          <w:rFonts w:hint="eastAsia" w:ascii="宋体" w:hAnsi="宋体" w:eastAsia="宋体" w:cs="宋体"/>
          <w:color w:val="000000" w:themeColor="text1"/>
          <w:sz w:val="21"/>
          <w:szCs w:val="21"/>
        </w:rPr>
      </w:pPr>
    </w:p>
    <w:p w14:paraId="63D118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highlight w:val="none"/>
        </w:rPr>
        <w:t>用途：</w:t>
      </w:r>
      <w:r>
        <w:rPr>
          <w:rFonts w:hint="eastAsia" w:ascii="宋体" w:hAnsi="宋体" w:eastAsia="宋体" w:cs="宋体"/>
          <w:color w:val="000000" w:themeColor="text1"/>
          <w:sz w:val="21"/>
          <w:szCs w:val="21"/>
          <w:lang w:val="en-US" w:eastAsia="zh-CN"/>
        </w:rPr>
        <w:t>采用低温切割技术，相较于传统电切的高温热切割，热透层3.5mm，等离子体技术工作时温度精确的控制在40-70℃，有限的热透层仅有0.5mm。有效避免了高温对周围组织的热损伤，降低了宫腔镜手术并发症风险。用于妇科手术中对相应组织进行切割和凝固。</w:t>
      </w:r>
    </w:p>
    <w:p w14:paraId="0798016B">
      <w:pPr>
        <w:spacing w:line="440" w:lineRule="exact"/>
        <w:rPr>
          <w:rFonts w:hint="eastAsia" w:ascii="宋体" w:hAnsi="宋体" w:eastAsia="宋体" w:cs="宋体"/>
          <w:color w:val="000000" w:themeColor="text1"/>
          <w:sz w:val="21"/>
          <w:szCs w:val="21"/>
          <w:highlight w:val="yellow"/>
        </w:rPr>
      </w:pPr>
    </w:p>
    <w:p w14:paraId="2D613B86">
      <w:pPr>
        <w:spacing w:line="440" w:lineRule="exact"/>
        <w:rPr>
          <w:rFonts w:hint="eastAsia" w:ascii="宋体" w:hAnsi="宋体" w:eastAsia="宋体" w:cs="宋体"/>
          <w:color w:val="000000" w:themeColor="text1"/>
          <w:sz w:val="21"/>
          <w:szCs w:val="21"/>
        </w:rPr>
      </w:pPr>
    </w:p>
    <w:p w14:paraId="38EFFBA2">
      <w:pPr>
        <w:spacing w:line="440" w:lineRule="exact"/>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lang w:val="en-US" w:eastAsia="zh-CN"/>
        </w:rPr>
        <w:t>设备符合中山市物价收费名目：</w:t>
      </w:r>
      <w:bookmarkStart w:id="0" w:name="_GoBack"/>
      <w:bookmarkEnd w:id="0"/>
    </w:p>
    <w:tbl>
      <w:tblPr>
        <w:tblStyle w:val="9"/>
        <w:tblW w:w="3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225"/>
      </w:tblGrid>
      <w:tr w14:paraId="3EC8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9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使用科室</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3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收费项目名称</w:t>
            </w:r>
          </w:p>
        </w:tc>
      </w:tr>
      <w:tr w14:paraId="4890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F685">
            <w:pPr>
              <w:keepNext w:val="0"/>
              <w:keepLines w:val="0"/>
              <w:widowControl/>
              <w:suppressLineNumbers w:val="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妇科</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3A96">
            <w:pPr>
              <w:keepNext w:val="0"/>
              <w:keepLines w:val="0"/>
              <w:widowControl/>
              <w:suppressLineNumbers w:val="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宫腔粘连分离费</w:t>
            </w:r>
          </w:p>
        </w:tc>
      </w:tr>
      <w:tr w14:paraId="13A7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5848">
            <w:pPr>
              <w:keepNext w:val="0"/>
              <w:keepLines w:val="0"/>
              <w:widowControl/>
              <w:suppressLineNumbers w:val="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妇科</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5500">
            <w:pPr>
              <w:keepNext w:val="0"/>
              <w:keepLines w:val="0"/>
              <w:widowControl/>
              <w:suppressLineNumbers w:val="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子宫内膜息肉去除费</w:t>
            </w:r>
          </w:p>
        </w:tc>
      </w:tr>
      <w:tr w14:paraId="2631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47E1">
            <w:pPr>
              <w:keepNext w:val="0"/>
              <w:keepLines w:val="0"/>
              <w:widowControl/>
              <w:suppressLineNumbers w:val="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妇科</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93FA">
            <w:pPr>
              <w:keepNext w:val="0"/>
              <w:keepLines w:val="0"/>
              <w:widowControl/>
              <w:suppressLineNumbers w:val="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子宫肌瘤切除费（常规）</w:t>
            </w:r>
          </w:p>
        </w:tc>
      </w:tr>
    </w:tbl>
    <w:p w14:paraId="027B7C04">
      <w:pPr>
        <w:spacing w:line="440" w:lineRule="exact"/>
        <w:rPr>
          <w:rFonts w:hint="eastAsia" w:ascii="宋体" w:hAnsi="宋体" w:eastAsia="宋体" w:cs="宋体"/>
          <w:color w:val="000000" w:themeColor="text1"/>
          <w:sz w:val="21"/>
          <w:szCs w:val="21"/>
        </w:rPr>
      </w:pPr>
    </w:p>
    <w:p w14:paraId="247ACE54">
      <w:pPr>
        <w:spacing w:line="440" w:lineRule="exact"/>
        <w:rPr>
          <w:rFonts w:hint="eastAsia" w:ascii="宋体" w:hAnsi="宋体" w:eastAsia="宋体" w:cs="宋体"/>
          <w:b/>
          <w:color w:val="000000" w:themeColor="text1"/>
          <w:sz w:val="21"/>
          <w:szCs w:val="21"/>
        </w:rPr>
      </w:pPr>
    </w:p>
    <w:p w14:paraId="426AD8A4">
      <w:pPr>
        <w:numPr>
          <w:ilvl w:val="0"/>
          <w:numId w:val="4"/>
        </w:numPr>
        <w:spacing w:line="440" w:lineRule="exact"/>
        <w:rPr>
          <w:rFonts w:hint="eastAsia" w:ascii="宋体" w:hAnsi="宋体" w:eastAsia="宋体" w:cs="宋体"/>
          <w:b/>
          <w:color w:val="000000" w:themeColor="text1"/>
          <w:sz w:val="21"/>
          <w:szCs w:val="21"/>
          <w:highlight w:val="yellow"/>
        </w:rPr>
      </w:pPr>
      <w:r>
        <w:rPr>
          <w:rFonts w:hint="eastAsia" w:ascii="宋体" w:hAnsi="宋体" w:eastAsia="宋体" w:cs="宋体"/>
          <w:b/>
          <w:color w:val="000000" w:themeColor="text1"/>
          <w:sz w:val="21"/>
          <w:szCs w:val="21"/>
          <w:highlight w:val="yellow"/>
        </w:rPr>
        <w:t>技术参数：</w:t>
      </w:r>
    </w:p>
    <w:p w14:paraId="19211CE7">
      <w:pPr>
        <w:pStyle w:val="12"/>
        <w:spacing w:line="440" w:lineRule="exact"/>
        <w:ind w:left="720" w:hanging="7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1、电源要求：220-240V，50/60Hz；</w:t>
      </w:r>
    </w:p>
    <w:p w14:paraId="104556F4">
      <w:pPr>
        <w:pStyle w:val="12"/>
        <w:spacing w:line="440" w:lineRule="exact"/>
        <w:ind w:left="720" w:hanging="7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2、彩色LCD液晶屏电阻触控显示屏；</w:t>
      </w:r>
    </w:p>
    <w:p w14:paraId="00CAF6AD">
      <w:pPr>
        <w:pStyle w:val="12"/>
        <w:spacing w:line="440" w:lineRule="exact"/>
        <w:ind w:left="220" w:leftChars="0" w:hanging="2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3、可进行盐水下双极等离子电切，能高性能强力水下切割功能。是通过工作电极表面生成的等离子体在生理盐水内对组织进行切割。不同于常规的单极电切，等离子体高度集中于工作电极表面，便于准确控制切割位置，能快速切割组织。组织的热传导小，损伤轻。利于组织的分离，且分离的速度快；</w:t>
      </w:r>
    </w:p>
    <w:p w14:paraId="1EFC4434">
      <w:pPr>
        <w:pStyle w:val="12"/>
        <w:spacing w:line="440" w:lineRule="exact"/>
        <w:ind w:left="720" w:hanging="7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4、双极输出，无单极接口，无负极板设计；</w:t>
      </w:r>
    </w:p>
    <w:p w14:paraId="23ED7171">
      <w:pPr>
        <w:pStyle w:val="12"/>
        <w:spacing w:line="440" w:lineRule="exact"/>
        <w:ind w:left="220" w:leftChars="0" w:hanging="2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5、▲电切六挡模式选择，输出功率5-200W，输出频率330KHz±10%；电凝七挡模式选择，输出功率5-120W，输出频率330KHz±10%；</w:t>
      </w:r>
    </w:p>
    <w:p w14:paraId="3663E197">
      <w:pPr>
        <w:pStyle w:val="12"/>
        <w:spacing w:line="440" w:lineRule="exact"/>
        <w:ind w:left="720" w:hanging="7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6、根据不同组织的阻抗自动调节功率输出，保证等离子持续激发，有效缩短手术时间；</w:t>
      </w:r>
    </w:p>
    <w:p w14:paraId="6C9FD2C8">
      <w:pPr>
        <w:pStyle w:val="12"/>
        <w:spacing w:line="440" w:lineRule="exact"/>
        <w:ind w:left="220" w:leftChars="0" w:hanging="2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7、▲设备主机无芯片识别限制，具备三类医疗器械注册证的高频连接线、手术电极等，只要接口符合本设备规格的，都可适配连接；必须使用原装线材连接，不需要外加转接适配器，可适配多个主流的进口、国产品牌厂家电切镜及电切环使用。</w:t>
      </w:r>
    </w:p>
    <w:p w14:paraId="1156227A">
      <w:pPr>
        <w:pStyle w:val="12"/>
        <w:spacing w:line="440" w:lineRule="exact"/>
        <w:ind w:left="200" w:leftChars="0" w:hanging="20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8、▲可装配φ5Fr等离子高频电极，要求该电极同时具备等离子电切、等离子电凝功能，电极可重复灭菌使用</w:t>
      </w:r>
      <w:r>
        <w:rPr>
          <w:rFonts w:hint="eastAsia" w:ascii="宋体" w:hAnsi="宋体" w:eastAsia="宋体" w:cs="宋体"/>
          <w:b w:val="0"/>
          <w:bCs/>
          <w:color w:val="0000FF"/>
          <w:kern w:val="2"/>
          <w:sz w:val="21"/>
          <w:szCs w:val="21"/>
          <w:lang w:val="en-US" w:eastAsia="zh-CN" w:bidi="ar-SA"/>
        </w:rPr>
        <w:t>（提供电极的医疗器械注册证或产品说明书或技术白皮书等证明其能可重复灭菌使用）</w:t>
      </w:r>
    </w:p>
    <w:p w14:paraId="76EC798E">
      <w:pPr>
        <w:pStyle w:val="12"/>
        <w:spacing w:line="440" w:lineRule="exact"/>
        <w:ind w:left="720" w:hanging="7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9、▲设备类型：I类 CF型</w:t>
      </w:r>
    </w:p>
    <w:p w14:paraId="1029D24E">
      <w:pPr>
        <w:pStyle w:val="12"/>
        <w:spacing w:line="440" w:lineRule="exact"/>
        <w:ind w:left="720" w:hanging="7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10、设备输入功率：1300VA±5%</w:t>
      </w:r>
    </w:p>
    <w:p w14:paraId="49E971E6">
      <w:pPr>
        <w:pStyle w:val="12"/>
        <w:spacing w:line="440" w:lineRule="exact"/>
        <w:ind w:left="720" w:hanging="720" w:firstLineChars="0"/>
        <w:rPr>
          <w:rFonts w:hint="eastAsia"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11、设备额定负载：100Ω±5%</w:t>
      </w:r>
    </w:p>
    <w:p w14:paraId="050A247E">
      <w:pPr>
        <w:pStyle w:val="12"/>
        <w:spacing w:line="440" w:lineRule="exact"/>
        <w:ind w:left="720" w:hanging="720" w:firstLineChars="0"/>
        <w:rPr>
          <w:rFonts w:hint="default" w:ascii="宋体" w:hAnsi="宋体" w:eastAsia="宋体" w:cs="宋体"/>
          <w:b w:val="0"/>
          <w:bCs/>
          <w:color w:val="000000" w:themeColor="text1"/>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rPr>
        <w:t>12、</w:t>
      </w:r>
      <w:r>
        <w:rPr>
          <w:rFonts w:hint="eastAsia" w:ascii="宋体" w:hAnsi="宋体" w:eastAsia="宋体" w:cs="宋体"/>
          <w:b w:val="0"/>
          <w:bCs/>
          <w:color w:val="000000" w:themeColor="text1"/>
          <w:sz w:val="21"/>
          <w:szCs w:val="21"/>
          <w:lang w:val="en-US" w:eastAsia="zh-CN"/>
        </w:rPr>
        <w:t>设备使用年限≥5年</w:t>
      </w:r>
    </w:p>
    <w:p w14:paraId="2D9C1BC3">
      <w:pPr>
        <w:numPr>
          <w:ilvl w:val="0"/>
          <w:numId w:val="0"/>
        </w:numPr>
        <w:spacing w:line="440" w:lineRule="exact"/>
        <w:rPr>
          <w:rFonts w:hint="eastAsia" w:ascii="宋体" w:hAnsi="宋体" w:eastAsia="宋体" w:cs="宋体"/>
          <w:b/>
          <w:color w:val="000000" w:themeColor="text1"/>
          <w:sz w:val="21"/>
          <w:szCs w:val="21"/>
        </w:rPr>
      </w:pPr>
    </w:p>
    <w:p w14:paraId="5B198E0B">
      <w:pPr>
        <w:numPr>
          <w:ilvl w:val="0"/>
          <w:numId w:val="4"/>
        </w:numPr>
        <w:spacing w:line="440" w:lineRule="exact"/>
        <w:rPr>
          <w:rFonts w:hint="eastAsia" w:ascii="宋体" w:hAnsi="宋体" w:eastAsia="宋体" w:cs="宋体"/>
          <w:b/>
          <w:color w:val="000000" w:themeColor="text1"/>
          <w:sz w:val="21"/>
          <w:szCs w:val="21"/>
          <w:highlight w:val="yellow"/>
        </w:rPr>
      </w:pPr>
      <w:r>
        <w:rPr>
          <w:rFonts w:hint="eastAsia" w:ascii="宋体" w:hAnsi="宋体" w:eastAsia="宋体" w:cs="宋体"/>
          <w:b/>
          <w:sz w:val="21"/>
          <w:szCs w:val="21"/>
          <w:lang w:val="en-US" w:eastAsia="zh-CN"/>
        </w:rPr>
        <w:t>设备配置要求（</w:t>
      </w:r>
      <w:r>
        <w:rPr>
          <w:rFonts w:hint="eastAsia" w:ascii="宋体" w:hAnsi="宋体" w:eastAsia="宋体" w:cs="宋体"/>
          <w:b/>
          <w:sz w:val="21"/>
          <w:szCs w:val="21"/>
        </w:rPr>
        <w:t>标准套至少包含以下内容</w:t>
      </w:r>
      <w:r>
        <w:rPr>
          <w:rFonts w:hint="eastAsia" w:ascii="宋体" w:hAnsi="宋体" w:eastAsia="宋体" w:cs="宋体"/>
          <w:b/>
          <w:sz w:val="21"/>
          <w:szCs w:val="21"/>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375"/>
        <w:gridCol w:w="1197"/>
        <w:gridCol w:w="989"/>
      </w:tblGrid>
      <w:tr w14:paraId="7A17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75F5B0F">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4375" w:type="dxa"/>
          </w:tcPr>
          <w:p w14:paraId="3C5FA1E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名称</w:t>
            </w:r>
          </w:p>
        </w:tc>
        <w:tc>
          <w:tcPr>
            <w:tcW w:w="1197" w:type="dxa"/>
          </w:tcPr>
          <w:p w14:paraId="195DD9DE">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989" w:type="dxa"/>
          </w:tcPr>
          <w:p w14:paraId="349577F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单位</w:t>
            </w:r>
          </w:p>
        </w:tc>
      </w:tr>
      <w:tr w14:paraId="10CC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41D4B1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4375" w:type="dxa"/>
          </w:tcPr>
          <w:p w14:paraId="14DEE336">
            <w:pPr>
              <w:spacing w:line="440" w:lineRule="exact"/>
              <w:jc w:val="center"/>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lang w:val="en-US" w:eastAsia="zh-CN"/>
              </w:rPr>
              <w:t>高频手术设备主机</w:t>
            </w:r>
          </w:p>
        </w:tc>
        <w:tc>
          <w:tcPr>
            <w:tcW w:w="1197" w:type="dxa"/>
          </w:tcPr>
          <w:p w14:paraId="52A3EB69">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2E4A3E63">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58E8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F8A545F">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4375" w:type="dxa"/>
          </w:tcPr>
          <w:p w14:paraId="1AD11592">
            <w:pPr>
              <w:widowControl w:val="0"/>
              <w:numPr>
                <w:ilvl w:val="0"/>
                <w:numId w:val="0"/>
              </w:numPr>
              <w:spacing w:line="440" w:lineRule="exact"/>
              <w:ind w:leftChars="0"/>
              <w:jc w:val="center"/>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lang w:val="en-US" w:eastAsia="zh-CN"/>
              </w:rPr>
              <w:t>脚踏</w:t>
            </w:r>
          </w:p>
        </w:tc>
        <w:tc>
          <w:tcPr>
            <w:tcW w:w="1197" w:type="dxa"/>
          </w:tcPr>
          <w:p w14:paraId="618BD1E1">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7E5469DB">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2CE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6340F32">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4375" w:type="dxa"/>
          </w:tcPr>
          <w:p w14:paraId="7D17416B">
            <w:pPr>
              <w:spacing w:line="440" w:lineRule="exact"/>
              <w:jc w:val="center"/>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lang w:val="en-US" w:eastAsia="zh-CN"/>
              </w:rPr>
              <w:t>电源线</w:t>
            </w:r>
          </w:p>
        </w:tc>
        <w:tc>
          <w:tcPr>
            <w:tcW w:w="1197" w:type="dxa"/>
          </w:tcPr>
          <w:p w14:paraId="5EAAF154">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14638183">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r>
      <w:tr w14:paraId="464B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32F495E">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w:t>
            </w:r>
          </w:p>
        </w:tc>
        <w:tc>
          <w:tcPr>
            <w:tcW w:w="4375" w:type="dxa"/>
          </w:tcPr>
          <w:p w14:paraId="3050760F">
            <w:pPr>
              <w:spacing w:line="440" w:lineRule="exact"/>
              <w:jc w:val="center"/>
              <w:rPr>
                <w:rFonts w:hint="eastAsia" w:ascii="宋体" w:hAnsi="宋体" w:eastAsia="宋体" w:cs="宋体"/>
                <w:b/>
                <w:color w:val="000000" w:themeColor="text1"/>
                <w:sz w:val="21"/>
                <w:szCs w:val="21"/>
              </w:rPr>
            </w:pPr>
            <w:r>
              <w:rPr>
                <w:rFonts w:hint="eastAsia" w:ascii="宋体" w:hAnsi="宋体" w:eastAsia="宋体" w:cs="宋体"/>
                <w:sz w:val="21"/>
                <w:szCs w:val="21"/>
              </w:rPr>
              <w:t>中文说明书、中文维修手册、中文操作流程卡（另电子版1份）；</w:t>
            </w:r>
          </w:p>
        </w:tc>
        <w:tc>
          <w:tcPr>
            <w:tcW w:w="1197" w:type="dxa"/>
          </w:tcPr>
          <w:p w14:paraId="01B02DE3">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42C4A3EF">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r>
    </w:tbl>
    <w:p w14:paraId="12A3B921">
      <w:pPr>
        <w:numPr>
          <w:ilvl w:val="0"/>
          <w:numId w:val="0"/>
        </w:numPr>
        <w:spacing w:line="440" w:lineRule="exact"/>
        <w:rPr>
          <w:rFonts w:hint="eastAsia" w:ascii="宋体" w:hAnsi="宋体" w:eastAsia="宋体" w:cs="宋体"/>
          <w:b/>
          <w:color w:val="000000" w:themeColor="text1"/>
          <w:sz w:val="21"/>
          <w:szCs w:val="21"/>
          <w:highlight w:val="yellow"/>
        </w:rPr>
      </w:pPr>
    </w:p>
    <w:p w14:paraId="714DC1B5">
      <w:pPr>
        <w:widowControl w:val="0"/>
        <w:numPr>
          <w:ilvl w:val="0"/>
          <w:numId w:val="0"/>
        </w:numPr>
        <w:spacing w:line="440" w:lineRule="exact"/>
        <w:jc w:val="both"/>
        <w:rPr>
          <w:rFonts w:hint="eastAsia" w:ascii="宋体" w:hAnsi="宋体" w:eastAsia="宋体" w:cs="宋体"/>
          <w:b/>
          <w:color w:val="000000" w:themeColor="text1"/>
          <w:sz w:val="21"/>
          <w:szCs w:val="21"/>
        </w:rPr>
      </w:pPr>
    </w:p>
    <w:p w14:paraId="11AD96EA">
      <w:pPr>
        <w:numPr>
          <w:ilvl w:val="0"/>
          <w:numId w:val="4"/>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主要</w:t>
      </w:r>
      <w:r>
        <w:rPr>
          <w:rFonts w:hint="eastAsia" w:ascii="宋体" w:hAnsi="宋体" w:eastAsia="宋体" w:cs="宋体"/>
          <w:b/>
          <w:color w:val="000000" w:themeColor="text1"/>
          <w:sz w:val="21"/>
          <w:szCs w:val="21"/>
        </w:rPr>
        <w:t>商务要求：</w:t>
      </w:r>
    </w:p>
    <w:p w14:paraId="751AF881">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1.交货及安装、验收要求</w:t>
      </w:r>
    </w:p>
    <w:p w14:paraId="775C65E0">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1.1交货地点：采购人指定地点。</w:t>
      </w:r>
    </w:p>
    <w:p w14:paraId="1C8A269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1.2交货期：中标供应商应当在中标通知书发出之日起30日内按</w:t>
      </w:r>
      <w:r>
        <w:rPr>
          <w:rFonts w:hint="eastAsia" w:ascii="宋体" w:hAnsi="宋体" w:eastAsia="宋体" w:cs="宋体"/>
          <w:color w:val="000000" w:themeColor="text1"/>
          <w:sz w:val="21"/>
          <w:szCs w:val="21"/>
          <w:lang w:eastAsia="zh-CN"/>
        </w:rPr>
        <w:t>采购需求</w:t>
      </w:r>
      <w:r>
        <w:rPr>
          <w:rFonts w:hint="eastAsia" w:ascii="宋体" w:hAnsi="宋体" w:eastAsia="宋体" w:cs="宋体"/>
          <w:color w:val="000000" w:themeColor="text1"/>
          <w:sz w:val="21"/>
          <w:szCs w:val="21"/>
        </w:rPr>
        <w:t>及中标</w:t>
      </w:r>
      <w:r>
        <w:rPr>
          <w:rFonts w:hint="eastAsia" w:ascii="宋体" w:hAnsi="宋体" w:eastAsia="宋体" w:cs="宋体"/>
          <w:b w:val="0"/>
          <w:bCs/>
          <w:color w:val="000000" w:themeColor="text1"/>
          <w:sz w:val="21"/>
          <w:szCs w:val="21"/>
          <w:lang w:val="en-US" w:eastAsia="zh-CN"/>
        </w:rPr>
        <w:t>供应商</w:t>
      </w:r>
      <w:r>
        <w:rPr>
          <w:rFonts w:hint="eastAsia" w:ascii="宋体" w:hAnsi="宋体" w:eastAsia="宋体" w:cs="宋体"/>
          <w:color w:val="000000" w:themeColor="text1"/>
          <w:sz w:val="21"/>
          <w:szCs w:val="21"/>
        </w:rPr>
        <w:t>的投标文件确定的事项与采购人签订合同，签订合同后</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u w:val="single"/>
          <w:lang w:val="en-US" w:eastAsia="zh-CN"/>
        </w:rPr>
        <w:t>30</w:t>
      </w:r>
      <w:r>
        <w:rPr>
          <w:rFonts w:hint="eastAsia" w:ascii="宋体" w:hAnsi="宋体" w:eastAsia="宋体" w:cs="宋体"/>
          <w:color w:val="FF0000"/>
          <w:sz w:val="21"/>
          <w:szCs w:val="21"/>
        </w:rPr>
        <w:t>日</w:t>
      </w:r>
      <w:r>
        <w:rPr>
          <w:rFonts w:hint="eastAsia" w:ascii="宋体" w:hAnsi="宋体" w:eastAsia="宋体" w:cs="宋体"/>
          <w:color w:val="000000" w:themeColor="text1"/>
          <w:sz w:val="21"/>
          <w:szCs w:val="21"/>
        </w:rPr>
        <w:t>内完成设备的安装调试。</w:t>
      </w:r>
    </w:p>
    <w:p w14:paraId="0BD5D948">
      <w:pPr>
        <w:spacing w:line="44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rPr>
        <w:t>1.3中标供应商须保证中标后所提供的设备为原装、全新合格的产品</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highlight w:val="none"/>
          <w:lang w:val="en-US" w:eastAsia="zh-CN"/>
        </w:rPr>
        <w:t>且原装进口产品生产日期与交货日期差值≤12个月；国产产品生产日期与交货日期差值≤3个月。</w:t>
      </w:r>
    </w:p>
    <w:p w14:paraId="33B4285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宋体" w:hAnsi="宋体" w:eastAsia="宋体" w:cs="宋体"/>
          <w:color w:val="FF0000"/>
          <w:sz w:val="21"/>
          <w:szCs w:val="21"/>
        </w:rPr>
      </w:pPr>
      <w:r>
        <w:rPr>
          <w:rFonts w:hint="eastAsia" w:ascii="宋体" w:hAnsi="宋体" w:eastAsia="宋体" w:cs="宋体"/>
          <w:color w:val="000000" w:themeColor="text1"/>
          <w:sz w:val="21"/>
          <w:szCs w:val="21"/>
        </w:rPr>
        <w:t>1.5验收方式：按《小榄镇</w:t>
      </w:r>
      <w:r>
        <w:rPr>
          <w:rFonts w:hint="eastAsia" w:ascii="宋体" w:hAnsi="宋体" w:eastAsia="宋体" w:cs="宋体"/>
          <w:color w:val="000000" w:themeColor="text1"/>
          <w:sz w:val="21"/>
          <w:szCs w:val="21"/>
          <w:lang w:eastAsia="zh-CN"/>
        </w:rPr>
        <w:t>公立</w:t>
      </w:r>
      <w:r>
        <w:rPr>
          <w:rFonts w:hint="eastAsia" w:ascii="宋体" w:hAnsi="宋体" w:eastAsia="宋体" w:cs="宋体"/>
          <w:color w:val="000000" w:themeColor="text1"/>
          <w:sz w:val="21"/>
          <w:szCs w:val="21"/>
        </w:rPr>
        <w:t>医院</w:t>
      </w:r>
      <w:r>
        <w:rPr>
          <w:rFonts w:hint="eastAsia" w:ascii="宋体" w:hAnsi="宋体" w:eastAsia="宋体" w:cs="宋体"/>
          <w:color w:val="000000" w:themeColor="text1"/>
          <w:sz w:val="21"/>
          <w:szCs w:val="21"/>
          <w:lang w:eastAsia="zh-CN"/>
        </w:rPr>
        <w:t>政府</w:t>
      </w:r>
      <w:r>
        <w:rPr>
          <w:rFonts w:hint="eastAsia" w:ascii="宋体" w:hAnsi="宋体" w:eastAsia="宋体" w:cs="宋体"/>
          <w:color w:val="000000" w:themeColor="text1"/>
          <w:sz w:val="21"/>
          <w:szCs w:val="21"/>
        </w:rPr>
        <w:t>采购和验收</w:t>
      </w:r>
      <w:r>
        <w:rPr>
          <w:rFonts w:hint="eastAsia" w:ascii="宋体" w:hAnsi="宋体" w:eastAsia="宋体" w:cs="宋体"/>
          <w:color w:val="000000" w:themeColor="text1"/>
          <w:sz w:val="21"/>
          <w:szCs w:val="21"/>
          <w:lang w:eastAsia="zh-CN"/>
        </w:rPr>
        <w:t>办法</w:t>
      </w:r>
      <w:r>
        <w:rPr>
          <w:rFonts w:hint="eastAsia" w:ascii="宋体" w:hAnsi="宋体" w:eastAsia="宋体" w:cs="宋体"/>
          <w:color w:val="000000" w:themeColor="text1"/>
          <w:sz w:val="21"/>
          <w:szCs w:val="21"/>
        </w:rPr>
        <w:t>》</w:t>
      </w:r>
      <w:r>
        <w:rPr>
          <w:rFonts w:hint="eastAsia" w:ascii="宋体" w:hAnsi="宋体" w:eastAsia="宋体" w:cs="宋体"/>
          <w:color w:val="FF0000"/>
          <w:sz w:val="21"/>
          <w:szCs w:val="21"/>
          <w:lang w:val="en-US" w:eastAsia="zh-CN"/>
        </w:rPr>
        <w:t>和《中山市小榄人民医院医疗设备验收管理制度》</w:t>
      </w:r>
      <w:r>
        <w:rPr>
          <w:rFonts w:hint="eastAsia" w:ascii="宋体" w:hAnsi="宋体" w:eastAsia="宋体" w:cs="宋体"/>
          <w:color w:val="FF0000"/>
          <w:sz w:val="21"/>
          <w:szCs w:val="21"/>
        </w:rPr>
        <w:t>。</w:t>
      </w:r>
    </w:p>
    <w:p w14:paraId="37607C9E">
      <w:pPr>
        <w:spacing w:line="44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供应商须在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文件提供</w:t>
      </w:r>
      <w:r>
        <w:rPr>
          <w:rFonts w:hint="eastAsia" w:ascii="宋体" w:hAnsi="宋体" w:eastAsia="宋体" w:cs="宋体"/>
          <w:color w:val="auto"/>
          <w:sz w:val="21"/>
          <w:szCs w:val="21"/>
          <w:highlight w:val="none"/>
          <w:lang w:val="en-US" w:eastAsia="zh-CN"/>
        </w:rPr>
        <w:t>该项目完整的授权书。</w:t>
      </w:r>
    </w:p>
    <w:p w14:paraId="71BBED5E">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2.售后服务要求</w:t>
      </w:r>
    </w:p>
    <w:p w14:paraId="2B351F45">
      <w:pPr>
        <w:tabs>
          <w:tab w:val="left" w:pos="420"/>
        </w:tabs>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2.1中标供应商必须在中国境内有售后服务机构，并附有售后服务能力说明。</w:t>
      </w:r>
    </w:p>
    <w:p w14:paraId="70FB5255">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★2.2中标供应商须提供设备原厂质保（设备原厂质量保修范围和保修期）至少</w:t>
      </w:r>
      <w:r>
        <w:rPr>
          <w:rFonts w:hint="eastAsia" w:ascii="宋体" w:hAnsi="宋体" w:eastAsia="宋体" w:cs="宋体"/>
          <w:b/>
          <w:bCs/>
          <w:color w:val="auto"/>
          <w:sz w:val="21"/>
          <w:szCs w:val="21"/>
          <w:highlight w:val="yellow"/>
        </w:rPr>
        <w:t>为</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u w:val="single"/>
          <w:lang w:val="en-US" w:eastAsia="zh-CN"/>
        </w:rPr>
        <w:t>2</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rPr>
        <w:t>年。</w:t>
      </w:r>
    </w:p>
    <w:p w14:paraId="34C701EB">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2.3在售后期内，中标供应商在接到用户的维修通知，响应时间为半小时内，工程师到达现场时间为4小时内，排除故障时限为到达现场后8小时内。</w:t>
      </w:r>
    </w:p>
    <w:p w14:paraId="64958E8F">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2.4如果产品故障在检修12小时后仍无法排除，中标供应商应在24小时内提供不低于故障产品规格型号档次的备用产品供采购人使用，直至故障产品修复。</w:t>
      </w:r>
    </w:p>
    <w:p w14:paraId="5ED331B0">
      <w:pPr>
        <w:spacing w:line="440" w:lineRule="exact"/>
        <w:rPr>
          <w:rFonts w:hint="eastAsia" w:ascii="宋体" w:hAnsi="宋体" w:eastAsia="宋体" w:cs="宋体"/>
          <w:b/>
          <w:color w:val="000000" w:themeColor="text1"/>
          <w:sz w:val="21"/>
          <w:szCs w:val="21"/>
        </w:rPr>
      </w:pPr>
    </w:p>
    <w:p w14:paraId="5BC1A48F">
      <w:pPr>
        <w:spacing w:line="440" w:lineRule="exact"/>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b/>
          <w:color w:val="000000" w:themeColor="text1"/>
          <w:sz w:val="21"/>
          <w:szCs w:val="21"/>
        </w:rPr>
        <w:t>3.付款方式</w:t>
      </w:r>
    </w:p>
    <w:p w14:paraId="1BE3E546">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3.1本合同的每笔款项以人民币转账方式支付</w:t>
      </w:r>
      <w:r>
        <w:rPr>
          <w:rFonts w:hint="eastAsia" w:ascii="宋体" w:hAnsi="宋体" w:eastAsia="宋体" w:cs="宋体"/>
          <w:color w:val="000000" w:themeColor="text1"/>
          <w:sz w:val="21"/>
          <w:szCs w:val="21"/>
          <w:lang w:eastAsia="zh-CN"/>
        </w:rPr>
        <w:t>。</w:t>
      </w:r>
    </w:p>
    <w:p w14:paraId="2797CF2D">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3.2</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按合同协议时间提供货物</w:t>
      </w:r>
      <w:r>
        <w:rPr>
          <w:rFonts w:hint="eastAsia" w:ascii="宋体" w:hAnsi="宋体" w:eastAsia="宋体" w:cs="宋体"/>
          <w:color w:val="auto"/>
          <w:sz w:val="21"/>
          <w:szCs w:val="21"/>
          <w:highlight w:val="none"/>
          <w:lang w:val="en-US" w:eastAsia="zh-CN"/>
        </w:rPr>
        <w:t>或服务完成后</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规定的验收人员书面确认验收合格，</w:t>
      </w:r>
      <w:r>
        <w:rPr>
          <w:rFonts w:hint="eastAsia" w:ascii="宋体" w:hAnsi="宋体" w:eastAsia="宋体" w:cs="宋体"/>
          <w:color w:val="auto"/>
          <w:sz w:val="21"/>
          <w:szCs w:val="21"/>
          <w:highlight w:val="none"/>
          <w:lang w:val="en-US" w:eastAsia="zh-CN"/>
        </w:rPr>
        <w:t>中标供应商即</w:t>
      </w:r>
      <w:r>
        <w:rPr>
          <w:rFonts w:hint="eastAsia" w:ascii="宋体" w:hAnsi="宋体" w:eastAsia="宋体" w:cs="宋体"/>
          <w:color w:val="auto"/>
          <w:sz w:val="21"/>
          <w:szCs w:val="21"/>
          <w:highlight w:val="none"/>
        </w:rPr>
        <w:t>开具</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增值税普通发票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确认</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无误后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在收到发票之日起</w:t>
      </w:r>
      <w:r>
        <w:rPr>
          <w:rFonts w:hint="eastAsia" w:ascii="宋体" w:hAnsi="宋体" w:eastAsia="宋体" w:cs="宋体"/>
          <w:color w:val="auto"/>
          <w:sz w:val="21"/>
          <w:szCs w:val="21"/>
          <w:highlight w:val="none"/>
          <w:u w:val="single"/>
          <w:lang w:val="en-US" w:eastAsia="zh-CN"/>
        </w:rPr>
        <w:t xml:space="preserve"> 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支付合同总金额的</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5%</w:t>
      </w:r>
      <w:r>
        <w:rPr>
          <w:rFonts w:hint="eastAsia" w:ascii="宋体" w:hAnsi="宋体" w:eastAsia="宋体" w:cs="宋体"/>
          <w:color w:val="000000" w:themeColor="text1"/>
          <w:sz w:val="21"/>
          <w:szCs w:val="21"/>
        </w:rPr>
        <w:t>；合同总金额的5%</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作为第二期款项，</w:t>
      </w:r>
      <w:r>
        <w:rPr>
          <w:rFonts w:hint="eastAsia" w:ascii="宋体" w:hAnsi="宋体" w:eastAsia="宋体" w:cs="宋体"/>
          <w:color w:val="000000" w:themeColor="text1"/>
          <w:sz w:val="21"/>
          <w:szCs w:val="21"/>
        </w:rPr>
        <w:t>在</w:t>
      </w:r>
      <w:r>
        <w:rPr>
          <w:rFonts w:hint="eastAsia" w:ascii="宋体" w:hAnsi="宋体" w:eastAsia="宋体" w:cs="宋体"/>
          <w:color w:val="000000" w:themeColor="text1"/>
          <w:sz w:val="21"/>
          <w:szCs w:val="21"/>
          <w:highlight w:val="yellow"/>
          <w:u w:val="single"/>
          <w:lang w:val="en-US" w:eastAsia="zh-CN"/>
        </w:rPr>
        <w:t xml:space="preserve"> 质保期满</w:t>
      </w:r>
      <w:r>
        <w:rPr>
          <w:rFonts w:hint="eastAsia" w:ascii="宋体" w:hAnsi="宋体" w:eastAsia="宋体" w:cs="宋体"/>
          <w:color w:val="000000" w:themeColor="text1"/>
          <w:sz w:val="21"/>
          <w:szCs w:val="21"/>
        </w:rPr>
        <w:t>后一次性无息</w:t>
      </w:r>
      <w:r>
        <w:rPr>
          <w:rFonts w:hint="eastAsia" w:ascii="宋体" w:hAnsi="宋体" w:eastAsia="宋体" w:cs="宋体"/>
          <w:color w:val="000000" w:themeColor="text1"/>
          <w:sz w:val="21"/>
          <w:szCs w:val="21"/>
          <w:lang w:val="en-US" w:eastAsia="zh-CN"/>
        </w:rPr>
        <w:t>支付</w:t>
      </w:r>
      <w:r>
        <w:rPr>
          <w:rFonts w:hint="eastAsia" w:ascii="宋体" w:hAnsi="宋体" w:eastAsia="宋体" w:cs="宋体"/>
          <w:color w:val="000000" w:themeColor="text1"/>
          <w:sz w:val="21"/>
          <w:szCs w:val="21"/>
        </w:rPr>
        <w:t>。</w:t>
      </w:r>
    </w:p>
    <w:p w14:paraId="2BA2B841">
      <w:pPr>
        <w:pStyle w:val="4"/>
        <w:rPr>
          <w:rFonts w:hint="eastAsia" w:ascii="宋体" w:hAnsi="宋体" w:eastAsia="宋体" w:cs="宋体"/>
          <w:sz w:val="21"/>
          <w:szCs w:val="21"/>
        </w:rPr>
      </w:pPr>
    </w:p>
    <w:p w14:paraId="764DAB56">
      <w:pPr>
        <w:numPr>
          <w:ilvl w:val="0"/>
          <w:numId w:val="0"/>
        </w:numPr>
        <w:ind w:leftChars="0"/>
        <w:rPr>
          <w:rFonts w:hint="eastAsia" w:ascii="宋体" w:hAnsi="宋体" w:eastAsia="宋体" w:cs="宋体"/>
          <w:b/>
          <w:color w:val="0000FF"/>
          <w:sz w:val="21"/>
          <w:szCs w:val="21"/>
          <w:lang w:val="en-US" w:eastAsia="zh-CN"/>
        </w:rPr>
      </w:pPr>
      <w:r>
        <w:rPr>
          <w:rFonts w:hint="eastAsia" w:ascii="宋体" w:hAnsi="宋体" w:eastAsia="宋体" w:cs="宋体"/>
          <w:b/>
          <w:color w:val="0000FF"/>
          <w:sz w:val="21"/>
          <w:szCs w:val="21"/>
          <w:lang w:val="en-US" w:eastAsia="zh-CN"/>
        </w:rPr>
        <w:t>六、其他商务要求</w:t>
      </w:r>
    </w:p>
    <w:p w14:paraId="5148A802">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投标人须对本项目的采购标的进行整体投标，任何只对本项目采购标的其中一部分内容、数量进行的投标都被视为无效投标。</w:t>
      </w:r>
    </w:p>
    <w:p w14:paraId="7750945C">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投标人应分别列明该项目所有设备的总报价和分项报价。</w:t>
      </w:r>
    </w:p>
    <w:p w14:paraId="60E1B4C6">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2AB417DF">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投标人同意采购人以任何形式对其投标文件内容及采购人认为有必要的相关资料的真实性和有效性进行审查、验证。</w:t>
      </w:r>
      <w:r>
        <w:rPr>
          <w:rFonts w:hint="eastAsia" w:ascii="宋体" w:hAnsi="宋体" w:eastAsia="宋体" w:cs="宋体"/>
          <w:color w:val="000000" w:themeColor="text1"/>
          <w:sz w:val="21"/>
          <w:szCs w:val="21"/>
        </w:rPr>
        <w:t xml:space="preserve"> </w:t>
      </w:r>
    </w:p>
    <w:p w14:paraId="7473A0A0">
      <w:pPr>
        <w:jc w:val="center"/>
        <w:rPr>
          <w:rFonts w:ascii="宋体" w:hAnsi="宋体"/>
          <w:b/>
          <w:color w:val="000000"/>
          <w:kern w:val="28"/>
          <w:sz w:val="44"/>
          <w:szCs w:val="36"/>
        </w:rPr>
      </w:pPr>
    </w:p>
    <w:p w14:paraId="1DC73A2F">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75B86E5A"/>
    <w:multiLevelType w:val="singleLevel"/>
    <w:tmpl w:val="75B86E5A"/>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2FCC2BA5"/>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291518"/>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3702</Words>
  <Characters>3888</Characters>
  <Lines>5</Lines>
  <Paragraphs>1</Paragraphs>
  <TotalTime>0</TotalTime>
  <ScaleCrop>false</ScaleCrop>
  <LinksUpToDate>false</LinksUpToDate>
  <CharactersWithSpaces>3938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2026-03-04T08:46:18Z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