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0982D">
      <w:pPr>
        <w:jc w:val="center"/>
        <w:rPr>
          <w:rFonts w:ascii="宋体" w:hAnsi="宋体" w:eastAsia="宋体" w:cs="宋体"/>
          <w:b/>
          <w:color w:val="auto"/>
          <w:kern w:val="28"/>
          <w:szCs w:val="21"/>
          <w:highlight w:val="none"/>
        </w:rPr>
      </w:pPr>
      <w:r>
        <w:rPr>
          <w:rFonts w:hint="eastAsia" w:ascii="宋体" w:hAnsi="宋体" w:eastAsia="宋体" w:cs="宋体"/>
          <w:b/>
          <w:color w:val="auto"/>
          <w:kern w:val="28"/>
          <w:sz w:val="36"/>
          <w:szCs w:val="36"/>
          <w:highlight w:val="none"/>
        </w:rPr>
        <w:t>采购需求书</w:t>
      </w:r>
    </w:p>
    <w:p w14:paraId="6EA21B1D">
      <w:pPr>
        <w:numPr>
          <w:ilvl w:val="0"/>
          <w:numId w:val="0"/>
        </w:numPr>
        <w:spacing w:line="440" w:lineRule="exact"/>
        <w:rPr>
          <w:rFonts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一、</w:t>
      </w:r>
      <w:r>
        <w:rPr>
          <w:rFonts w:hint="eastAsia" w:ascii="宋体" w:hAnsi="宋体" w:eastAsia="宋体" w:cs="宋体"/>
          <w:b/>
          <w:color w:val="auto"/>
          <w:szCs w:val="21"/>
          <w:highlight w:val="none"/>
        </w:rPr>
        <w:t>总则：</w:t>
      </w:r>
    </w:p>
    <w:p w14:paraId="4498C1DC">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响应供应商</w:t>
      </w:r>
      <w:r>
        <w:rPr>
          <w:rFonts w:hint="eastAsia" w:ascii="宋体" w:hAnsi="宋体" w:eastAsia="宋体" w:cs="宋体"/>
          <w:color w:val="auto"/>
          <w:szCs w:val="21"/>
          <w:highlight w:val="none"/>
        </w:rPr>
        <w:t>报价应包括标的设备（原装、全新合格的设备）、相关附件、配套设施、税费、运费、保险费、仓储费、安装</w:t>
      </w:r>
      <w:r>
        <w:rPr>
          <w:rFonts w:hint="eastAsia" w:ascii="宋体" w:hAnsi="宋体" w:eastAsia="宋体" w:cs="宋体"/>
          <w:color w:val="auto"/>
          <w:szCs w:val="21"/>
          <w:highlight w:val="none"/>
          <w:lang w:val="en-US" w:eastAsia="zh-CN"/>
        </w:rPr>
        <w:t>调试费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检测费、</w:t>
      </w:r>
      <w:r>
        <w:rPr>
          <w:rFonts w:hint="eastAsia" w:ascii="宋体" w:hAnsi="宋体" w:eastAsia="宋体" w:cs="宋体"/>
          <w:color w:val="auto"/>
          <w:szCs w:val="21"/>
          <w:highlight w:val="none"/>
        </w:rPr>
        <w:t>培训、质保等的全部费用，在项目实施过程中出现报价内容的任何遗漏，均由中标供应商负责相关费用，采购人将不再支付任何费用。</w:t>
      </w:r>
    </w:p>
    <w:p w14:paraId="15D8111B">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2.招标文件中凡有“★”标识的内容条款为关键条款，</w:t>
      </w:r>
      <w:r>
        <w:rPr>
          <w:rFonts w:hint="eastAsia" w:ascii="宋体" w:hAnsi="宋体" w:eastAsia="宋体" w:cs="宋体"/>
          <w:color w:val="auto"/>
          <w:szCs w:val="21"/>
          <w:highlight w:val="none"/>
          <w:lang w:eastAsia="zh-CN"/>
        </w:rPr>
        <w:t>响应供应商</w:t>
      </w:r>
      <w:r>
        <w:rPr>
          <w:rFonts w:hint="eastAsia" w:ascii="宋体" w:hAnsi="宋体" w:eastAsia="宋体" w:cs="宋体"/>
          <w:color w:val="auto"/>
          <w:szCs w:val="21"/>
          <w:highlight w:val="none"/>
        </w:rPr>
        <w:t>必须对此作出回答并完全满足这些要求不可以出现任何负偏离，对这些关键条款的任何负偏离将视为无效</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。加注“▲”的内容为重点评标项目，</w:t>
      </w:r>
      <w:r>
        <w:rPr>
          <w:rFonts w:hint="eastAsia" w:ascii="宋体" w:hAnsi="宋体" w:eastAsia="宋体" w:cs="宋体"/>
          <w:color w:val="auto"/>
          <w:szCs w:val="21"/>
          <w:highlight w:val="none"/>
          <w:lang w:eastAsia="zh-CN"/>
        </w:rPr>
        <w:t>响应供应商</w:t>
      </w:r>
      <w:r>
        <w:rPr>
          <w:rFonts w:hint="eastAsia" w:ascii="宋体" w:hAnsi="宋体" w:eastAsia="宋体" w:cs="宋体"/>
          <w:color w:val="auto"/>
          <w:szCs w:val="21"/>
          <w:highlight w:val="none"/>
        </w:rPr>
        <w:t>必须对该标识项目按照要求进行真实应答描述。</w:t>
      </w:r>
    </w:p>
    <w:p w14:paraId="4B55AFE9">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3.本项目不接受联合体、中标供应商不得以任何方式转包本项目。</w:t>
      </w:r>
    </w:p>
    <w:p w14:paraId="2C47AC8C">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4.单位负责人为同一人或者存在直接控股、关联关系的不同</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人，不得参加同一合同项下的招标活动。</w:t>
      </w:r>
    </w:p>
    <w:p w14:paraId="2D31C8BB">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响应供应商</w:t>
      </w:r>
      <w:r>
        <w:rPr>
          <w:rFonts w:hint="eastAsia"/>
          <w:color w:val="auto"/>
          <w:highlight w:val="none"/>
          <w:lang w:eastAsia="zh-CN"/>
        </w:rPr>
        <w:t>应该符合《医疗器械经营质量管理规范》和《医疗器械监督管理条例》规定，并结合本项目特性提供有效的医疗器械产品注册/备案证明材料和报价人的经营许可/备案证明材料</w:t>
      </w:r>
      <w:r>
        <w:rPr>
          <w:rFonts w:hint="eastAsia"/>
          <w:color w:val="auto"/>
          <w:highlight w:val="none"/>
          <w:lang w:val="en-US" w:eastAsia="zh-CN"/>
        </w:rPr>
        <w:t>等资料</w:t>
      </w:r>
      <w:r>
        <w:rPr>
          <w:rFonts w:hint="eastAsia" w:ascii="宋体" w:hAnsi="宋体" w:eastAsia="宋体" w:cs="宋体"/>
          <w:color w:val="auto"/>
          <w:szCs w:val="21"/>
          <w:highlight w:val="none"/>
        </w:rPr>
        <w:t>。</w:t>
      </w:r>
    </w:p>
    <w:p w14:paraId="35C4BDD0">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6.本文的“质保期”是指中标标的物完成验收之日起算，截止中标人承诺的期限。</w:t>
      </w:r>
    </w:p>
    <w:p w14:paraId="694DE0D2">
      <w:pPr>
        <w:numPr>
          <w:ilvl w:val="0"/>
          <w:numId w:val="0"/>
        </w:numPr>
        <w:spacing w:line="440" w:lineRule="exact"/>
        <w:rPr>
          <w:rFonts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二、</w:t>
      </w:r>
      <w:r>
        <w:rPr>
          <w:rFonts w:hint="eastAsia" w:ascii="宋体" w:hAnsi="宋体" w:eastAsia="宋体" w:cs="宋体"/>
          <w:b/>
          <w:color w:val="auto"/>
          <w:szCs w:val="21"/>
          <w:highlight w:val="none"/>
        </w:rPr>
        <w:t>基本需求</w:t>
      </w:r>
    </w:p>
    <w:tbl>
      <w:tblPr>
        <w:tblStyle w:val="9"/>
        <w:tblW w:w="8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3254"/>
        <w:gridCol w:w="1456"/>
        <w:gridCol w:w="2654"/>
      </w:tblGrid>
      <w:tr w14:paraId="1793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99" w:type="dxa"/>
            <w:vAlign w:val="center"/>
          </w:tcPr>
          <w:p w14:paraId="18FA8705">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序号</w:t>
            </w:r>
          </w:p>
        </w:tc>
        <w:tc>
          <w:tcPr>
            <w:tcW w:w="3254" w:type="dxa"/>
          </w:tcPr>
          <w:p w14:paraId="4166994D">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456" w:type="dxa"/>
          </w:tcPr>
          <w:p w14:paraId="27DB6EE5">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单位</w:t>
            </w:r>
          </w:p>
        </w:tc>
        <w:tc>
          <w:tcPr>
            <w:tcW w:w="2654" w:type="dxa"/>
          </w:tcPr>
          <w:p w14:paraId="27A6E720">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数量</w:t>
            </w:r>
          </w:p>
        </w:tc>
      </w:tr>
      <w:tr w14:paraId="669F3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99" w:type="dxa"/>
            <w:vAlign w:val="center"/>
          </w:tcPr>
          <w:p w14:paraId="50F1023E">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p>
        </w:tc>
        <w:tc>
          <w:tcPr>
            <w:tcW w:w="3254" w:type="dxa"/>
            <w:vAlign w:val="center"/>
          </w:tcPr>
          <w:p w14:paraId="3895271D">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手动双摇病床</w:t>
            </w:r>
          </w:p>
        </w:tc>
        <w:tc>
          <w:tcPr>
            <w:tcW w:w="1456" w:type="dxa"/>
          </w:tcPr>
          <w:p w14:paraId="70139F1A">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套</w:t>
            </w:r>
          </w:p>
        </w:tc>
        <w:tc>
          <w:tcPr>
            <w:tcW w:w="2654" w:type="dxa"/>
          </w:tcPr>
          <w:p w14:paraId="057D1F04">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w:t>
            </w:r>
          </w:p>
        </w:tc>
      </w:tr>
      <w:tr w14:paraId="002C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99" w:type="dxa"/>
          </w:tcPr>
          <w:p w14:paraId="63225ED0">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3254" w:type="dxa"/>
            <w:vAlign w:val="center"/>
          </w:tcPr>
          <w:p w14:paraId="737AC077">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床垫</w:t>
            </w:r>
          </w:p>
        </w:tc>
        <w:tc>
          <w:tcPr>
            <w:tcW w:w="1456" w:type="dxa"/>
          </w:tcPr>
          <w:p w14:paraId="64F2DD95">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张</w:t>
            </w:r>
          </w:p>
        </w:tc>
        <w:tc>
          <w:tcPr>
            <w:tcW w:w="2654" w:type="dxa"/>
          </w:tcPr>
          <w:p w14:paraId="52CCC187">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w:t>
            </w:r>
          </w:p>
        </w:tc>
      </w:tr>
      <w:tr w14:paraId="1430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99" w:type="dxa"/>
          </w:tcPr>
          <w:p w14:paraId="6BDE370B">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3254" w:type="dxa"/>
            <w:vAlign w:val="center"/>
          </w:tcPr>
          <w:p w14:paraId="696857E1">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床头柜</w:t>
            </w:r>
          </w:p>
        </w:tc>
        <w:tc>
          <w:tcPr>
            <w:tcW w:w="1456" w:type="dxa"/>
          </w:tcPr>
          <w:p w14:paraId="31EF7986">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个</w:t>
            </w:r>
          </w:p>
        </w:tc>
        <w:tc>
          <w:tcPr>
            <w:tcW w:w="2654" w:type="dxa"/>
          </w:tcPr>
          <w:p w14:paraId="30BF1BC5">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p>
        </w:tc>
      </w:tr>
      <w:tr w14:paraId="7535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99" w:type="dxa"/>
            <w:shd w:val="clear" w:color="auto" w:fill="auto"/>
            <w:vAlign w:val="top"/>
          </w:tcPr>
          <w:p w14:paraId="0534CDB5">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4</w:t>
            </w:r>
          </w:p>
        </w:tc>
        <w:tc>
          <w:tcPr>
            <w:tcW w:w="3254" w:type="dxa"/>
            <w:shd w:val="clear" w:color="auto" w:fill="auto"/>
            <w:vAlign w:val="center"/>
          </w:tcPr>
          <w:p w14:paraId="76C171AA">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移动输液架</w:t>
            </w:r>
          </w:p>
        </w:tc>
        <w:tc>
          <w:tcPr>
            <w:tcW w:w="1456" w:type="dxa"/>
            <w:shd w:val="clear" w:color="auto" w:fill="auto"/>
            <w:vAlign w:val="top"/>
          </w:tcPr>
          <w:p w14:paraId="0B7D6676">
            <w:pPr>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个</w:t>
            </w:r>
          </w:p>
        </w:tc>
        <w:tc>
          <w:tcPr>
            <w:tcW w:w="2654" w:type="dxa"/>
          </w:tcPr>
          <w:p w14:paraId="633067BD">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30</w:t>
            </w:r>
          </w:p>
        </w:tc>
      </w:tr>
    </w:tbl>
    <w:p w14:paraId="46878C11">
      <w:pPr>
        <w:numPr>
          <w:ilvl w:val="0"/>
          <w:numId w:val="0"/>
        </w:numPr>
        <w:spacing w:line="440" w:lineRule="exact"/>
        <w:rPr>
          <w:rFonts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三、</w:t>
      </w:r>
      <w:r>
        <w:rPr>
          <w:rFonts w:hint="eastAsia" w:ascii="宋体" w:hAnsi="宋体" w:eastAsia="宋体" w:cs="宋体"/>
          <w:b/>
          <w:color w:val="auto"/>
          <w:szCs w:val="21"/>
          <w:highlight w:val="none"/>
        </w:rPr>
        <w:t>技术参数及配置要求：</w:t>
      </w:r>
    </w:p>
    <w:tbl>
      <w:tblPr>
        <w:tblStyle w:val="8"/>
        <w:tblW w:w="8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348"/>
        <w:gridCol w:w="1742"/>
        <w:gridCol w:w="1765"/>
        <w:gridCol w:w="928"/>
        <w:gridCol w:w="1357"/>
        <w:gridCol w:w="1223"/>
      </w:tblGrid>
      <w:tr w14:paraId="0F4D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2" w:hRule="atLeast"/>
          <w:jc w:val="center"/>
        </w:trPr>
        <w:tc>
          <w:tcPr>
            <w:tcW w:w="1348" w:type="dxa"/>
            <w:vMerge w:val="restart"/>
            <w:shd w:val="clear" w:color="auto" w:fill="auto"/>
            <w:vAlign w:val="center"/>
          </w:tcPr>
          <w:p w14:paraId="336E5348">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采购</w:t>
            </w:r>
          </w:p>
          <w:p w14:paraId="39F35F2A">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内容</w:t>
            </w:r>
          </w:p>
        </w:tc>
        <w:tc>
          <w:tcPr>
            <w:tcW w:w="3507" w:type="dxa"/>
            <w:gridSpan w:val="2"/>
            <w:tcBorders>
              <w:bottom w:val="single" w:color="auto" w:sz="2" w:space="0"/>
            </w:tcBorders>
            <w:shd w:val="clear" w:color="auto" w:fill="auto"/>
            <w:vAlign w:val="center"/>
          </w:tcPr>
          <w:p w14:paraId="6E6109E2">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标准配置</w:t>
            </w:r>
          </w:p>
        </w:tc>
        <w:tc>
          <w:tcPr>
            <w:tcW w:w="928" w:type="dxa"/>
            <w:vMerge w:val="restart"/>
            <w:shd w:val="clear" w:color="auto" w:fill="auto"/>
            <w:vAlign w:val="center"/>
          </w:tcPr>
          <w:p w14:paraId="1D37E13A">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1357" w:type="dxa"/>
            <w:vMerge w:val="restart"/>
            <w:shd w:val="clear" w:color="auto" w:fill="auto"/>
            <w:vAlign w:val="center"/>
          </w:tcPr>
          <w:p w14:paraId="3FDCCADF">
            <w:pPr>
              <w:jc w:val="center"/>
              <w:rPr>
                <w:rFonts w:ascii="宋体" w:hAnsi="宋体" w:eastAsia="宋体" w:cs="宋体"/>
                <w:color w:val="auto"/>
                <w:szCs w:val="21"/>
                <w:highlight w:val="none"/>
              </w:rPr>
            </w:pPr>
            <w:r>
              <w:rPr>
                <w:rFonts w:hint="eastAsia" w:ascii="宋体" w:hAnsi="宋体" w:eastAsia="宋体" w:cs="宋体"/>
                <w:b/>
                <w:color w:val="auto"/>
                <w:szCs w:val="21"/>
                <w:highlight w:val="none"/>
              </w:rPr>
              <w:t>最高限价</w:t>
            </w:r>
          </w:p>
        </w:tc>
        <w:tc>
          <w:tcPr>
            <w:tcW w:w="1223" w:type="dxa"/>
            <w:vMerge w:val="restart"/>
            <w:shd w:val="clear" w:color="auto" w:fill="auto"/>
            <w:vAlign w:val="center"/>
          </w:tcPr>
          <w:p w14:paraId="225B9C0E">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是否允许进口产品</w:t>
            </w:r>
          </w:p>
        </w:tc>
      </w:tr>
      <w:tr w14:paraId="7237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5" w:hRule="atLeast"/>
          <w:jc w:val="center"/>
        </w:trPr>
        <w:tc>
          <w:tcPr>
            <w:tcW w:w="1348" w:type="dxa"/>
            <w:vMerge w:val="continue"/>
            <w:shd w:val="clear" w:color="auto" w:fill="auto"/>
            <w:vAlign w:val="center"/>
          </w:tcPr>
          <w:p w14:paraId="3075030D">
            <w:pPr>
              <w:tabs>
                <w:tab w:val="left" w:pos="284"/>
              </w:tabs>
              <w:jc w:val="center"/>
              <w:rPr>
                <w:rFonts w:ascii="宋体" w:hAnsi="宋体" w:eastAsia="宋体" w:cs="宋体"/>
                <w:color w:val="auto"/>
                <w:szCs w:val="21"/>
                <w:highlight w:val="none"/>
              </w:rPr>
            </w:pPr>
          </w:p>
        </w:tc>
        <w:tc>
          <w:tcPr>
            <w:tcW w:w="1742" w:type="dxa"/>
            <w:tcBorders>
              <w:top w:val="single" w:color="auto" w:sz="2" w:space="0"/>
            </w:tcBorders>
            <w:shd w:val="clear" w:color="auto" w:fill="auto"/>
            <w:vAlign w:val="center"/>
          </w:tcPr>
          <w:p w14:paraId="48108C04">
            <w:pPr>
              <w:tabs>
                <w:tab w:val="left" w:pos="284"/>
              </w:tabs>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1765" w:type="dxa"/>
            <w:tcBorders>
              <w:top w:val="single" w:color="auto" w:sz="2" w:space="0"/>
            </w:tcBorders>
            <w:shd w:val="clear" w:color="auto" w:fill="auto"/>
            <w:vAlign w:val="center"/>
          </w:tcPr>
          <w:p w14:paraId="790C3208">
            <w:pPr>
              <w:tabs>
                <w:tab w:val="left" w:pos="284"/>
              </w:tabs>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928" w:type="dxa"/>
            <w:vMerge w:val="continue"/>
            <w:shd w:val="clear" w:color="auto" w:fill="auto"/>
            <w:vAlign w:val="center"/>
          </w:tcPr>
          <w:p w14:paraId="296D2351">
            <w:pPr>
              <w:adjustRightInd w:val="0"/>
              <w:snapToGrid w:val="0"/>
              <w:jc w:val="center"/>
              <w:rPr>
                <w:rFonts w:ascii="宋体" w:hAnsi="宋体" w:eastAsia="宋体" w:cs="宋体"/>
                <w:color w:val="auto"/>
                <w:szCs w:val="21"/>
                <w:highlight w:val="none"/>
              </w:rPr>
            </w:pPr>
          </w:p>
        </w:tc>
        <w:tc>
          <w:tcPr>
            <w:tcW w:w="1357" w:type="dxa"/>
            <w:vMerge w:val="continue"/>
            <w:shd w:val="clear" w:color="auto" w:fill="auto"/>
            <w:vAlign w:val="center"/>
          </w:tcPr>
          <w:p w14:paraId="7C13B76B">
            <w:pPr>
              <w:pStyle w:val="11"/>
              <w:spacing w:before="0" w:after="0" w:line="360" w:lineRule="auto"/>
              <w:rPr>
                <w:rFonts w:ascii="宋体" w:hAnsi="宋体" w:eastAsia="宋体" w:cs="宋体"/>
                <w:snapToGrid/>
                <w:color w:val="auto"/>
                <w:spacing w:val="0"/>
                <w:sz w:val="21"/>
                <w:szCs w:val="21"/>
                <w:highlight w:val="none"/>
              </w:rPr>
            </w:pPr>
          </w:p>
        </w:tc>
        <w:tc>
          <w:tcPr>
            <w:tcW w:w="1223" w:type="dxa"/>
            <w:vMerge w:val="continue"/>
            <w:shd w:val="clear" w:color="auto" w:fill="auto"/>
            <w:vAlign w:val="center"/>
          </w:tcPr>
          <w:p w14:paraId="087355C8">
            <w:pPr>
              <w:pStyle w:val="11"/>
              <w:spacing w:before="0" w:after="0" w:line="360" w:lineRule="auto"/>
              <w:rPr>
                <w:rFonts w:ascii="宋体" w:hAnsi="宋体" w:eastAsia="宋体" w:cs="宋体"/>
                <w:snapToGrid/>
                <w:color w:val="auto"/>
                <w:spacing w:val="0"/>
                <w:sz w:val="21"/>
                <w:szCs w:val="21"/>
                <w:highlight w:val="none"/>
              </w:rPr>
            </w:pPr>
          </w:p>
        </w:tc>
      </w:tr>
      <w:tr w14:paraId="122D3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jc w:val="center"/>
        </w:trPr>
        <w:tc>
          <w:tcPr>
            <w:tcW w:w="1348" w:type="dxa"/>
            <w:vMerge w:val="restart"/>
            <w:tcBorders>
              <w:top w:val="single" w:color="auto" w:sz="2" w:space="0"/>
            </w:tcBorders>
            <w:shd w:val="clear" w:color="auto" w:fill="auto"/>
            <w:vAlign w:val="center"/>
          </w:tcPr>
          <w:p w14:paraId="5AC096CB">
            <w:pPr>
              <w:tabs>
                <w:tab w:val="left" w:pos="284"/>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手动双摇病床</w:t>
            </w:r>
          </w:p>
        </w:tc>
        <w:tc>
          <w:tcPr>
            <w:tcW w:w="1742" w:type="dxa"/>
            <w:tcBorders>
              <w:top w:val="single" w:color="auto" w:sz="2" w:space="0"/>
            </w:tcBorders>
            <w:shd w:val="clear" w:color="auto" w:fill="auto"/>
            <w:vAlign w:val="center"/>
          </w:tcPr>
          <w:p w14:paraId="40138853">
            <w:pPr>
              <w:tabs>
                <w:tab w:val="left" w:pos="284"/>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含ABS床头尾板</w:t>
            </w:r>
          </w:p>
        </w:tc>
        <w:tc>
          <w:tcPr>
            <w:tcW w:w="1765" w:type="dxa"/>
            <w:tcBorders>
              <w:top w:val="single" w:color="auto" w:sz="2" w:space="0"/>
            </w:tcBorders>
            <w:shd w:val="clear" w:color="auto" w:fill="auto"/>
            <w:vAlign w:val="center"/>
          </w:tcPr>
          <w:p w14:paraId="399C4913">
            <w:pPr>
              <w:tabs>
                <w:tab w:val="left" w:pos="284"/>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1对</w:t>
            </w:r>
          </w:p>
        </w:tc>
        <w:tc>
          <w:tcPr>
            <w:tcW w:w="928" w:type="dxa"/>
            <w:vMerge w:val="restart"/>
            <w:tcBorders>
              <w:top w:val="single" w:color="auto" w:sz="2" w:space="0"/>
            </w:tcBorders>
            <w:shd w:val="clear" w:color="auto" w:fill="auto"/>
            <w:vAlign w:val="center"/>
          </w:tcPr>
          <w:p w14:paraId="63A82896">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rPr>
              <w:t>套</w:t>
            </w:r>
          </w:p>
        </w:tc>
        <w:tc>
          <w:tcPr>
            <w:tcW w:w="1357" w:type="dxa"/>
            <w:vMerge w:val="restart"/>
            <w:tcBorders>
              <w:top w:val="single" w:color="auto" w:sz="2" w:space="0"/>
            </w:tcBorders>
            <w:shd w:val="clear" w:color="auto" w:fill="auto"/>
            <w:vAlign w:val="center"/>
          </w:tcPr>
          <w:p w14:paraId="5311C55E">
            <w:pPr>
              <w:pStyle w:val="11"/>
              <w:spacing w:before="0" w:after="0" w:line="360" w:lineRule="auto"/>
              <w:rPr>
                <w:rFonts w:ascii="宋体" w:hAnsi="宋体" w:eastAsia="宋体" w:cs="宋体"/>
                <w:snapToGrid/>
                <w:color w:val="auto"/>
                <w:spacing w:val="0"/>
                <w:sz w:val="21"/>
                <w:szCs w:val="21"/>
                <w:highlight w:val="none"/>
              </w:rPr>
            </w:pPr>
            <w:r>
              <w:rPr>
                <w:rFonts w:hint="eastAsia" w:ascii="宋体" w:hAnsi="宋体" w:eastAsia="宋体" w:cs="宋体"/>
                <w:snapToGrid/>
                <w:color w:val="auto"/>
                <w:spacing w:val="0"/>
                <w:sz w:val="21"/>
                <w:szCs w:val="21"/>
                <w:highlight w:val="none"/>
              </w:rPr>
              <w:t>人民币</w:t>
            </w:r>
          </w:p>
          <w:p w14:paraId="3F5DF935">
            <w:pPr>
              <w:pStyle w:val="11"/>
              <w:spacing w:before="0" w:after="0" w:line="360" w:lineRule="auto"/>
              <w:rPr>
                <w:rFonts w:ascii="宋体" w:hAnsi="宋体" w:eastAsia="宋体" w:cs="宋体"/>
                <w:snapToGrid/>
                <w:color w:val="auto"/>
                <w:spacing w:val="0"/>
                <w:sz w:val="21"/>
                <w:szCs w:val="21"/>
                <w:highlight w:val="none"/>
              </w:rPr>
            </w:pPr>
            <w:r>
              <w:rPr>
                <w:rFonts w:hint="eastAsia" w:ascii="宋体" w:hAnsi="宋体" w:eastAsia="宋体" w:cs="宋体"/>
                <w:snapToGrid/>
                <w:color w:val="auto"/>
                <w:spacing w:val="0"/>
                <w:sz w:val="21"/>
                <w:szCs w:val="21"/>
                <w:highlight w:val="none"/>
                <w:lang w:val="en-US" w:eastAsia="zh-CN"/>
              </w:rPr>
              <w:t>/</w:t>
            </w:r>
            <w:r>
              <w:rPr>
                <w:rFonts w:hint="eastAsia" w:ascii="宋体" w:hAnsi="宋体" w:eastAsia="宋体" w:cs="宋体"/>
                <w:snapToGrid/>
                <w:color w:val="auto"/>
                <w:spacing w:val="0"/>
                <w:sz w:val="21"/>
                <w:szCs w:val="21"/>
                <w:highlight w:val="none"/>
              </w:rPr>
              <w:t>万元</w:t>
            </w:r>
          </w:p>
        </w:tc>
        <w:tc>
          <w:tcPr>
            <w:tcW w:w="1223" w:type="dxa"/>
            <w:vMerge w:val="restart"/>
            <w:tcBorders>
              <w:top w:val="single" w:color="auto" w:sz="2" w:space="0"/>
            </w:tcBorders>
            <w:shd w:val="clear" w:color="auto" w:fill="auto"/>
            <w:vAlign w:val="center"/>
          </w:tcPr>
          <w:p w14:paraId="6F6ACEB1">
            <w:pPr>
              <w:pStyle w:val="11"/>
              <w:spacing w:before="0" w:after="0" w:line="360" w:lineRule="auto"/>
              <w:rPr>
                <w:rFonts w:hint="eastAsia" w:ascii="宋体" w:hAnsi="宋体" w:eastAsia="宋体" w:cs="宋体"/>
                <w:snapToGrid/>
                <w:color w:val="auto"/>
                <w:spacing w:val="0"/>
                <w:sz w:val="21"/>
                <w:szCs w:val="21"/>
                <w:highlight w:val="none"/>
                <w:lang w:eastAsia="zh-CN"/>
              </w:rPr>
            </w:pPr>
            <w:r>
              <w:rPr>
                <w:rFonts w:hint="eastAsia" w:ascii="宋体" w:hAnsi="宋体" w:eastAsia="宋体" w:cs="宋体"/>
                <w:snapToGrid/>
                <w:color w:val="auto"/>
                <w:spacing w:val="0"/>
                <w:sz w:val="21"/>
                <w:szCs w:val="21"/>
                <w:highlight w:val="none"/>
                <w:lang w:eastAsia="zh-CN"/>
              </w:rPr>
              <w:t>否</w:t>
            </w:r>
          </w:p>
        </w:tc>
      </w:tr>
      <w:tr w14:paraId="628B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5" w:hRule="atLeast"/>
          <w:jc w:val="center"/>
        </w:trPr>
        <w:tc>
          <w:tcPr>
            <w:tcW w:w="1348" w:type="dxa"/>
            <w:vMerge w:val="continue"/>
            <w:vAlign w:val="center"/>
          </w:tcPr>
          <w:p w14:paraId="7E080C95">
            <w:pPr>
              <w:tabs>
                <w:tab w:val="left" w:pos="284"/>
              </w:tabs>
              <w:jc w:val="center"/>
              <w:rPr>
                <w:rFonts w:ascii="宋体" w:hAnsi="宋体" w:eastAsia="宋体" w:cs="宋体"/>
                <w:color w:val="auto"/>
                <w:szCs w:val="21"/>
                <w:highlight w:val="none"/>
              </w:rPr>
            </w:pPr>
          </w:p>
        </w:tc>
        <w:tc>
          <w:tcPr>
            <w:tcW w:w="1742" w:type="dxa"/>
            <w:tcBorders>
              <w:top w:val="single" w:color="auto" w:sz="2" w:space="0"/>
            </w:tcBorders>
            <w:vAlign w:val="center"/>
          </w:tcPr>
          <w:p w14:paraId="278D745A">
            <w:pPr>
              <w:tabs>
                <w:tab w:val="left" w:pos="284"/>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铝合金护栏</w:t>
            </w:r>
          </w:p>
        </w:tc>
        <w:tc>
          <w:tcPr>
            <w:tcW w:w="1765" w:type="dxa"/>
            <w:tcBorders>
              <w:top w:val="single" w:color="auto" w:sz="2" w:space="0"/>
            </w:tcBorders>
            <w:vAlign w:val="center"/>
          </w:tcPr>
          <w:p w14:paraId="54C39B85">
            <w:pPr>
              <w:tabs>
                <w:tab w:val="left" w:pos="284"/>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1对 </w:t>
            </w:r>
          </w:p>
        </w:tc>
        <w:tc>
          <w:tcPr>
            <w:tcW w:w="928" w:type="dxa"/>
            <w:vMerge w:val="continue"/>
            <w:vAlign w:val="center"/>
          </w:tcPr>
          <w:p w14:paraId="53EA9260">
            <w:pPr>
              <w:tabs>
                <w:tab w:val="left" w:pos="284"/>
              </w:tabs>
              <w:jc w:val="center"/>
              <w:rPr>
                <w:rFonts w:ascii="宋体" w:hAnsi="宋体" w:eastAsia="宋体" w:cs="宋体"/>
                <w:color w:val="auto"/>
                <w:szCs w:val="21"/>
                <w:highlight w:val="none"/>
              </w:rPr>
            </w:pPr>
          </w:p>
        </w:tc>
        <w:tc>
          <w:tcPr>
            <w:tcW w:w="1357" w:type="dxa"/>
            <w:vMerge w:val="continue"/>
            <w:vAlign w:val="center"/>
          </w:tcPr>
          <w:p w14:paraId="558BC79A">
            <w:pPr>
              <w:tabs>
                <w:tab w:val="left" w:pos="284"/>
              </w:tabs>
              <w:jc w:val="center"/>
              <w:rPr>
                <w:rFonts w:ascii="宋体" w:hAnsi="宋体" w:eastAsia="宋体" w:cs="宋体"/>
                <w:color w:val="auto"/>
                <w:szCs w:val="21"/>
                <w:highlight w:val="none"/>
              </w:rPr>
            </w:pPr>
          </w:p>
        </w:tc>
        <w:tc>
          <w:tcPr>
            <w:tcW w:w="1223" w:type="dxa"/>
            <w:vMerge w:val="continue"/>
            <w:vAlign w:val="center"/>
          </w:tcPr>
          <w:p w14:paraId="3631CFAB">
            <w:pPr>
              <w:tabs>
                <w:tab w:val="left" w:pos="284"/>
              </w:tabs>
              <w:jc w:val="center"/>
              <w:rPr>
                <w:rFonts w:ascii="宋体" w:hAnsi="宋体" w:eastAsia="宋体" w:cs="宋体"/>
                <w:color w:val="auto"/>
                <w:szCs w:val="21"/>
                <w:highlight w:val="none"/>
              </w:rPr>
            </w:pPr>
          </w:p>
        </w:tc>
      </w:tr>
      <w:tr w14:paraId="04FA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 w:hRule="atLeast"/>
          <w:jc w:val="center"/>
        </w:trPr>
        <w:tc>
          <w:tcPr>
            <w:tcW w:w="1348" w:type="dxa"/>
            <w:vMerge w:val="continue"/>
            <w:vAlign w:val="center"/>
          </w:tcPr>
          <w:p w14:paraId="15A0270F">
            <w:pPr>
              <w:tabs>
                <w:tab w:val="left" w:pos="284"/>
              </w:tabs>
              <w:jc w:val="center"/>
              <w:rPr>
                <w:rFonts w:ascii="宋体" w:hAnsi="宋体" w:eastAsia="宋体" w:cs="宋体"/>
                <w:color w:val="auto"/>
                <w:szCs w:val="21"/>
                <w:highlight w:val="none"/>
              </w:rPr>
            </w:pPr>
          </w:p>
        </w:tc>
        <w:tc>
          <w:tcPr>
            <w:tcW w:w="1742" w:type="dxa"/>
            <w:tcBorders>
              <w:top w:val="single" w:color="auto" w:sz="2" w:space="0"/>
            </w:tcBorders>
            <w:vAlign w:val="center"/>
          </w:tcPr>
          <w:p w14:paraId="32142344">
            <w:pPr>
              <w:tabs>
                <w:tab w:val="left" w:pos="284"/>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输液架</w:t>
            </w:r>
          </w:p>
        </w:tc>
        <w:tc>
          <w:tcPr>
            <w:tcW w:w="1765" w:type="dxa"/>
            <w:tcBorders>
              <w:top w:val="single" w:color="auto" w:sz="2" w:space="0"/>
            </w:tcBorders>
            <w:vAlign w:val="center"/>
          </w:tcPr>
          <w:p w14:paraId="78B2EFA5">
            <w:pPr>
              <w:tabs>
                <w:tab w:val="left" w:pos="284"/>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1支</w:t>
            </w:r>
          </w:p>
        </w:tc>
        <w:tc>
          <w:tcPr>
            <w:tcW w:w="928" w:type="dxa"/>
            <w:vMerge w:val="continue"/>
            <w:vAlign w:val="center"/>
          </w:tcPr>
          <w:p w14:paraId="485EBD29">
            <w:pPr>
              <w:tabs>
                <w:tab w:val="left" w:pos="284"/>
              </w:tabs>
              <w:jc w:val="center"/>
              <w:rPr>
                <w:rFonts w:ascii="宋体" w:hAnsi="宋体" w:eastAsia="宋体" w:cs="宋体"/>
                <w:color w:val="auto"/>
                <w:szCs w:val="21"/>
                <w:highlight w:val="none"/>
              </w:rPr>
            </w:pPr>
          </w:p>
        </w:tc>
        <w:tc>
          <w:tcPr>
            <w:tcW w:w="1357" w:type="dxa"/>
            <w:vMerge w:val="continue"/>
            <w:vAlign w:val="center"/>
          </w:tcPr>
          <w:p w14:paraId="6F609516">
            <w:pPr>
              <w:tabs>
                <w:tab w:val="left" w:pos="284"/>
              </w:tabs>
              <w:jc w:val="center"/>
              <w:rPr>
                <w:rFonts w:ascii="宋体" w:hAnsi="宋体" w:eastAsia="宋体" w:cs="宋体"/>
                <w:color w:val="auto"/>
                <w:szCs w:val="21"/>
                <w:highlight w:val="none"/>
              </w:rPr>
            </w:pPr>
          </w:p>
        </w:tc>
        <w:tc>
          <w:tcPr>
            <w:tcW w:w="1223" w:type="dxa"/>
            <w:vMerge w:val="continue"/>
            <w:vAlign w:val="center"/>
          </w:tcPr>
          <w:p w14:paraId="49F7CB58">
            <w:pPr>
              <w:tabs>
                <w:tab w:val="left" w:pos="284"/>
              </w:tabs>
              <w:jc w:val="center"/>
              <w:rPr>
                <w:rFonts w:ascii="宋体" w:hAnsi="宋体" w:eastAsia="宋体" w:cs="宋体"/>
                <w:color w:val="auto"/>
                <w:szCs w:val="21"/>
                <w:highlight w:val="none"/>
              </w:rPr>
            </w:pPr>
          </w:p>
        </w:tc>
      </w:tr>
      <w:tr w14:paraId="515E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5" w:hRule="atLeast"/>
          <w:jc w:val="center"/>
        </w:trPr>
        <w:tc>
          <w:tcPr>
            <w:tcW w:w="1348" w:type="dxa"/>
            <w:vMerge w:val="continue"/>
            <w:vAlign w:val="center"/>
          </w:tcPr>
          <w:p w14:paraId="278C26A6">
            <w:pPr>
              <w:tabs>
                <w:tab w:val="left" w:pos="284"/>
              </w:tabs>
              <w:jc w:val="center"/>
              <w:rPr>
                <w:rFonts w:ascii="宋体" w:hAnsi="宋体" w:eastAsia="宋体" w:cs="宋体"/>
                <w:color w:val="auto"/>
                <w:szCs w:val="21"/>
                <w:highlight w:val="none"/>
              </w:rPr>
            </w:pPr>
          </w:p>
        </w:tc>
        <w:tc>
          <w:tcPr>
            <w:tcW w:w="1742" w:type="dxa"/>
            <w:tcBorders>
              <w:top w:val="single" w:color="auto" w:sz="2" w:space="0"/>
            </w:tcBorders>
            <w:vAlign w:val="center"/>
          </w:tcPr>
          <w:p w14:paraId="239BCD9D">
            <w:pPr>
              <w:tabs>
                <w:tab w:val="left" w:pos="284"/>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中控脚轮</w:t>
            </w:r>
          </w:p>
        </w:tc>
        <w:tc>
          <w:tcPr>
            <w:tcW w:w="1765" w:type="dxa"/>
            <w:tcBorders>
              <w:top w:val="single" w:color="auto" w:sz="2" w:space="0"/>
            </w:tcBorders>
            <w:vAlign w:val="center"/>
          </w:tcPr>
          <w:p w14:paraId="47F4E5C3">
            <w:pPr>
              <w:tabs>
                <w:tab w:val="left" w:pos="284"/>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1套</w:t>
            </w:r>
          </w:p>
        </w:tc>
        <w:tc>
          <w:tcPr>
            <w:tcW w:w="928" w:type="dxa"/>
            <w:vMerge w:val="continue"/>
            <w:vAlign w:val="center"/>
          </w:tcPr>
          <w:p w14:paraId="614D3ED7">
            <w:pPr>
              <w:tabs>
                <w:tab w:val="left" w:pos="284"/>
              </w:tabs>
              <w:jc w:val="center"/>
              <w:rPr>
                <w:rFonts w:ascii="宋体" w:hAnsi="宋体" w:eastAsia="宋体" w:cs="宋体"/>
                <w:color w:val="auto"/>
                <w:szCs w:val="21"/>
                <w:highlight w:val="none"/>
              </w:rPr>
            </w:pPr>
          </w:p>
        </w:tc>
        <w:tc>
          <w:tcPr>
            <w:tcW w:w="1357" w:type="dxa"/>
            <w:vMerge w:val="continue"/>
            <w:vAlign w:val="center"/>
          </w:tcPr>
          <w:p w14:paraId="0BF59ECF">
            <w:pPr>
              <w:tabs>
                <w:tab w:val="left" w:pos="284"/>
              </w:tabs>
              <w:jc w:val="center"/>
              <w:rPr>
                <w:rFonts w:ascii="宋体" w:hAnsi="宋体" w:eastAsia="宋体" w:cs="宋体"/>
                <w:color w:val="auto"/>
                <w:szCs w:val="21"/>
                <w:highlight w:val="none"/>
              </w:rPr>
            </w:pPr>
          </w:p>
        </w:tc>
        <w:tc>
          <w:tcPr>
            <w:tcW w:w="1223" w:type="dxa"/>
            <w:vMerge w:val="continue"/>
            <w:vAlign w:val="center"/>
          </w:tcPr>
          <w:p w14:paraId="6CB4C63A">
            <w:pPr>
              <w:tabs>
                <w:tab w:val="left" w:pos="284"/>
              </w:tabs>
              <w:jc w:val="center"/>
              <w:rPr>
                <w:rFonts w:ascii="宋体" w:hAnsi="宋体" w:eastAsia="宋体" w:cs="宋体"/>
                <w:color w:val="auto"/>
                <w:szCs w:val="21"/>
                <w:highlight w:val="none"/>
              </w:rPr>
            </w:pPr>
          </w:p>
        </w:tc>
      </w:tr>
      <w:tr w14:paraId="4E15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 w:hRule="atLeast"/>
          <w:jc w:val="center"/>
        </w:trPr>
        <w:tc>
          <w:tcPr>
            <w:tcW w:w="1348" w:type="dxa"/>
            <w:vMerge w:val="continue"/>
            <w:vAlign w:val="center"/>
          </w:tcPr>
          <w:p w14:paraId="2D01E3D8">
            <w:pPr>
              <w:tabs>
                <w:tab w:val="left" w:pos="284"/>
              </w:tabs>
              <w:jc w:val="center"/>
              <w:rPr>
                <w:rFonts w:ascii="宋体" w:hAnsi="宋体" w:eastAsia="宋体" w:cs="宋体"/>
                <w:color w:val="auto"/>
                <w:szCs w:val="21"/>
                <w:highlight w:val="none"/>
              </w:rPr>
            </w:pPr>
          </w:p>
        </w:tc>
        <w:tc>
          <w:tcPr>
            <w:tcW w:w="1742" w:type="dxa"/>
            <w:tcBorders>
              <w:top w:val="single" w:color="auto" w:sz="2" w:space="0"/>
            </w:tcBorders>
            <w:vAlign w:val="center"/>
          </w:tcPr>
          <w:p w14:paraId="60D17A91">
            <w:pPr>
              <w:tabs>
                <w:tab w:val="left" w:pos="284"/>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餐板</w:t>
            </w:r>
          </w:p>
        </w:tc>
        <w:tc>
          <w:tcPr>
            <w:tcW w:w="1765" w:type="dxa"/>
            <w:tcBorders>
              <w:top w:val="single" w:color="auto" w:sz="2" w:space="0"/>
            </w:tcBorders>
            <w:vAlign w:val="center"/>
          </w:tcPr>
          <w:p w14:paraId="067BBF85">
            <w:pPr>
              <w:tabs>
                <w:tab w:val="left" w:pos="284"/>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1张</w:t>
            </w:r>
          </w:p>
        </w:tc>
        <w:tc>
          <w:tcPr>
            <w:tcW w:w="928" w:type="dxa"/>
            <w:vMerge w:val="continue"/>
            <w:vAlign w:val="center"/>
          </w:tcPr>
          <w:p w14:paraId="7B47B440">
            <w:pPr>
              <w:tabs>
                <w:tab w:val="left" w:pos="284"/>
              </w:tabs>
              <w:jc w:val="center"/>
              <w:rPr>
                <w:rFonts w:ascii="宋体" w:hAnsi="宋体" w:eastAsia="宋体" w:cs="宋体"/>
                <w:color w:val="auto"/>
                <w:szCs w:val="21"/>
                <w:highlight w:val="none"/>
              </w:rPr>
            </w:pPr>
          </w:p>
        </w:tc>
        <w:tc>
          <w:tcPr>
            <w:tcW w:w="1357" w:type="dxa"/>
            <w:vMerge w:val="continue"/>
            <w:vAlign w:val="center"/>
          </w:tcPr>
          <w:p w14:paraId="72672D3F">
            <w:pPr>
              <w:tabs>
                <w:tab w:val="left" w:pos="284"/>
              </w:tabs>
              <w:jc w:val="center"/>
              <w:rPr>
                <w:rFonts w:ascii="宋体" w:hAnsi="宋体" w:eastAsia="宋体" w:cs="宋体"/>
                <w:color w:val="auto"/>
                <w:szCs w:val="21"/>
                <w:highlight w:val="none"/>
              </w:rPr>
            </w:pPr>
          </w:p>
        </w:tc>
        <w:tc>
          <w:tcPr>
            <w:tcW w:w="1223" w:type="dxa"/>
            <w:vMerge w:val="continue"/>
            <w:vAlign w:val="center"/>
          </w:tcPr>
          <w:p w14:paraId="3AA85D7B">
            <w:pPr>
              <w:tabs>
                <w:tab w:val="left" w:pos="284"/>
              </w:tabs>
              <w:jc w:val="center"/>
              <w:rPr>
                <w:rFonts w:ascii="宋体" w:hAnsi="宋体" w:eastAsia="宋体" w:cs="宋体"/>
                <w:color w:val="auto"/>
                <w:szCs w:val="21"/>
                <w:highlight w:val="none"/>
              </w:rPr>
            </w:pPr>
          </w:p>
        </w:tc>
      </w:tr>
      <w:tr w14:paraId="6CD8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atLeast"/>
          <w:jc w:val="center"/>
        </w:trPr>
        <w:tc>
          <w:tcPr>
            <w:tcW w:w="1348" w:type="dxa"/>
            <w:vMerge w:val="continue"/>
            <w:vAlign w:val="center"/>
          </w:tcPr>
          <w:p w14:paraId="18221F17">
            <w:pPr>
              <w:tabs>
                <w:tab w:val="left" w:pos="284"/>
              </w:tabs>
              <w:jc w:val="center"/>
              <w:rPr>
                <w:rFonts w:ascii="宋体" w:hAnsi="宋体" w:eastAsia="宋体" w:cs="宋体"/>
                <w:color w:val="auto"/>
                <w:szCs w:val="21"/>
                <w:highlight w:val="none"/>
              </w:rPr>
            </w:pPr>
          </w:p>
        </w:tc>
        <w:tc>
          <w:tcPr>
            <w:tcW w:w="1742" w:type="dxa"/>
            <w:tcBorders>
              <w:top w:val="single" w:color="auto" w:sz="2" w:space="0"/>
            </w:tcBorders>
            <w:vAlign w:val="center"/>
          </w:tcPr>
          <w:p w14:paraId="6D4450B3">
            <w:pPr>
              <w:tabs>
                <w:tab w:val="left" w:pos="284"/>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杂物架</w:t>
            </w:r>
          </w:p>
        </w:tc>
        <w:tc>
          <w:tcPr>
            <w:tcW w:w="1765" w:type="dxa"/>
            <w:tcBorders>
              <w:top w:val="single" w:color="auto" w:sz="2" w:space="0"/>
            </w:tcBorders>
            <w:vAlign w:val="center"/>
          </w:tcPr>
          <w:p w14:paraId="6E4F3796">
            <w:pPr>
              <w:tabs>
                <w:tab w:val="left" w:pos="284"/>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1个</w:t>
            </w:r>
          </w:p>
        </w:tc>
        <w:tc>
          <w:tcPr>
            <w:tcW w:w="928" w:type="dxa"/>
            <w:vMerge w:val="continue"/>
            <w:vAlign w:val="center"/>
          </w:tcPr>
          <w:p w14:paraId="3268B8EB">
            <w:pPr>
              <w:tabs>
                <w:tab w:val="left" w:pos="284"/>
              </w:tabs>
              <w:jc w:val="center"/>
              <w:rPr>
                <w:rFonts w:ascii="宋体" w:hAnsi="宋体" w:eastAsia="宋体" w:cs="宋体"/>
                <w:color w:val="auto"/>
                <w:szCs w:val="21"/>
                <w:highlight w:val="none"/>
              </w:rPr>
            </w:pPr>
          </w:p>
        </w:tc>
        <w:tc>
          <w:tcPr>
            <w:tcW w:w="1357" w:type="dxa"/>
            <w:vMerge w:val="continue"/>
            <w:vAlign w:val="center"/>
          </w:tcPr>
          <w:p w14:paraId="535624C4">
            <w:pPr>
              <w:tabs>
                <w:tab w:val="left" w:pos="284"/>
              </w:tabs>
              <w:jc w:val="center"/>
              <w:rPr>
                <w:rFonts w:ascii="宋体" w:hAnsi="宋体" w:eastAsia="宋体" w:cs="宋体"/>
                <w:color w:val="auto"/>
                <w:szCs w:val="21"/>
                <w:highlight w:val="none"/>
              </w:rPr>
            </w:pPr>
          </w:p>
        </w:tc>
        <w:tc>
          <w:tcPr>
            <w:tcW w:w="1223" w:type="dxa"/>
            <w:vMerge w:val="continue"/>
            <w:vAlign w:val="center"/>
          </w:tcPr>
          <w:p w14:paraId="34AECAA8">
            <w:pPr>
              <w:tabs>
                <w:tab w:val="left" w:pos="284"/>
              </w:tabs>
              <w:jc w:val="center"/>
              <w:rPr>
                <w:rFonts w:ascii="宋体" w:hAnsi="宋体" w:eastAsia="宋体" w:cs="宋体"/>
                <w:color w:val="auto"/>
                <w:szCs w:val="21"/>
                <w:highlight w:val="none"/>
              </w:rPr>
            </w:pPr>
          </w:p>
        </w:tc>
      </w:tr>
      <w:tr w14:paraId="0012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 w:hRule="atLeast"/>
          <w:jc w:val="center"/>
        </w:trPr>
        <w:tc>
          <w:tcPr>
            <w:tcW w:w="1348" w:type="dxa"/>
            <w:vMerge w:val="continue"/>
            <w:vAlign w:val="center"/>
          </w:tcPr>
          <w:p w14:paraId="5DD99017">
            <w:pPr>
              <w:tabs>
                <w:tab w:val="left" w:pos="284"/>
              </w:tabs>
              <w:jc w:val="center"/>
              <w:rPr>
                <w:rFonts w:ascii="宋体" w:hAnsi="宋体" w:eastAsia="宋体" w:cs="宋体"/>
                <w:color w:val="auto"/>
                <w:szCs w:val="21"/>
                <w:highlight w:val="none"/>
              </w:rPr>
            </w:pPr>
          </w:p>
        </w:tc>
        <w:tc>
          <w:tcPr>
            <w:tcW w:w="1742" w:type="dxa"/>
            <w:tcBorders>
              <w:top w:val="single" w:color="auto" w:sz="2" w:space="0"/>
            </w:tcBorders>
            <w:vAlign w:val="center"/>
          </w:tcPr>
          <w:p w14:paraId="21E8075C">
            <w:pPr>
              <w:tabs>
                <w:tab w:val="left" w:pos="284"/>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引流挂勾</w:t>
            </w:r>
          </w:p>
        </w:tc>
        <w:tc>
          <w:tcPr>
            <w:tcW w:w="1765" w:type="dxa"/>
            <w:tcBorders>
              <w:top w:val="single" w:color="auto" w:sz="2" w:space="0"/>
            </w:tcBorders>
            <w:vAlign w:val="center"/>
          </w:tcPr>
          <w:p w14:paraId="28F01FB0">
            <w:pPr>
              <w:tabs>
                <w:tab w:val="left" w:pos="284"/>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4个</w:t>
            </w:r>
          </w:p>
        </w:tc>
        <w:tc>
          <w:tcPr>
            <w:tcW w:w="928" w:type="dxa"/>
            <w:vMerge w:val="continue"/>
            <w:vAlign w:val="center"/>
          </w:tcPr>
          <w:p w14:paraId="7CEAA769">
            <w:pPr>
              <w:tabs>
                <w:tab w:val="left" w:pos="284"/>
              </w:tabs>
              <w:jc w:val="center"/>
              <w:rPr>
                <w:rFonts w:ascii="宋体" w:hAnsi="宋体" w:eastAsia="宋体" w:cs="宋体"/>
                <w:color w:val="auto"/>
                <w:szCs w:val="21"/>
                <w:highlight w:val="none"/>
              </w:rPr>
            </w:pPr>
          </w:p>
        </w:tc>
        <w:tc>
          <w:tcPr>
            <w:tcW w:w="1357" w:type="dxa"/>
            <w:vMerge w:val="continue"/>
            <w:vAlign w:val="center"/>
          </w:tcPr>
          <w:p w14:paraId="4FD3A2A4">
            <w:pPr>
              <w:tabs>
                <w:tab w:val="left" w:pos="284"/>
              </w:tabs>
              <w:jc w:val="center"/>
              <w:rPr>
                <w:rFonts w:ascii="宋体" w:hAnsi="宋体" w:eastAsia="宋体" w:cs="宋体"/>
                <w:color w:val="auto"/>
                <w:szCs w:val="21"/>
                <w:highlight w:val="none"/>
              </w:rPr>
            </w:pPr>
          </w:p>
        </w:tc>
        <w:tc>
          <w:tcPr>
            <w:tcW w:w="1223" w:type="dxa"/>
            <w:vMerge w:val="continue"/>
            <w:vAlign w:val="center"/>
          </w:tcPr>
          <w:p w14:paraId="2C381E5E">
            <w:pPr>
              <w:tabs>
                <w:tab w:val="left" w:pos="284"/>
              </w:tabs>
              <w:jc w:val="center"/>
              <w:rPr>
                <w:rFonts w:ascii="宋体" w:hAnsi="宋体" w:eastAsia="宋体" w:cs="宋体"/>
                <w:color w:val="auto"/>
                <w:szCs w:val="21"/>
                <w:highlight w:val="none"/>
              </w:rPr>
            </w:pPr>
          </w:p>
        </w:tc>
      </w:tr>
      <w:tr w14:paraId="4415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 w:hRule="atLeast"/>
          <w:jc w:val="center"/>
        </w:trPr>
        <w:tc>
          <w:tcPr>
            <w:tcW w:w="1348" w:type="dxa"/>
            <w:vMerge w:val="continue"/>
            <w:vAlign w:val="center"/>
          </w:tcPr>
          <w:p w14:paraId="659D7A21">
            <w:pPr>
              <w:tabs>
                <w:tab w:val="left" w:pos="284"/>
              </w:tabs>
              <w:jc w:val="center"/>
              <w:rPr>
                <w:rFonts w:ascii="宋体" w:hAnsi="宋体" w:eastAsia="宋体" w:cs="宋体"/>
                <w:color w:val="auto"/>
                <w:szCs w:val="21"/>
                <w:highlight w:val="none"/>
              </w:rPr>
            </w:pPr>
          </w:p>
        </w:tc>
        <w:tc>
          <w:tcPr>
            <w:tcW w:w="1742" w:type="dxa"/>
            <w:tcBorders>
              <w:top w:val="single" w:color="auto" w:sz="2" w:space="0"/>
            </w:tcBorders>
            <w:vAlign w:val="center"/>
          </w:tcPr>
          <w:p w14:paraId="3048024F">
            <w:pPr>
              <w:tabs>
                <w:tab w:val="left" w:pos="284"/>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床头卡</w:t>
            </w:r>
          </w:p>
        </w:tc>
        <w:tc>
          <w:tcPr>
            <w:tcW w:w="1765" w:type="dxa"/>
            <w:tcBorders>
              <w:top w:val="single" w:color="auto" w:sz="2" w:space="0"/>
            </w:tcBorders>
            <w:vAlign w:val="center"/>
          </w:tcPr>
          <w:p w14:paraId="7C46E37B">
            <w:pPr>
              <w:tabs>
                <w:tab w:val="left" w:pos="284"/>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1个</w:t>
            </w:r>
          </w:p>
        </w:tc>
        <w:tc>
          <w:tcPr>
            <w:tcW w:w="928" w:type="dxa"/>
            <w:vMerge w:val="continue"/>
            <w:vAlign w:val="center"/>
          </w:tcPr>
          <w:p w14:paraId="1A432674">
            <w:pPr>
              <w:tabs>
                <w:tab w:val="left" w:pos="284"/>
              </w:tabs>
              <w:jc w:val="center"/>
              <w:rPr>
                <w:rFonts w:ascii="宋体" w:hAnsi="宋体" w:eastAsia="宋体" w:cs="宋体"/>
                <w:color w:val="auto"/>
                <w:szCs w:val="21"/>
                <w:highlight w:val="none"/>
              </w:rPr>
            </w:pPr>
          </w:p>
        </w:tc>
        <w:tc>
          <w:tcPr>
            <w:tcW w:w="1357" w:type="dxa"/>
            <w:vMerge w:val="continue"/>
            <w:vAlign w:val="center"/>
          </w:tcPr>
          <w:p w14:paraId="6478105A">
            <w:pPr>
              <w:tabs>
                <w:tab w:val="left" w:pos="284"/>
              </w:tabs>
              <w:jc w:val="center"/>
              <w:rPr>
                <w:rFonts w:ascii="宋体" w:hAnsi="宋体" w:eastAsia="宋体" w:cs="宋体"/>
                <w:color w:val="auto"/>
                <w:szCs w:val="21"/>
                <w:highlight w:val="none"/>
              </w:rPr>
            </w:pPr>
          </w:p>
        </w:tc>
        <w:tc>
          <w:tcPr>
            <w:tcW w:w="1223" w:type="dxa"/>
            <w:vMerge w:val="continue"/>
            <w:vAlign w:val="center"/>
          </w:tcPr>
          <w:p w14:paraId="66AD7A2B">
            <w:pPr>
              <w:tabs>
                <w:tab w:val="left" w:pos="284"/>
              </w:tabs>
              <w:jc w:val="center"/>
              <w:rPr>
                <w:rFonts w:ascii="宋体" w:hAnsi="宋体" w:eastAsia="宋体" w:cs="宋体"/>
                <w:color w:val="auto"/>
                <w:szCs w:val="21"/>
                <w:highlight w:val="none"/>
              </w:rPr>
            </w:pPr>
          </w:p>
        </w:tc>
      </w:tr>
      <w:tr w14:paraId="3E13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jc w:val="center"/>
        </w:trPr>
        <w:tc>
          <w:tcPr>
            <w:tcW w:w="1348" w:type="dxa"/>
            <w:vMerge w:val="continue"/>
            <w:vAlign w:val="center"/>
          </w:tcPr>
          <w:p w14:paraId="49FD09D8">
            <w:pPr>
              <w:tabs>
                <w:tab w:val="left" w:pos="284"/>
              </w:tabs>
              <w:jc w:val="center"/>
              <w:rPr>
                <w:rFonts w:ascii="宋体" w:hAnsi="宋体" w:eastAsia="宋体" w:cs="宋体"/>
                <w:color w:val="auto"/>
                <w:szCs w:val="21"/>
                <w:highlight w:val="none"/>
              </w:rPr>
            </w:pPr>
          </w:p>
        </w:tc>
        <w:tc>
          <w:tcPr>
            <w:tcW w:w="1742" w:type="dxa"/>
            <w:tcBorders>
              <w:top w:val="single" w:color="auto" w:sz="2" w:space="0"/>
              <w:bottom w:val="single" w:color="auto" w:sz="2" w:space="0"/>
            </w:tcBorders>
            <w:vAlign w:val="center"/>
          </w:tcPr>
          <w:p w14:paraId="47B399A1">
            <w:pPr>
              <w:tabs>
                <w:tab w:val="left" w:pos="284"/>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蚊帐架</w:t>
            </w:r>
          </w:p>
        </w:tc>
        <w:tc>
          <w:tcPr>
            <w:tcW w:w="1765" w:type="dxa"/>
            <w:tcBorders>
              <w:top w:val="single" w:color="auto" w:sz="2" w:space="0"/>
              <w:bottom w:val="single" w:color="auto" w:sz="2" w:space="0"/>
            </w:tcBorders>
            <w:vAlign w:val="center"/>
          </w:tcPr>
          <w:p w14:paraId="4C61047D">
            <w:pPr>
              <w:tabs>
                <w:tab w:val="left" w:pos="284"/>
              </w:tabs>
              <w:jc w:val="center"/>
              <w:rPr>
                <w:rFonts w:ascii="宋体" w:hAnsi="宋体" w:eastAsia="宋体" w:cs="宋体"/>
                <w:color w:val="auto"/>
                <w:szCs w:val="21"/>
                <w:highlight w:val="none"/>
              </w:rPr>
            </w:pPr>
            <w:r>
              <w:rPr>
                <w:rFonts w:hint="eastAsia" w:ascii="宋体" w:hAnsi="宋体" w:eastAsia="宋体" w:cs="宋体"/>
                <w:color w:val="auto"/>
                <w:szCs w:val="21"/>
                <w:highlight w:val="none"/>
              </w:rPr>
              <w:t>1套（4个支杆）</w:t>
            </w:r>
          </w:p>
        </w:tc>
        <w:tc>
          <w:tcPr>
            <w:tcW w:w="928" w:type="dxa"/>
            <w:vMerge w:val="continue"/>
            <w:vAlign w:val="center"/>
          </w:tcPr>
          <w:p w14:paraId="0274462B">
            <w:pPr>
              <w:tabs>
                <w:tab w:val="left" w:pos="284"/>
              </w:tabs>
              <w:jc w:val="center"/>
              <w:rPr>
                <w:rFonts w:ascii="宋体" w:hAnsi="宋体" w:eastAsia="宋体" w:cs="宋体"/>
                <w:color w:val="auto"/>
                <w:szCs w:val="21"/>
                <w:highlight w:val="none"/>
              </w:rPr>
            </w:pPr>
          </w:p>
        </w:tc>
        <w:tc>
          <w:tcPr>
            <w:tcW w:w="1357" w:type="dxa"/>
            <w:vMerge w:val="continue"/>
            <w:vAlign w:val="center"/>
          </w:tcPr>
          <w:p w14:paraId="2F2CDDF9">
            <w:pPr>
              <w:tabs>
                <w:tab w:val="left" w:pos="284"/>
              </w:tabs>
              <w:jc w:val="center"/>
              <w:rPr>
                <w:rFonts w:ascii="宋体" w:hAnsi="宋体" w:eastAsia="宋体" w:cs="宋体"/>
                <w:color w:val="auto"/>
                <w:szCs w:val="21"/>
                <w:highlight w:val="none"/>
              </w:rPr>
            </w:pPr>
          </w:p>
        </w:tc>
        <w:tc>
          <w:tcPr>
            <w:tcW w:w="1223" w:type="dxa"/>
            <w:vMerge w:val="continue"/>
            <w:vAlign w:val="center"/>
          </w:tcPr>
          <w:p w14:paraId="3D5E7133">
            <w:pPr>
              <w:tabs>
                <w:tab w:val="left" w:pos="284"/>
              </w:tabs>
              <w:jc w:val="center"/>
              <w:rPr>
                <w:rFonts w:ascii="宋体" w:hAnsi="宋体" w:eastAsia="宋体" w:cs="宋体"/>
                <w:color w:val="auto"/>
                <w:szCs w:val="21"/>
                <w:highlight w:val="none"/>
              </w:rPr>
            </w:pPr>
          </w:p>
        </w:tc>
      </w:tr>
      <w:tr w14:paraId="031E8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7" w:hRule="atLeast"/>
          <w:jc w:val="center"/>
        </w:trPr>
        <w:tc>
          <w:tcPr>
            <w:tcW w:w="1348" w:type="dxa"/>
            <w:vAlign w:val="center"/>
          </w:tcPr>
          <w:p w14:paraId="6391C274">
            <w:pPr>
              <w:tabs>
                <w:tab w:val="left" w:pos="284"/>
              </w:tabs>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床垫</w:t>
            </w:r>
          </w:p>
        </w:tc>
        <w:tc>
          <w:tcPr>
            <w:tcW w:w="1742" w:type="dxa"/>
            <w:tcBorders>
              <w:top w:val="single" w:color="auto" w:sz="2" w:space="0"/>
              <w:bottom w:val="single" w:color="auto" w:sz="2" w:space="0"/>
            </w:tcBorders>
            <w:shd w:val="clear" w:color="auto" w:fill="auto"/>
            <w:vAlign w:val="center"/>
          </w:tcPr>
          <w:p w14:paraId="489EFD6B">
            <w:pPr>
              <w:tabs>
                <w:tab w:val="left" w:pos="284"/>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配套床垫</w:t>
            </w:r>
          </w:p>
        </w:tc>
        <w:tc>
          <w:tcPr>
            <w:tcW w:w="1765" w:type="dxa"/>
            <w:tcBorders>
              <w:top w:val="single" w:color="auto" w:sz="2" w:space="0"/>
              <w:bottom w:val="single" w:color="auto" w:sz="2" w:space="0"/>
            </w:tcBorders>
            <w:vAlign w:val="center"/>
          </w:tcPr>
          <w:p w14:paraId="00CA6803">
            <w:pPr>
              <w:tabs>
                <w:tab w:val="left" w:pos="284"/>
              </w:tabs>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1张</w:t>
            </w:r>
          </w:p>
        </w:tc>
        <w:tc>
          <w:tcPr>
            <w:tcW w:w="928" w:type="dxa"/>
            <w:vAlign w:val="center"/>
          </w:tcPr>
          <w:p w14:paraId="25C352F2">
            <w:pPr>
              <w:tabs>
                <w:tab w:val="left" w:pos="284"/>
              </w:tabs>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14张</w:t>
            </w:r>
          </w:p>
        </w:tc>
        <w:tc>
          <w:tcPr>
            <w:tcW w:w="1357" w:type="dxa"/>
            <w:vAlign w:val="center"/>
          </w:tcPr>
          <w:p w14:paraId="1DF05B94">
            <w:pPr>
              <w:pStyle w:val="11"/>
              <w:spacing w:before="0" w:after="0" w:line="360" w:lineRule="auto"/>
              <w:rPr>
                <w:rFonts w:ascii="宋体" w:hAnsi="宋体" w:eastAsia="宋体" w:cs="宋体"/>
                <w:snapToGrid/>
                <w:color w:val="auto"/>
                <w:spacing w:val="0"/>
                <w:sz w:val="21"/>
                <w:szCs w:val="21"/>
                <w:highlight w:val="none"/>
              </w:rPr>
            </w:pPr>
            <w:r>
              <w:rPr>
                <w:rFonts w:hint="eastAsia" w:ascii="宋体" w:hAnsi="宋体" w:eastAsia="宋体" w:cs="宋体"/>
                <w:snapToGrid/>
                <w:color w:val="auto"/>
                <w:spacing w:val="0"/>
                <w:sz w:val="21"/>
                <w:szCs w:val="21"/>
                <w:highlight w:val="none"/>
              </w:rPr>
              <w:t>人民币</w:t>
            </w:r>
          </w:p>
          <w:p w14:paraId="150669AE">
            <w:pPr>
              <w:tabs>
                <w:tab w:val="left" w:pos="284"/>
              </w:tabs>
              <w:jc w:val="center"/>
              <w:rPr>
                <w:rFonts w:ascii="宋体" w:hAnsi="宋体" w:eastAsia="宋体" w:cs="宋体"/>
                <w:color w:val="auto"/>
                <w:szCs w:val="21"/>
                <w:highlight w:val="none"/>
              </w:rPr>
            </w:pPr>
            <w:r>
              <w:rPr>
                <w:rFonts w:hint="eastAsia" w:ascii="宋体" w:hAnsi="宋体" w:eastAsia="宋体" w:cs="宋体"/>
                <w:snapToGrid/>
                <w:color w:val="auto"/>
                <w:spacing w:val="0"/>
                <w:sz w:val="21"/>
                <w:szCs w:val="21"/>
                <w:highlight w:val="none"/>
                <w:lang w:val="en-US" w:eastAsia="zh-CN"/>
              </w:rPr>
              <w:t>/</w:t>
            </w:r>
            <w:r>
              <w:rPr>
                <w:rFonts w:hint="eastAsia" w:ascii="宋体" w:hAnsi="宋体" w:eastAsia="宋体" w:cs="宋体"/>
                <w:snapToGrid/>
                <w:color w:val="auto"/>
                <w:spacing w:val="0"/>
                <w:sz w:val="21"/>
                <w:szCs w:val="21"/>
                <w:highlight w:val="none"/>
              </w:rPr>
              <w:t>万元</w:t>
            </w:r>
          </w:p>
        </w:tc>
        <w:tc>
          <w:tcPr>
            <w:tcW w:w="1223" w:type="dxa"/>
            <w:vAlign w:val="center"/>
          </w:tcPr>
          <w:p w14:paraId="2A262EF1">
            <w:pPr>
              <w:tabs>
                <w:tab w:val="left" w:pos="284"/>
              </w:tabs>
              <w:jc w:val="center"/>
              <w:rPr>
                <w:rFonts w:ascii="宋体" w:hAnsi="宋体" w:eastAsia="宋体" w:cs="宋体"/>
                <w:color w:val="auto"/>
                <w:szCs w:val="21"/>
                <w:highlight w:val="none"/>
              </w:rPr>
            </w:pPr>
            <w:r>
              <w:rPr>
                <w:rFonts w:hint="eastAsia" w:ascii="宋体" w:hAnsi="宋体" w:eastAsia="宋体" w:cs="宋体"/>
                <w:snapToGrid/>
                <w:color w:val="auto"/>
                <w:spacing w:val="0"/>
                <w:sz w:val="21"/>
                <w:szCs w:val="21"/>
                <w:highlight w:val="none"/>
                <w:lang w:eastAsia="zh-CN"/>
              </w:rPr>
              <w:t>否</w:t>
            </w:r>
          </w:p>
        </w:tc>
      </w:tr>
      <w:tr w14:paraId="4624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6" w:hRule="atLeast"/>
          <w:jc w:val="center"/>
        </w:trPr>
        <w:tc>
          <w:tcPr>
            <w:tcW w:w="1348" w:type="dxa"/>
            <w:vAlign w:val="center"/>
          </w:tcPr>
          <w:p w14:paraId="4D13815F">
            <w:pPr>
              <w:tabs>
                <w:tab w:val="left" w:pos="284"/>
              </w:tabs>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床头柜</w:t>
            </w:r>
          </w:p>
        </w:tc>
        <w:tc>
          <w:tcPr>
            <w:tcW w:w="1742" w:type="dxa"/>
            <w:tcBorders>
              <w:top w:val="single" w:color="auto" w:sz="2" w:space="0"/>
              <w:bottom w:val="single" w:color="auto" w:sz="2" w:space="0"/>
            </w:tcBorders>
            <w:shd w:val="clear" w:color="auto" w:fill="auto"/>
            <w:vAlign w:val="center"/>
          </w:tcPr>
          <w:p w14:paraId="592A2465">
            <w:pPr>
              <w:tabs>
                <w:tab w:val="left" w:pos="284"/>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钢塑床头柜</w:t>
            </w:r>
          </w:p>
        </w:tc>
        <w:tc>
          <w:tcPr>
            <w:tcW w:w="1765" w:type="dxa"/>
            <w:tcBorders>
              <w:top w:val="single" w:color="auto" w:sz="2" w:space="0"/>
              <w:bottom w:val="single" w:color="auto" w:sz="2" w:space="0"/>
            </w:tcBorders>
            <w:vAlign w:val="center"/>
          </w:tcPr>
          <w:p w14:paraId="53FDE6CF">
            <w:pPr>
              <w:tabs>
                <w:tab w:val="left" w:pos="284"/>
              </w:tabs>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1个</w:t>
            </w:r>
          </w:p>
        </w:tc>
        <w:tc>
          <w:tcPr>
            <w:tcW w:w="928" w:type="dxa"/>
            <w:vAlign w:val="center"/>
          </w:tcPr>
          <w:p w14:paraId="75BCD773">
            <w:pPr>
              <w:tabs>
                <w:tab w:val="left" w:pos="284"/>
              </w:tabs>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12个</w:t>
            </w:r>
          </w:p>
        </w:tc>
        <w:tc>
          <w:tcPr>
            <w:tcW w:w="1357" w:type="dxa"/>
            <w:vAlign w:val="center"/>
          </w:tcPr>
          <w:p w14:paraId="58A0F2E7">
            <w:pPr>
              <w:pStyle w:val="11"/>
              <w:spacing w:before="0" w:after="0" w:line="360" w:lineRule="auto"/>
              <w:rPr>
                <w:rFonts w:ascii="宋体" w:hAnsi="宋体" w:eastAsia="宋体" w:cs="宋体"/>
                <w:snapToGrid/>
                <w:color w:val="auto"/>
                <w:spacing w:val="0"/>
                <w:sz w:val="21"/>
                <w:szCs w:val="21"/>
                <w:highlight w:val="none"/>
              </w:rPr>
            </w:pPr>
            <w:r>
              <w:rPr>
                <w:rFonts w:hint="eastAsia" w:ascii="宋体" w:hAnsi="宋体" w:eastAsia="宋体" w:cs="宋体"/>
                <w:snapToGrid/>
                <w:color w:val="auto"/>
                <w:spacing w:val="0"/>
                <w:sz w:val="21"/>
                <w:szCs w:val="21"/>
                <w:highlight w:val="none"/>
              </w:rPr>
              <w:t>人民币</w:t>
            </w:r>
          </w:p>
          <w:p w14:paraId="60882BFA">
            <w:pPr>
              <w:tabs>
                <w:tab w:val="left" w:pos="284"/>
              </w:tabs>
              <w:jc w:val="center"/>
              <w:rPr>
                <w:rFonts w:ascii="宋体" w:hAnsi="宋体" w:eastAsia="宋体" w:cs="宋体"/>
                <w:color w:val="auto"/>
                <w:szCs w:val="21"/>
                <w:highlight w:val="none"/>
              </w:rPr>
            </w:pPr>
            <w:r>
              <w:rPr>
                <w:rFonts w:hint="eastAsia" w:ascii="宋体" w:hAnsi="宋体" w:eastAsia="宋体" w:cs="宋体"/>
                <w:snapToGrid/>
                <w:color w:val="auto"/>
                <w:spacing w:val="0"/>
                <w:sz w:val="21"/>
                <w:szCs w:val="21"/>
                <w:highlight w:val="none"/>
                <w:lang w:val="en-US" w:eastAsia="zh-CN"/>
              </w:rPr>
              <w:t>/</w:t>
            </w:r>
            <w:r>
              <w:rPr>
                <w:rFonts w:hint="eastAsia" w:ascii="宋体" w:hAnsi="宋体" w:eastAsia="宋体" w:cs="宋体"/>
                <w:snapToGrid/>
                <w:color w:val="auto"/>
                <w:spacing w:val="0"/>
                <w:sz w:val="21"/>
                <w:szCs w:val="21"/>
                <w:highlight w:val="none"/>
              </w:rPr>
              <w:t>万元</w:t>
            </w:r>
          </w:p>
        </w:tc>
        <w:tc>
          <w:tcPr>
            <w:tcW w:w="1223" w:type="dxa"/>
            <w:vAlign w:val="center"/>
          </w:tcPr>
          <w:p w14:paraId="720DEED0">
            <w:pPr>
              <w:tabs>
                <w:tab w:val="left" w:pos="284"/>
              </w:tabs>
              <w:jc w:val="center"/>
              <w:rPr>
                <w:rFonts w:ascii="宋体" w:hAnsi="宋体" w:eastAsia="宋体" w:cs="宋体"/>
                <w:color w:val="auto"/>
                <w:szCs w:val="21"/>
                <w:highlight w:val="none"/>
              </w:rPr>
            </w:pPr>
            <w:r>
              <w:rPr>
                <w:rFonts w:hint="eastAsia" w:ascii="宋体" w:hAnsi="宋体" w:eastAsia="宋体" w:cs="宋体"/>
                <w:snapToGrid/>
                <w:color w:val="auto"/>
                <w:spacing w:val="0"/>
                <w:sz w:val="21"/>
                <w:szCs w:val="21"/>
                <w:highlight w:val="none"/>
                <w:lang w:eastAsia="zh-CN"/>
              </w:rPr>
              <w:t>否</w:t>
            </w:r>
          </w:p>
        </w:tc>
      </w:tr>
      <w:tr w14:paraId="587A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2" w:hRule="atLeast"/>
          <w:jc w:val="center"/>
        </w:trPr>
        <w:tc>
          <w:tcPr>
            <w:tcW w:w="1348" w:type="dxa"/>
            <w:vAlign w:val="center"/>
          </w:tcPr>
          <w:p w14:paraId="69D28D6B">
            <w:pPr>
              <w:tabs>
                <w:tab w:val="left" w:pos="284"/>
              </w:tabs>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移动输液架</w:t>
            </w:r>
          </w:p>
        </w:tc>
        <w:tc>
          <w:tcPr>
            <w:tcW w:w="1742" w:type="dxa"/>
            <w:tcBorders>
              <w:top w:val="single" w:color="auto" w:sz="2" w:space="0"/>
            </w:tcBorders>
            <w:shd w:val="clear" w:color="auto" w:fill="auto"/>
            <w:vAlign w:val="center"/>
          </w:tcPr>
          <w:p w14:paraId="5117ABF8">
            <w:pPr>
              <w:tabs>
                <w:tab w:val="left" w:pos="284"/>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移动输液架</w:t>
            </w:r>
          </w:p>
        </w:tc>
        <w:tc>
          <w:tcPr>
            <w:tcW w:w="1765" w:type="dxa"/>
            <w:tcBorders>
              <w:top w:val="single" w:color="auto" w:sz="2" w:space="0"/>
            </w:tcBorders>
            <w:vAlign w:val="center"/>
          </w:tcPr>
          <w:p w14:paraId="13449951">
            <w:pPr>
              <w:tabs>
                <w:tab w:val="left" w:pos="284"/>
              </w:tabs>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1个</w:t>
            </w:r>
          </w:p>
        </w:tc>
        <w:tc>
          <w:tcPr>
            <w:tcW w:w="928" w:type="dxa"/>
            <w:vAlign w:val="center"/>
          </w:tcPr>
          <w:p w14:paraId="7F505DD6">
            <w:pPr>
              <w:tabs>
                <w:tab w:val="left" w:pos="284"/>
              </w:tabs>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30个</w:t>
            </w:r>
          </w:p>
        </w:tc>
        <w:tc>
          <w:tcPr>
            <w:tcW w:w="1357" w:type="dxa"/>
            <w:vAlign w:val="center"/>
          </w:tcPr>
          <w:p w14:paraId="74CA9105">
            <w:pPr>
              <w:pStyle w:val="11"/>
              <w:spacing w:before="0" w:after="0" w:line="360" w:lineRule="auto"/>
              <w:rPr>
                <w:rFonts w:ascii="宋体" w:hAnsi="宋体" w:eastAsia="宋体" w:cs="宋体"/>
                <w:snapToGrid/>
                <w:color w:val="auto"/>
                <w:spacing w:val="0"/>
                <w:sz w:val="21"/>
                <w:szCs w:val="21"/>
                <w:highlight w:val="none"/>
              </w:rPr>
            </w:pPr>
            <w:r>
              <w:rPr>
                <w:rFonts w:hint="eastAsia" w:ascii="宋体" w:hAnsi="宋体" w:eastAsia="宋体" w:cs="宋体"/>
                <w:snapToGrid/>
                <w:color w:val="auto"/>
                <w:spacing w:val="0"/>
                <w:sz w:val="21"/>
                <w:szCs w:val="21"/>
                <w:highlight w:val="none"/>
              </w:rPr>
              <w:t>人民币</w:t>
            </w:r>
          </w:p>
          <w:p w14:paraId="7FDE5891">
            <w:pPr>
              <w:tabs>
                <w:tab w:val="left" w:pos="284"/>
              </w:tabs>
              <w:jc w:val="center"/>
              <w:rPr>
                <w:rFonts w:ascii="宋体" w:hAnsi="宋体" w:eastAsia="宋体" w:cs="宋体"/>
                <w:color w:val="auto"/>
                <w:szCs w:val="21"/>
                <w:highlight w:val="none"/>
              </w:rPr>
            </w:pPr>
            <w:r>
              <w:rPr>
                <w:rFonts w:hint="eastAsia" w:ascii="宋体" w:hAnsi="宋体" w:eastAsia="宋体" w:cs="宋体"/>
                <w:snapToGrid/>
                <w:color w:val="auto"/>
                <w:spacing w:val="0"/>
                <w:sz w:val="21"/>
                <w:szCs w:val="21"/>
                <w:highlight w:val="none"/>
                <w:lang w:val="en-US" w:eastAsia="zh-CN"/>
              </w:rPr>
              <w:t>/</w:t>
            </w:r>
            <w:r>
              <w:rPr>
                <w:rFonts w:hint="eastAsia" w:ascii="宋体" w:hAnsi="宋体" w:eastAsia="宋体" w:cs="宋体"/>
                <w:snapToGrid/>
                <w:color w:val="auto"/>
                <w:spacing w:val="0"/>
                <w:sz w:val="21"/>
                <w:szCs w:val="21"/>
                <w:highlight w:val="none"/>
              </w:rPr>
              <w:t>万元</w:t>
            </w:r>
          </w:p>
        </w:tc>
        <w:tc>
          <w:tcPr>
            <w:tcW w:w="1223" w:type="dxa"/>
            <w:vAlign w:val="center"/>
          </w:tcPr>
          <w:p w14:paraId="0EAAB18F">
            <w:pPr>
              <w:tabs>
                <w:tab w:val="left" w:pos="284"/>
              </w:tabs>
              <w:jc w:val="center"/>
              <w:rPr>
                <w:rFonts w:ascii="宋体" w:hAnsi="宋体" w:eastAsia="宋体" w:cs="宋体"/>
                <w:color w:val="auto"/>
                <w:szCs w:val="21"/>
                <w:highlight w:val="none"/>
              </w:rPr>
            </w:pPr>
            <w:r>
              <w:rPr>
                <w:rFonts w:hint="eastAsia" w:ascii="宋体" w:hAnsi="宋体" w:eastAsia="宋体" w:cs="宋体"/>
                <w:snapToGrid/>
                <w:color w:val="auto"/>
                <w:spacing w:val="0"/>
                <w:sz w:val="21"/>
                <w:szCs w:val="21"/>
                <w:highlight w:val="none"/>
                <w:lang w:eastAsia="zh-CN"/>
              </w:rPr>
              <w:t>否</w:t>
            </w:r>
          </w:p>
        </w:tc>
      </w:tr>
    </w:tbl>
    <w:p w14:paraId="54A1A476">
      <w:pPr>
        <w:tabs>
          <w:tab w:val="left" w:pos="0"/>
        </w:tabs>
        <w:rPr>
          <w:rFonts w:ascii="宋体" w:hAnsi="宋体" w:eastAsia="宋体" w:cs="宋体"/>
          <w:color w:val="auto"/>
          <w:szCs w:val="21"/>
          <w:highlight w:val="none"/>
        </w:rPr>
      </w:pPr>
      <w:r>
        <w:rPr>
          <w:rFonts w:hint="eastAsia" w:ascii="宋体" w:hAnsi="宋体" w:eastAsia="宋体" w:cs="宋体"/>
          <w:b/>
          <w:bCs/>
          <w:color w:val="auto"/>
          <w:szCs w:val="21"/>
          <w:highlight w:val="none"/>
        </w:rPr>
        <w:t>1、病床规格（mm）：</w:t>
      </w:r>
      <w:r>
        <w:rPr>
          <w:rFonts w:hint="eastAsia" w:ascii="宋体" w:hAnsi="宋体" w:eastAsia="宋体" w:cs="宋体"/>
          <w:color w:val="auto"/>
          <w:szCs w:val="21"/>
          <w:highlight w:val="none"/>
        </w:rPr>
        <w:t>≥2160*980*500。</w:t>
      </w:r>
    </w:p>
    <w:p w14:paraId="63726A11">
      <w:pPr>
        <w:pStyle w:val="12"/>
        <w:numPr>
          <w:ilvl w:val="0"/>
          <w:numId w:val="1"/>
        </w:numPr>
        <w:tabs>
          <w:tab w:val="left" w:pos="0"/>
        </w:tabs>
        <w:ind w:firstLineChars="0"/>
        <w:rPr>
          <w:rFonts w:ascii="宋体" w:hAnsi="宋体" w:eastAsia="宋体" w:cs="宋体"/>
          <w:color w:val="auto"/>
          <w:szCs w:val="21"/>
          <w:highlight w:val="none"/>
        </w:rPr>
      </w:pPr>
      <w:r>
        <w:rPr>
          <w:rFonts w:hint="eastAsia" w:ascii="宋体" w:hAnsi="宋体" w:eastAsia="宋体" w:cs="宋体"/>
          <w:b/>
          <w:bCs/>
          <w:color w:val="auto"/>
          <w:szCs w:val="21"/>
          <w:highlight w:val="none"/>
        </w:rPr>
        <w:t>调节高度：</w:t>
      </w:r>
      <w:r>
        <w:rPr>
          <w:rFonts w:hint="eastAsia" w:ascii="宋体" w:hAnsi="宋体" w:eastAsia="宋体" w:cs="宋体"/>
          <w:color w:val="auto"/>
          <w:szCs w:val="21"/>
          <w:highlight w:val="none"/>
        </w:rPr>
        <w:t>背部调节高度：0°～80°（允许偏差±5°），腿部调节高度：0°～40°（允许偏差±5°）。</w:t>
      </w:r>
    </w:p>
    <w:p w14:paraId="6FE39915">
      <w:pPr>
        <w:pStyle w:val="12"/>
        <w:numPr>
          <w:ilvl w:val="0"/>
          <w:numId w:val="1"/>
        </w:numPr>
        <w:tabs>
          <w:tab w:val="left" w:pos="0"/>
        </w:tabs>
        <w:ind w:firstLineChars="0"/>
        <w:rPr>
          <w:rFonts w:ascii="宋体" w:hAnsi="宋体" w:eastAsia="宋体" w:cs="宋体"/>
          <w:color w:val="auto"/>
          <w:szCs w:val="21"/>
          <w:highlight w:val="none"/>
        </w:rPr>
      </w:pPr>
      <w:r>
        <w:rPr>
          <w:rFonts w:hint="eastAsia" w:ascii="宋体" w:hAnsi="宋体" w:eastAsia="宋体" w:cs="宋体"/>
          <w:b/>
          <w:bCs/>
          <w:color w:val="auto"/>
          <w:szCs w:val="21"/>
          <w:highlight w:val="none"/>
        </w:rPr>
        <w:t>床体承重：</w:t>
      </w:r>
      <w:r>
        <w:rPr>
          <w:rFonts w:hint="eastAsia" w:ascii="宋体" w:hAnsi="宋体" w:eastAsia="宋体" w:cs="宋体"/>
          <w:color w:val="auto"/>
          <w:szCs w:val="21"/>
          <w:highlight w:val="none"/>
        </w:rPr>
        <w:t>可载重≥240kg；背板动态载重≥150kg。</w:t>
      </w:r>
    </w:p>
    <w:p w14:paraId="646DCD57">
      <w:pPr>
        <w:tabs>
          <w:tab w:val="left" w:pos="0"/>
          <w:tab w:val="left" w:pos="284"/>
        </w:tabs>
        <w:rPr>
          <w:rFonts w:ascii="宋体" w:hAnsi="宋体" w:eastAsia="宋体" w:cs="宋体"/>
          <w:color w:val="auto"/>
          <w:szCs w:val="21"/>
          <w:highlight w:val="none"/>
        </w:rPr>
      </w:pPr>
      <w:r>
        <w:rPr>
          <w:rFonts w:hint="eastAsia" w:ascii="宋体" w:hAnsi="宋体" w:eastAsia="宋体" w:cs="宋体"/>
          <w:b/>
          <w:bCs/>
          <w:color w:val="auto"/>
          <w:szCs w:val="21"/>
          <w:highlight w:val="none"/>
        </w:rPr>
        <w:t>4、病床床框</w:t>
      </w:r>
    </w:p>
    <w:p w14:paraId="07112818">
      <w:pPr>
        <w:tabs>
          <w:tab w:val="left" w:pos="284"/>
        </w:tabs>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采用30×60≥1.5mm</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投标文件</w:t>
      </w:r>
      <w:r>
        <w:rPr>
          <w:rFonts w:hint="eastAsia" w:ascii="宋体" w:hAnsi="宋体" w:eastAsia="宋体" w:cs="宋体"/>
          <w:b/>
          <w:bCs/>
          <w:color w:val="auto"/>
          <w:szCs w:val="21"/>
          <w:highlight w:val="none"/>
        </w:rPr>
        <w:t>中提供第三方检测机构出具床体方管材质检测证明复印件）</w:t>
      </w:r>
      <w:r>
        <w:rPr>
          <w:rFonts w:hint="eastAsia" w:ascii="宋体" w:hAnsi="宋体" w:eastAsia="宋体" w:cs="宋体"/>
          <w:color w:val="auto"/>
          <w:szCs w:val="21"/>
          <w:highlight w:val="none"/>
        </w:rPr>
        <w:t>矩型碳素钢管焊接。</w:t>
      </w:r>
    </w:p>
    <w:p w14:paraId="2E49FFD7">
      <w:pPr>
        <w:tabs>
          <w:tab w:val="left" w:pos="0"/>
          <w:tab w:val="left" w:pos="284"/>
        </w:tabs>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5、背部床板</w:t>
      </w:r>
    </w:p>
    <w:p w14:paraId="032047F0">
      <w:pPr>
        <w:numPr>
          <w:ilvl w:val="0"/>
          <w:numId w:val="0"/>
        </w:numPr>
        <w:tabs>
          <w:tab w:val="left" w:pos="284"/>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(4)</w:t>
      </w:r>
      <w:r>
        <w:rPr>
          <w:rFonts w:hint="eastAsia" w:ascii="宋体" w:hAnsi="宋体" w:eastAsia="宋体" w:cs="宋体"/>
          <w:color w:val="auto"/>
          <w:szCs w:val="21"/>
          <w:highlight w:val="none"/>
        </w:rPr>
        <w:t>采用双支撑卸力结构，835mm*Φ32mm*2.5mm无缝钢管。</w:t>
      </w:r>
    </w:p>
    <w:p w14:paraId="64774309">
      <w:pPr>
        <w:numPr>
          <w:ilvl w:val="0"/>
          <w:numId w:val="0"/>
        </w:numPr>
        <w:tabs>
          <w:tab w:val="left" w:pos="284"/>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(5)</w:t>
      </w:r>
      <w:r>
        <w:rPr>
          <w:rFonts w:hint="eastAsia" w:ascii="宋体" w:hAnsi="宋体" w:eastAsia="宋体" w:cs="宋体"/>
          <w:color w:val="auto"/>
          <w:szCs w:val="21"/>
          <w:highlight w:val="none"/>
        </w:rPr>
        <w:t>双支撑材料规格：240mm*51mm*2mm。</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投标文件</w:t>
      </w:r>
      <w:r>
        <w:rPr>
          <w:rFonts w:hint="eastAsia" w:ascii="宋体" w:hAnsi="宋体" w:eastAsia="宋体" w:cs="宋体"/>
          <w:b/>
          <w:bCs/>
          <w:color w:val="auto"/>
          <w:szCs w:val="21"/>
          <w:highlight w:val="none"/>
        </w:rPr>
        <w:t>中提供第三方检测机构出具护理床动力臂检测证明复印件）</w:t>
      </w:r>
    </w:p>
    <w:p w14:paraId="108774AE">
      <w:pPr>
        <w:numPr>
          <w:ilvl w:val="0"/>
          <w:numId w:val="0"/>
        </w:numPr>
        <w:tabs>
          <w:tab w:val="left" w:pos="284"/>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(6)</w:t>
      </w:r>
      <w:r>
        <w:rPr>
          <w:rFonts w:hint="eastAsia" w:ascii="宋体" w:hAnsi="宋体" w:eastAsia="宋体" w:cs="宋体"/>
          <w:color w:val="auto"/>
          <w:szCs w:val="21"/>
          <w:highlight w:val="none"/>
        </w:rPr>
        <w:t>一体冲压成型并具有加强筋功能背部具有手提式易清洁装置。</w:t>
      </w:r>
    </w:p>
    <w:p w14:paraId="38D5E783">
      <w:pPr>
        <w:pStyle w:val="12"/>
        <w:numPr>
          <w:ilvl w:val="0"/>
          <w:numId w:val="2"/>
        </w:numPr>
        <w:tabs>
          <w:tab w:val="left" w:pos="0"/>
          <w:tab w:val="left" w:pos="284"/>
        </w:tabs>
        <w:ind w:firstLineChars="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★病床面板</w:t>
      </w:r>
    </w:p>
    <w:p w14:paraId="184C876A">
      <w:pPr>
        <w:numPr>
          <w:ilvl w:val="255"/>
          <w:numId w:val="0"/>
        </w:numPr>
        <w:tabs>
          <w:tab w:val="left" w:pos="284"/>
        </w:tabs>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采用≥1.2mm</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投标文件</w:t>
      </w:r>
      <w:r>
        <w:rPr>
          <w:rFonts w:hint="eastAsia" w:ascii="宋体" w:hAnsi="宋体" w:eastAsia="宋体" w:cs="宋体"/>
          <w:b/>
          <w:bCs/>
          <w:color w:val="auto"/>
          <w:szCs w:val="21"/>
          <w:highlight w:val="none"/>
        </w:rPr>
        <w:t>中提供第三方检测机构出具护理床面板检测证明复印件）</w:t>
      </w:r>
      <w:r>
        <w:rPr>
          <w:rFonts w:hint="eastAsia" w:ascii="宋体" w:hAnsi="宋体" w:eastAsia="宋体" w:cs="宋体"/>
          <w:color w:val="auto"/>
          <w:szCs w:val="21"/>
          <w:highlight w:val="none"/>
        </w:rPr>
        <w:t>冷轧钢材自动锟压设备锟压成型，一次冲孔辊压成型，每段面板两边自带辊压加强筋，两头用ABS工程塑料封边，自锁加拉铆固定，每段承重≥80KG，≥10段组成，段与段之间留有间隙槽。</w:t>
      </w:r>
    </w:p>
    <w:p w14:paraId="3A7BB753">
      <w:pPr>
        <w:numPr>
          <w:ilvl w:val="0"/>
          <w:numId w:val="2"/>
        </w:numPr>
        <w:tabs>
          <w:tab w:val="left" w:pos="284"/>
        </w:tabs>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涂层技术</w:t>
      </w:r>
    </w:p>
    <w:p w14:paraId="334A6A38">
      <w:pPr>
        <w:numPr>
          <w:ilvl w:val="0"/>
          <w:numId w:val="0"/>
        </w:numPr>
        <w:tabs>
          <w:tab w:val="left" w:pos="284"/>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(6)</w:t>
      </w:r>
      <w:r>
        <w:rPr>
          <w:rFonts w:hint="eastAsia" w:ascii="宋体" w:hAnsi="宋体" w:eastAsia="宋体" w:cs="宋体"/>
          <w:color w:val="auto"/>
          <w:szCs w:val="21"/>
          <w:highlight w:val="none"/>
        </w:rPr>
        <w:t>金属表面采用自有喷涂线双重涂层技术：环氧树脂保护膜＋树脂粉末涂层。</w:t>
      </w:r>
    </w:p>
    <w:p w14:paraId="0616D10F">
      <w:pPr>
        <w:numPr>
          <w:ilvl w:val="0"/>
          <w:numId w:val="0"/>
        </w:numPr>
        <w:tabs>
          <w:tab w:val="left" w:pos="284"/>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(7)</w:t>
      </w:r>
      <w:r>
        <w:rPr>
          <w:rFonts w:hint="eastAsia" w:ascii="宋体" w:hAnsi="宋体" w:eastAsia="宋体" w:cs="宋体"/>
          <w:color w:val="auto"/>
          <w:szCs w:val="21"/>
          <w:highlight w:val="none"/>
        </w:rPr>
        <w:t>经电泳静电喷塑处理工艺。</w:t>
      </w:r>
    </w:p>
    <w:p w14:paraId="176B3BBC">
      <w:pPr>
        <w:numPr>
          <w:ilvl w:val="0"/>
          <w:numId w:val="0"/>
        </w:numPr>
        <w:tabs>
          <w:tab w:val="left" w:pos="284"/>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(8)</w:t>
      </w:r>
      <w:r>
        <w:rPr>
          <w:rFonts w:hint="eastAsia" w:ascii="宋体" w:hAnsi="宋体" w:eastAsia="宋体" w:cs="宋体"/>
          <w:color w:val="auto"/>
          <w:szCs w:val="21"/>
          <w:highlight w:val="none"/>
        </w:rPr>
        <w:t>涂层附着力≤1级。</w:t>
      </w:r>
    </w:p>
    <w:p w14:paraId="28FF6195">
      <w:pPr>
        <w:numPr>
          <w:ilvl w:val="0"/>
          <w:numId w:val="0"/>
        </w:numPr>
        <w:tabs>
          <w:tab w:val="left" w:pos="284"/>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(9)</w:t>
      </w:r>
      <w:r>
        <w:rPr>
          <w:rFonts w:hint="eastAsia" w:ascii="宋体" w:hAnsi="宋体" w:eastAsia="宋体" w:cs="宋体"/>
          <w:color w:val="auto"/>
          <w:szCs w:val="21"/>
          <w:highlight w:val="none"/>
        </w:rPr>
        <w:t>床体电泳底漆加粉末复式喷涂，内外全面喷涂。</w:t>
      </w:r>
    </w:p>
    <w:p w14:paraId="2203003F">
      <w:pPr>
        <w:numPr>
          <w:ilvl w:val="0"/>
          <w:numId w:val="0"/>
        </w:numPr>
        <w:tabs>
          <w:tab w:val="left" w:pos="284"/>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(10)</w:t>
      </w:r>
      <w:r>
        <w:rPr>
          <w:rFonts w:hint="eastAsia" w:ascii="宋体" w:hAnsi="宋体" w:eastAsia="宋体" w:cs="宋体"/>
          <w:color w:val="auto"/>
          <w:szCs w:val="21"/>
          <w:highlight w:val="none"/>
        </w:rPr>
        <w:t>喷涂表面光洁，无露底、脱落、气泡、防霉耐褪色、涂层不脱落，不生锈。</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投标文件</w:t>
      </w:r>
      <w:r>
        <w:rPr>
          <w:rFonts w:hint="eastAsia" w:ascii="宋体" w:hAnsi="宋体" w:eastAsia="宋体" w:cs="宋体"/>
          <w:b/>
          <w:bCs/>
          <w:color w:val="auto"/>
          <w:szCs w:val="21"/>
          <w:highlight w:val="none"/>
        </w:rPr>
        <w:t>中提供第三方检测机构出具环保喷塑涂层检测报告复印件）</w:t>
      </w:r>
    </w:p>
    <w:p w14:paraId="472CAB2A">
      <w:pPr>
        <w:numPr>
          <w:ilvl w:val="0"/>
          <w:numId w:val="2"/>
        </w:numPr>
        <w:tabs>
          <w:tab w:val="left" w:pos="284"/>
        </w:tabs>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摇杆系统</w:t>
      </w:r>
    </w:p>
    <w:p w14:paraId="65C44D7C">
      <w:pPr>
        <w:numPr>
          <w:ilvl w:val="0"/>
          <w:numId w:val="0"/>
        </w:numPr>
        <w:tabs>
          <w:tab w:val="left" w:pos="284"/>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(3)</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摇杆为含油带极限位置双向保护螺杆。</w:t>
      </w:r>
    </w:p>
    <w:p w14:paraId="3448D31B">
      <w:pPr>
        <w:numPr>
          <w:ilvl w:val="0"/>
          <w:numId w:val="0"/>
        </w:numPr>
        <w:tabs>
          <w:tab w:val="left" w:pos="284"/>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(4)</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采用质量合格的钢管加ABS强化塑料材料，具有高支撑力。</w:t>
      </w:r>
    </w:p>
    <w:p w14:paraId="5F1C8BAB">
      <w:pPr>
        <w:numPr>
          <w:ilvl w:val="0"/>
          <w:numId w:val="0"/>
        </w:numPr>
        <w:tabs>
          <w:tab w:val="left" w:pos="284"/>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(5)</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每支摇杆可通过独立承重≥700kg的测试。</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投标文件</w:t>
      </w:r>
      <w:r>
        <w:rPr>
          <w:rFonts w:hint="eastAsia" w:ascii="宋体" w:hAnsi="宋体" w:eastAsia="宋体" w:cs="宋体"/>
          <w:b/>
          <w:bCs/>
          <w:color w:val="auto"/>
          <w:szCs w:val="21"/>
          <w:highlight w:val="none"/>
        </w:rPr>
        <w:t>中提供第三方检测机构出具护理床摇杆承重检测报告复印件）</w:t>
      </w:r>
    </w:p>
    <w:p w14:paraId="480E6F50">
      <w:pPr>
        <w:numPr>
          <w:ilvl w:val="0"/>
          <w:numId w:val="2"/>
        </w:numPr>
        <w:tabs>
          <w:tab w:val="left" w:pos="284"/>
        </w:tabs>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床头尾板</w:t>
      </w:r>
    </w:p>
    <w:p w14:paraId="5FE2A9D3">
      <w:pPr>
        <w:numPr>
          <w:ilvl w:val="0"/>
          <w:numId w:val="0"/>
        </w:numPr>
        <w:tabs>
          <w:tab w:val="left" w:pos="284"/>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(7)</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采用弧线形设计，高密度HDPE工程塑料一次成型</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投标文件</w:t>
      </w:r>
      <w:r>
        <w:rPr>
          <w:rFonts w:hint="eastAsia" w:ascii="宋体" w:hAnsi="宋体" w:eastAsia="宋体" w:cs="宋体"/>
          <w:b/>
          <w:bCs/>
          <w:color w:val="auto"/>
          <w:szCs w:val="21"/>
          <w:highlight w:val="none"/>
        </w:rPr>
        <w:t>中提供第三方检测机构出具护理床床头尾板检测报告复印件）</w:t>
      </w:r>
      <w:r>
        <w:rPr>
          <w:rFonts w:hint="eastAsia" w:ascii="宋体" w:hAnsi="宋体" w:eastAsia="宋体" w:cs="宋体"/>
          <w:color w:val="auto"/>
          <w:szCs w:val="21"/>
          <w:highlight w:val="none"/>
        </w:rPr>
        <w:t>。</w:t>
      </w:r>
    </w:p>
    <w:p w14:paraId="2596AA88">
      <w:pPr>
        <w:numPr>
          <w:ilvl w:val="0"/>
          <w:numId w:val="0"/>
        </w:numPr>
        <w:tabs>
          <w:tab w:val="left" w:pos="284"/>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(8)</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内嵌滚式防撞轮。</w:t>
      </w:r>
    </w:p>
    <w:p w14:paraId="16E9A864">
      <w:pPr>
        <w:numPr>
          <w:ilvl w:val="0"/>
          <w:numId w:val="0"/>
        </w:numPr>
        <w:tabs>
          <w:tab w:val="left" w:pos="284"/>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(9)</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床头尾板高510mm±5 mm，宽1000 mm±5mm，底端厚65 mm，上面厚40 mm，中间装饰板为ABS材质。</w:t>
      </w:r>
    </w:p>
    <w:p w14:paraId="1C5BDF81">
      <w:pPr>
        <w:numPr>
          <w:ilvl w:val="0"/>
          <w:numId w:val="0"/>
        </w:numPr>
        <w:tabs>
          <w:tab w:val="left" w:pos="284"/>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(10)</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内锁结构非胶水连接，颜色可根据采购人要求调色，可粘贴卡通图片。</w:t>
      </w:r>
    </w:p>
    <w:p w14:paraId="530F603C">
      <w:pPr>
        <w:numPr>
          <w:ilvl w:val="0"/>
          <w:numId w:val="0"/>
        </w:numPr>
        <w:tabs>
          <w:tab w:val="left" w:pos="284"/>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(11)</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有日式床头尾板挂耳装置，可兼作CPR功能，具备开关自动锁定装置</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投标文件</w:t>
      </w:r>
      <w:r>
        <w:rPr>
          <w:rFonts w:hint="eastAsia" w:ascii="宋体" w:hAnsi="宋体" w:eastAsia="宋体" w:cs="宋体"/>
          <w:b/>
          <w:bCs/>
          <w:color w:val="auto"/>
          <w:szCs w:val="21"/>
          <w:highlight w:val="none"/>
        </w:rPr>
        <w:t>中提供床头板自动锁定相关证明复印件）</w:t>
      </w:r>
      <w:r>
        <w:rPr>
          <w:rFonts w:hint="eastAsia" w:ascii="宋体" w:hAnsi="宋体" w:eastAsia="宋体" w:cs="宋体"/>
          <w:color w:val="auto"/>
          <w:szCs w:val="21"/>
          <w:highlight w:val="none"/>
        </w:rPr>
        <w:t>，快速拆卸，满足临床急救需求。</w:t>
      </w:r>
    </w:p>
    <w:p w14:paraId="2FB0CCD8">
      <w:pPr>
        <w:numPr>
          <w:ilvl w:val="0"/>
          <w:numId w:val="0"/>
        </w:numPr>
        <w:tabs>
          <w:tab w:val="left" w:pos="284"/>
        </w:tabs>
        <w:ind w:left="425" w:leftChars="0" w:hanging="425" w:firstLineChars="0"/>
        <w:rPr>
          <w:rFonts w:ascii="宋体" w:hAnsi="宋体" w:eastAsia="宋体" w:cs="宋体"/>
          <w:b/>
          <w:bCs/>
          <w:color w:val="auto"/>
          <w:szCs w:val="21"/>
          <w:highlight w:val="none"/>
        </w:rPr>
      </w:pPr>
      <w:r>
        <w:rPr>
          <w:rFonts w:hint="default" w:ascii="宋体" w:hAnsi="宋体" w:eastAsia="宋体" w:cs="宋体"/>
          <w:b/>
          <w:bCs/>
          <w:color w:val="auto"/>
          <w:kern w:val="2"/>
          <w:sz w:val="21"/>
          <w:szCs w:val="21"/>
          <w:lang w:val="en-US" w:eastAsia="zh-CN" w:bidi="ar-SA"/>
        </w:rPr>
        <w:t>(12)</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床头尾板实际总重量约＞11.5kg。</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投标文件</w:t>
      </w:r>
      <w:r>
        <w:rPr>
          <w:rFonts w:hint="eastAsia" w:ascii="宋体" w:hAnsi="宋体" w:eastAsia="宋体" w:cs="宋体"/>
          <w:b/>
          <w:bCs/>
          <w:color w:val="auto"/>
          <w:szCs w:val="21"/>
          <w:highlight w:val="none"/>
        </w:rPr>
        <w:t>中提供相关实物图片证明）</w:t>
      </w:r>
    </w:p>
    <w:p w14:paraId="2442A497">
      <w:pPr>
        <w:numPr>
          <w:ilvl w:val="0"/>
          <w:numId w:val="2"/>
        </w:numPr>
        <w:tabs>
          <w:tab w:val="left" w:pos="284"/>
        </w:tabs>
        <w:rPr>
          <w:rFonts w:ascii="宋体" w:hAnsi="宋体" w:eastAsia="宋体" w:cs="宋体"/>
          <w:color w:val="auto"/>
          <w:szCs w:val="21"/>
          <w:highlight w:val="none"/>
        </w:rPr>
      </w:pPr>
      <w:r>
        <w:rPr>
          <w:rFonts w:hint="eastAsia" w:ascii="宋体" w:hAnsi="宋体" w:eastAsia="宋体" w:cs="宋体"/>
          <w:b/>
          <w:bCs/>
          <w:color w:val="auto"/>
          <w:szCs w:val="21"/>
          <w:highlight w:val="none"/>
        </w:rPr>
        <w:t>床边护栏系统</w:t>
      </w:r>
    </w:p>
    <w:p w14:paraId="47F42A30">
      <w:pPr>
        <w:numPr>
          <w:ilvl w:val="0"/>
          <w:numId w:val="0"/>
        </w:numPr>
        <w:tabs>
          <w:tab w:val="left" w:pos="284"/>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(7)</w:t>
      </w:r>
      <w:r>
        <w:rPr>
          <w:rFonts w:hint="eastAsia" w:ascii="宋体" w:hAnsi="宋体" w:eastAsia="宋体" w:cs="宋体"/>
          <w:color w:val="auto"/>
          <w:szCs w:val="21"/>
          <w:highlight w:val="none"/>
        </w:rPr>
        <w:t>▲床边护栏采用铝合金扶手磷化电泳硬化处理。</w:t>
      </w:r>
    </w:p>
    <w:p w14:paraId="58674D45">
      <w:pPr>
        <w:numPr>
          <w:ilvl w:val="0"/>
          <w:numId w:val="0"/>
        </w:numPr>
        <w:tabs>
          <w:tab w:val="left" w:pos="284"/>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(8)</w:t>
      </w:r>
      <w:r>
        <w:rPr>
          <w:rFonts w:hint="eastAsia" w:ascii="宋体" w:hAnsi="宋体" w:eastAsia="宋体" w:cs="宋体"/>
          <w:color w:val="auto"/>
          <w:szCs w:val="21"/>
          <w:highlight w:val="none"/>
        </w:rPr>
        <w:t>▲护栏长≥1470mm，高≥405mm。</w:t>
      </w:r>
    </w:p>
    <w:p w14:paraId="09DCE0E8">
      <w:pPr>
        <w:numPr>
          <w:ilvl w:val="0"/>
          <w:numId w:val="0"/>
        </w:numPr>
        <w:tabs>
          <w:tab w:val="left" w:pos="284"/>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(9)</w:t>
      </w:r>
      <w:r>
        <w:rPr>
          <w:rFonts w:hint="eastAsia" w:ascii="宋体" w:hAnsi="宋体" w:eastAsia="宋体" w:cs="宋体"/>
          <w:color w:val="auto"/>
          <w:szCs w:val="21"/>
          <w:highlight w:val="none"/>
        </w:rPr>
        <w:t>▲护栏前后横向拉力≥80kg，并加设极限保险装置，加厚型开关上下座为全锌合金材质。</w:t>
      </w:r>
    </w:p>
    <w:p w14:paraId="40F8994A">
      <w:pPr>
        <w:numPr>
          <w:ilvl w:val="0"/>
          <w:numId w:val="0"/>
        </w:numPr>
        <w:tabs>
          <w:tab w:val="left" w:pos="284"/>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(10)</w:t>
      </w:r>
      <w:r>
        <w:rPr>
          <w:rFonts w:hint="eastAsia" w:ascii="宋体" w:hAnsi="宋体" w:eastAsia="宋体" w:cs="宋体"/>
          <w:color w:val="auto"/>
          <w:szCs w:val="21"/>
          <w:highlight w:val="none"/>
        </w:rPr>
        <w:t>▲锌合金开关厚度≥2.5mm。</w:t>
      </w:r>
    </w:p>
    <w:p w14:paraId="692F9C7F">
      <w:pPr>
        <w:numPr>
          <w:ilvl w:val="0"/>
          <w:numId w:val="0"/>
        </w:numPr>
        <w:tabs>
          <w:tab w:val="left" w:pos="284"/>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(11)</w:t>
      </w:r>
      <w:r>
        <w:rPr>
          <w:rFonts w:hint="eastAsia" w:ascii="宋体" w:hAnsi="宋体" w:eastAsia="宋体" w:cs="宋体"/>
          <w:color w:val="auto"/>
          <w:szCs w:val="21"/>
          <w:highlight w:val="none"/>
        </w:rPr>
        <w:t>▲护栏采用“Φ”字加强型不锈钢支柱，直径≥Φ19×1.2mm。</w:t>
      </w:r>
    </w:p>
    <w:p w14:paraId="3E25C454">
      <w:pPr>
        <w:numPr>
          <w:ilvl w:val="0"/>
          <w:numId w:val="0"/>
        </w:numPr>
        <w:tabs>
          <w:tab w:val="left" w:pos="284"/>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(12)</w:t>
      </w:r>
      <w:r>
        <w:rPr>
          <w:rFonts w:hint="eastAsia" w:ascii="宋体" w:hAnsi="宋体" w:eastAsia="宋体" w:cs="宋体"/>
          <w:color w:val="auto"/>
          <w:szCs w:val="21"/>
          <w:highlight w:val="none"/>
        </w:rPr>
        <w:t>▲具备卧式C型加强防晃装置，配以冷轧钢板护栏下座，厚度≥3.5mm。</w:t>
      </w:r>
    </w:p>
    <w:p w14:paraId="21D889D4">
      <w:pPr>
        <w:numPr>
          <w:ilvl w:val="0"/>
          <w:numId w:val="0"/>
        </w:numPr>
        <w:tabs>
          <w:tab w:val="left" w:pos="284"/>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(13)</w:t>
      </w:r>
      <w:r>
        <w:rPr>
          <w:rFonts w:hint="eastAsia" w:ascii="宋体" w:hAnsi="宋体" w:eastAsia="宋体" w:cs="宋体"/>
          <w:color w:val="auto"/>
          <w:szCs w:val="21"/>
          <w:highlight w:val="none"/>
        </w:rPr>
        <w:t>▲防夹手设计，可根据病人需要做升降调。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投标文件</w:t>
      </w:r>
      <w:r>
        <w:rPr>
          <w:rFonts w:hint="eastAsia" w:ascii="宋体" w:hAnsi="宋体" w:eastAsia="宋体" w:cs="宋体"/>
          <w:b/>
          <w:bCs/>
          <w:color w:val="auto"/>
          <w:szCs w:val="21"/>
          <w:highlight w:val="none"/>
        </w:rPr>
        <w:t>中提供第三方检测机构出具床边护栏检测报告复印件）</w:t>
      </w:r>
    </w:p>
    <w:p w14:paraId="38DC4E45">
      <w:pPr>
        <w:numPr>
          <w:ilvl w:val="0"/>
          <w:numId w:val="2"/>
        </w:numPr>
        <w:tabs>
          <w:tab w:val="left" w:pos="284"/>
        </w:tabs>
        <w:rPr>
          <w:rFonts w:ascii="宋体" w:hAnsi="宋体" w:eastAsia="宋体" w:cs="宋体"/>
          <w:b/>
          <w:bCs/>
          <w:color w:val="auto"/>
          <w:szCs w:val="21"/>
          <w:highlight w:val="none"/>
        </w:rPr>
      </w:pPr>
      <w:bookmarkStart w:id="0" w:name="_Hlk61935963"/>
      <w:r>
        <w:rPr>
          <w:rFonts w:hint="eastAsia" w:ascii="宋体" w:hAnsi="宋体" w:eastAsia="宋体" w:cs="宋体"/>
          <w:b/>
          <w:bCs/>
          <w:color w:val="auto"/>
          <w:szCs w:val="21"/>
          <w:highlight w:val="none"/>
        </w:rPr>
        <w:t>脚轮</w:t>
      </w:r>
    </w:p>
    <w:p w14:paraId="09C82F16">
      <w:pPr>
        <w:numPr>
          <w:ilvl w:val="0"/>
          <w:numId w:val="0"/>
        </w:numPr>
        <w:tabs>
          <w:tab w:val="left" w:pos="284"/>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(6)</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采用质量合格的中控脚轮。</w:t>
      </w:r>
    </w:p>
    <w:p w14:paraId="2815FF5B">
      <w:pPr>
        <w:numPr>
          <w:ilvl w:val="0"/>
          <w:numId w:val="0"/>
        </w:numPr>
        <w:tabs>
          <w:tab w:val="left" w:pos="284"/>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(7)</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全封闭自润滑轴承，防水。</w:t>
      </w:r>
    </w:p>
    <w:p w14:paraId="395938D2">
      <w:pPr>
        <w:numPr>
          <w:ilvl w:val="0"/>
          <w:numId w:val="0"/>
        </w:numPr>
        <w:tabs>
          <w:tab w:val="left" w:pos="284"/>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(8)</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具备ABS防震安装结构，轮面采用TPR耐磨材料。</w:t>
      </w:r>
    </w:p>
    <w:p w14:paraId="5827F763">
      <w:pPr>
        <w:numPr>
          <w:ilvl w:val="0"/>
          <w:numId w:val="0"/>
        </w:numPr>
        <w:tabs>
          <w:tab w:val="left" w:pos="284"/>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(9)</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铅含量≤0.1%，镉含量≤0.1%，六价铬含量≤0.1%，汞含量≤0.1%，多溴联苯类≤0.1%，多溴二苯醚类≤0.1%。</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投标文件</w:t>
      </w:r>
      <w:r>
        <w:rPr>
          <w:rFonts w:hint="eastAsia" w:ascii="宋体" w:hAnsi="宋体" w:eastAsia="宋体" w:cs="宋体"/>
          <w:b/>
          <w:bCs/>
          <w:color w:val="auto"/>
          <w:szCs w:val="21"/>
          <w:highlight w:val="none"/>
        </w:rPr>
        <w:t>中提供第三方检测机构出具脚轮检测报告复印件）</w:t>
      </w:r>
    </w:p>
    <w:p w14:paraId="61A216A9">
      <w:pPr>
        <w:numPr>
          <w:ilvl w:val="0"/>
          <w:numId w:val="0"/>
        </w:numPr>
        <w:tabs>
          <w:tab w:val="left" w:pos="284"/>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(10)</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中控刹车系统具有一键式刹车开关功能。</w:t>
      </w:r>
    </w:p>
    <w:p w14:paraId="066E0FF1">
      <w:pPr>
        <w:numPr>
          <w:ilvl w:val="0"/>
          <w:numId w:val="0"/>
        </w:numPr>
        <w:tabs>
          <w:tab w:val="left" w:pos="284"/>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(11)</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刹车装置镶有锁定开关功能提示键，颜色红绿区分。</w:t>
      </w:r>
    </w:p>
    <w:bookmarkEnd w:id="0"/>
    <w:p w14:paraId="4D3F4F1E">
      <w:pPr>
        <w:numPr>
          <w:ilvl w:val="0"/>
          <w:numId w:val="2"/>
        </w:numPr>
        <w:tabs>
          <w:tab w:val="left" w:pos="420"/>
        </w:tabs>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病床摇手</w:t>
      </w:r>
    </w:p>
    <w:p w14:paraId="1EC07610">
      <w:pPr>
        <w:numPr>
          <w:ilvl w:val="0"/>
          <w:numId w:val="0"/>
        </w:numPr>
        <w:tabs>
          <w:tab w:val="left" w:pos="420"/>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(4)</w:t>
      </w:r>
      <w:r>
        <w:rPr>
          <w:rFonts w:hint="eastAsia" w:ascii="宋体" w:hAnsi="宋体" w:eastAsia="宋体" w:cs="宋体"/>
          <w:color w:val="auto"/>
          <w:szCs w:val="21"/>
          <w:highlight w:val="none"/>
        </w:rPr>
        <w:t>采用ABS工程塑料含件注塑成型。</w:t>
      </w:r>
    </w:p>
    <w:p w14:paraId="2A7D9D27">
      <w:pPr>
        <w:numPr>
          <w:ilvl w:val="0"/>
          <w:numId w:val="0"/>
        </w:numPr>
        <w:tabs>
          <w:tab w:val="left" w:pos="420"/>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(5)</w:t>
      </w:r>
      <w:r>
        <w:rPr>
          <w:rFonts w:hint="eastAsia" w:ascii="宋体" w:hAnsi="宋体" w:eastAsia="宋体" w:cs="宋体"/>
          <w:color w:val="auto"/>
          <w:szCs w:val="21"/>
          <w:highlight w:val="none"/>
        </w:rPr>
        <w:t>摇手开关采用POM耐磨材料。</w:t>
      </w:r>
    </w:p>
    <w:p w14:paraId="2D8FD765">
      <w:pPr>
        <w:numPr>
          <w:ilvl w:val="0"/>
          <w:numId w:val="0"/>
        </w:numPr>
        <w:tabs>
          <w:tab w:val="left" w:pos="420"/>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(6)</w:t>
      </w:r>
      <w:r>
        <w:rPr>
          <w:rFonts w:hint="eastAsia" w:ascii="宋体" w:hAnsi="宋体" w:eastAsia="宋体" w:cs="宋体"/>
          <w:color w:val="auto"/>
          <w:szCs w:val="21"/>
          <w:highlight w:val="none"/>
        </w:rPr>
        <w:t>摇手柄长90mm（允许偏差±5mm），操作半径180mm（允许偏差±5mm）。</w:t>
      </w:r>
    </w:p>
    <w:p w14:paraId="4BCB219F">
      <w:pPr>
        <w:numPr>
          <w:ilvl w:val="0"/>
          <w:numId w:val="0"/>
        </w:numPr>
        <w:tabs>
          <w:tab w:val="left" w:pos="420"/>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(7)</w:t>
      </w:r>
      <w:r>
        <w:rPr>
          <w:rFonts w:hint="eastAsia" w:ascii="宋体" w:hAnsi="宋体" w:eastAsia="宋体" w:cs="宋体"/>
          <w:color w:val="auto"/>
          <w:szCs w:val="21"/>
          <w:highlight w:val="none"/>
        </w:rPr>
        <w:t>ABS手摇柄伸缩隐藏式拉杆系统，隐藏时跟床尾板平齐。</w:t>
      </w:r>
    </w:p>
    <w:p w14:paraId="7FBF8AE6">
      <w:pPr>
        <w:numPr>
          <w:ilvl w:val="0"/>
          <w:numId w:val="2"/>
        </w:numPr>
        <w:tabs>
          <w:tab w:val="left" w:pos="420"/>
        </w:tabs>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滴架插座</w:t>
      </w:r>
    </w:p>
    <w:p w14:paraId="03B43A8F">
      <w:pPr>
        <w:numPr>
          <w:ilvl w:val="255"/>
          <w:numId w:val="0"/>
        </w:numPr>
        <w:tabs>
          <w:tab w:val="left" w:pos="420"/>
        </w:tabs>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具备六个点滴架插座，孔径≥19mm，由金属材质冲压成型，固定焊接插入。</w:t>
      </w:r>
    </w:p>
    <w:p w14:paraId="403719BB">
      <w:pPr>
        <w:numPr>
          <w:ilvl w:val="0"/>
          <w:numId w:val="2"/>
        </w:numPr>
        <w:tabs>
          <w:tab w:val="left" w:pos="0"/>
        </w:tabs>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输液架</w:t>
      </w:r>
    </w:p>
    <w:p w14:paraId="1A2B6248">
      <w:pPr>
        <w:numPr>
          <w:ilvl w:val="0"/>
          <w:numId w:val="0"/>
        </w:numPr>
        <w:tabs>
          <w:tab w:val="left" w:pos="0"/>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(5)</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带限位旋转功能输液架。</w:t>
      </w:r>
      <w:r>
        <w:rPr>
          <w:rFonts w:hint="eastAsia" w:ascii="宋体" w:hAnsi="宋体" w:eastAsia="宋体" w:cs="宋体"/>
          <w:b/>
          <w:bCs/>
          <w:color w:val="auto"/>
          <w:szCs w:val="21"/>
          <w:highlight w:val="none"/>
        </w:rPr>
        <w:t>（高新技术产品，</w:t>
      </w:r>
      <w:r>
        <w:rPr>
          <w:rFonts w:hint="eastAsia" w:ascii="宋体" w:hAnsi="宋体" w:eastAsia="宋体" w:cs="宋体"/>
          <w:b/>
          <w:bCs/>
          <w:color w:val="auto"/>
          <w:szCs w:val="21"/>
          <w:highlight w:val="none"/>
          <w:lang w:eastAsia="zh-CN"/>
        </w:rPr>
        <w:t>投标文件</w:t>
      </w:r>
      <w:r>
        <w:rPr>
          <w:rFonts w:hint="eastAsia" w:ascii="宋体" w:hAnsi="宋体" w:eastAsia="宋体" w:cs="宋体"/>
          <w:b/>
          <w:bCs/>
          <w:color w:val="auto"/>
          <w:szCs w:val="21"/>
          <w:highlight w:val="none"/>
        </w:rPr>
        <w:t>中提供高新技术产品证书复印件）</w:t>
      </w:r>
    </w:p>
    <w:p w14:paraId="727923E5">
      <w:pPr>
        <w:numPr>
          <w:ilvl w:val="0"/>
          <w:numId w:val="0"/>
        </w:numPr>
        <w:tabs>
          <w:tab w:val="left" w:pos="0"/>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(6)</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不锈钢双段式点滴架，直径≥19mm，前端Φ16*60mm椭形缩口，紧密配合不晃动。</w:t>
      </w:r>
    </w:p>
    <w:p w14:paraId="30B58F65">
      <w:pPr>
        <w:numPr>
          <w:ilvl w:val="0"/>
          <w:numId w:val="0"/>
        </w:numPr>
        <w:tabs>
          <w:tab w:val="left" w:pos="0"/>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(7)</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涂料要求：属于绿色健康环保产品，采用抗菌粉末涂料，该涂料对大肠杆菌抗菌活性值为＞6.0，对金黄色葡萄球菌的抗菌活性值＞4.5，对微生物大肠菌和金黄色葡萄球菌具有很强的抗菌作用，抗菌率＞99.9%。通过省级微生物检测分析报告。</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投标文件</w:t>
      </w:r>
      <w:r>
        <w:rPr>
          <w:rFonts w:hint="eastAsia" w:ascii="宋体" w:hAnsi="宋体" w:eastAsia="宋体" w:cs="宋体"/>
          <w:b/>
          <w:bCs/>
          <w:color w:val="auto"/>
          <w:szCs w:val="21"/>
          <w:highlight w:val="none"/>
        </w:rPr>
        <w:t>中提供第三方检测机构出具微生物检测报告复印件）</w:t>
      </w:r>
    </w:p>
    <w:p w14:paraId="3D6ED87D">
      <w:pPr>
        <w:numPr>
          <w:ilvl w:val="0"/>
          <w:numId w:val="0"/>
        </w:numPr>
        <w:tabs>
          <w:tab w:val="left" w:pos="0"/>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(8)</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体系认证：医用病床要求通过质量管理体系认证及医疗器械质量管理体系认证，认证范围包括“病床”或“医用病床”。</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投标文件</w:t>
      </w:r>
      <w:r>
        <w:rPr>
          <w:rFonts w:hint="eastAsia" w:ascii="宋体" w:hAnsi="宋体" w:eastAsia="宋体" w:cs="宋体"/>
          <w:b/>
          <w:bCs/>
          <w:color w:val="auto"/>
          <w:szCs w:val="21"/>
          <w:highlight w:val="none"/>
        </w:rPr>
        <w:t>中提供认证证书复印件）</w:t>
      </w:r>
    </w:p>
    <w:p w14:paraId="2D74D08D">
      <w:pPr>
        <w:numPr>
          <w:ilvl w:val="0"/>
          <w:numId w:val="2"/>
        </w:numPr>
        <w:tabs>
          <w:tab w:val="left" w:pos="0"/>
        </w:tabs>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配套床垫</w:t>
      </w:r>
    </w:p>
    <w:p w14:paraId="7ECE6E59">
      <w:pPr>
        <w:numPr>
          <w:ilvl w:val="0"/>
          <w:numId w:val="0"/>
        </w:numPr>
        <w:tabs>
          <w:tab w:val="left" w:pos="1734"/>
          <w:tab w:val="left" w:pos="2814"/>
          <w:tab w:val="left" w:pos="3894"/>
          <w:tab w:val="left" w:pos="5334"/>
          <w:tab w:val="left" w:pos="6414"/>
          <w:tab w:val="left" w:pos="8574"/>
          <w:tab w:val="left" w:pos="9654"/>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(3)</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材质：采用60mm高密度海棉+20mm天然机压环保椰棕+防水布套。</w:t>
      </w:r>
    </w:p>
    <w:p w14:paraId="7044DAAE">
      <w:pPr>
        <w:numPr>
          <w:ilvl w:val="0"/>
          <w:numId w:val="0"/>
        </w:numPr>
        <w:tabs>
          <w:tab w:val="left" w:pos="1734"/>
          <w:tab w:val="left" w:pos="2814"/>
          <w:tab w:val="left" w:pos="3894"/>
          <w:tab w:val="left" w:pos="5334"/>
          <w:tab w:val="left" w:pos="6414"/>
          <w:tab w:val="left" w:pos="8574"/>
          <w:tab w:val="left" w:pos="9654"/>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(4)</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外套：采用防水布，经高温水消毒，防虫处理，防止变形，具透气、透湿、防霉、耐磨作用，带拉链可灵活拆卸，多折。</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投标文件</w:t>
      </w:r>
      <w:r>
        <w:rPr>
          <w:rFonts w:hint="eastAsia" w:ascii="宋体" w:hAnsi="宋体" w:eastAsia="宋体" w:cs="宋体"/>
          <w:b/>
          <w:bCs/>
          <w:color w:val="auto"/>
          <w:szCs w:val="21"/>
          <w:highlight w:val="none"/>
        </w:rPr>
        <w:t>中提供第三方检测机构出具床垫阻燃检测报告复印件、甲醛含量测试报告复印件</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提供省级</w:t>
      </w:r>
      <w:r>
        <w:rPr>
          <w:rFonts w:hint="eastAsia" w:ascii="宋体" w:hAnsi="宋体" w:eastAsia="宋体" w:cs="宋体"/>
          <w:b/>
          <w:bCs/>
          <w:color w:val="auto"/>
          <w:szCs w:val="21"/>
          <w:highlight w:val="none"/>
          <w:lang w:eastAsia="zh-CN"/>
        </w:rPr>
        <w:t>及以上</w:t>
      </w:r>
      <w:r>
        <w:rPr>
          <w:rFonts w:hint="eastAsia" w:ascii="宋体" w:hAnsi="宋体" w:eastAsia="宋体" w:cs="宋体"/>
          <w:b/>
          <w:bCs/>
          <w:color w:val="auto"/>
          <w:szCs w:val="21"/>
          <w:highlight w:val="none"/>
        </w:rPr>
        <w:t>质量技术监督局认定的具有CMA资质检验检测机构出具的床垫防水性能测试报告复印件）</w:t>
      </w:r>
    </w:p>
    <w:p w14:paraId="01B10BD1">
      <w:pPr>
        <w:numPr>
          <w:ilvl w:val="0"/>
          <w:numId w:val="2"/>
        </w:numPr>
        <w:tabs>
          <w:tab w:val="left" w:pos="0"/>
        </w:tabs>
        <w:rPr>
          <w:rFonts w:ascii="宋体" w:hAnsi="宋体" w:eastAsia="宋体" w:cs="宋体"/>
          <w:b/>
          <w:color w:val="auto"/>
          <w:szCs w:val="21"/>
          <w:highlight w:val="none"/>
        </w:rPr>
      </w:pPr>
      <w:r>
        <w:rPr>
          <w:rFonts w:hint="eastAsia" w:ascii="宋体" w:hAnsi="宋体" w:eastAsia="宋体" w:cs="宋体"/>
          <w:b/>
          <w:color w:val="auto"/>
          <w:szCs w:val="21"/>
          <w:highlight w:val="none"/>
        </w:rPr>
        <w:t>钢塑床头柜</w:t>
      </w:r>
    </w:p>
    <w:p w14:paraId="040E66CC">
      <w:pPr>
        <w:numPr>
          <w:ilvl w:val="0"/>
          <w:numId w:val="0"/>
        </w:numPr>
        <w:tabs>
          <w:tab w:val="left" w:pos="1734"/>
          <w:tab w:val="left" w:pos="2814"/>
          <w:tab w:val="left" w:pos="3894"/>
          <w:tab w:val="left" w:pos="5334"/>
          <w:tab w:val="left" w:pos="6414"/>
          <w:tab w:val="left" w:pos="8574"/>
          <w:tab w:val="left" w:pos="9654"/>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(9)</w:t>
      </w:r>
      <w:r>
        <w:rPr>
          <w:rFonts w:hint="eastAsia" w:ascii="宋体" w:hAnsi="宋体" w:eastAsia="宋体" w:cs="宋体"/>
          <w:color w:val="auto"/>
          <w:szCs w:val="21"/>
          <w:highlight w:val="none"/>
        </w:rPr>
        <w:t>采用ABS+钢塑制成（柜框为钢塑，面板、柜门、抽屉、隔板均为ABS），防腐蚀耐酸碱，牢固耐用。</w:t>
      </w:r>
    </w:p>
    <w:p w14:paraId="43CD7EFB">
      <w:pPr>
        <w:numPr>
          <w:ilvl w:val="0"/>
          <w:numId w:val="0"/>
        </w:numPr>
        <w:tabs>
          <w:tab w:val="left" w:pos="1734"/>
          <w:tab w:val="left" w:pos="2814"/>
          <w:tab w:val="left" w:pos="3894"/>
          <w:tab w:val="left" w:pos="5334"/>
          <w:tab w:val="left" w:pos="6414"/>
          <w:tab w:val="left" w:pos="8574"/>
          <w:tab w:val="left" w:pos="9654"/>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(10)</w:t>
      </w:r>
      <w:r>
        <w:rPr>
          <w:rFonts w:hint="eastAsia" w:ascii="宋体" w:hAnsi="宋体" w:eastAsia="宋体" w:cs="宋体"/>
          <w:color w:val="auto"/>
          <w:szCs w:val="21"/>
          <w:highlight w:val="none"/>
        </w:rPr>
        <w:t>规格：高≤850mm；宽≥450mm；深≥470mm。</w:t>
      </w:r>
    </w:p>
    <w:p w14:paraId="722940D9">
      <w:pPr>
        <w:numPr>
          <w:ilvl w:val="0"/>
          <w:numId w:val="0"/>
        </w:numPr>
        <w:tabs>
          <w:tab w:val="left" w:pos="1734"/>
          <w:tab w:val="left" w:pos="2814"/>
          <w:tab w:val="left" w:pos="3894"/>
          <w:tab w:val="left" w:pos="5334"/>
          <w:tab w:val="left" w:pos="6414"/>
          <w:tab w:val="left" w:pos="8574"/>
          <w:tab w:val="left" w:pos="9654"/>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(11)</w:t>
      </w:r>
      <w:r>
        <w:rPr>
          <w:rFonts w:hint="eastAsia" w:ascii="宋体" w:hAnsi="宋体" w:eastAsia="宋体" w:cs="宋体"/>
          <w:color w:val="auto"/>
          <w:szCs w:val="21"/>
          <w:highlight w:val="none"/>
        </w:rPr>
        <w:t>柜底配4个2英寸带刹车活动轮，可随意移动。</w:t>
      </w:r>
    </w:p>
    <w:p w14:paraId="6B1718BA">
      <w:pPr>
        <w:numPr>
          <w:ilvl w:val="0"/>
          <w:numId w:val="0"/>
        </w:numPr>
        <w:tabs>
          <w:tab w:val="left" w:pos="1734"/>
          <w:tab w:val="left" w:pos="2814"/>
          <w:tab w:val="left" w:pos="3894"/>
          <w:tab w:val="left" w:pos="5334"/>
          <w:tab w:val="left" w:pos="6414"/>
          <w:tab w:val="left" w:pos="8574"/>
          <w:tab w:val="left" w:pos="9654"/>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(12)</w:t>
      </w:r>
      <w:r>
        <w:rPr>
          <w:rFonts w:hint="eastAsia" w:ascii="宋体" w:hAnsi="宋体" w:eastAsia="宋体" w:cs="宋体"/>
          <w:color w:val="auto"/>
          <w:szCs w:val="21"/>
          <w:highlight w:val="none"/>
        </w:rPr>
        <w:t>带可拉出式桌板，桌板自带放置茶杯和体温计的凹槽。</w:t>
      </w:r>
    </w:p>
    <w:p w14:paraId="3DFA0A3C">
      <w:pPr>
        <w:numPr>
          <w:ilvl w:val="0"/>
          <w:numId w:val="0"/>
        </w:numPr>
        <w:tabs>
          <w:tab w:val="left" w:pos="1734"/>
          <w:tab w:val="left" w:pos="2814"/>
          <w:tab w:val="left" w:pos="3894"/>
          <w:tab w:val="left" w:pos="5334"/>
          <w:tab w:val="left" w:pos="6414"/>
          <w:tab w:val="left" w:pos="8574"/>
          <w:tab w:val="left" w:pos="9654"/>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(13)</w:t>
      </w:r>
      <w:r>
        <w:rPr>
          <w:rFonts w:hint="eastAsia" w:ascii="宋体" w:hAnsi="宋体" w:eastAsia="宋体" w:cs="宋体"/>
          <w:color w:val="auto"/>
          <w:szCs w:val="21"/>
          <w:highlight w:val="none"/>
        </w:rPr>
        <w:t>两侧自带可收藏式毛巾架。</w:t>
      </w:r>
    </w:p>
    <w:p w14:paraId="57165262">
      <w:pPr>
        <w:numPr>
          <w:ilvl w:val="0"/>
          <w:numId w:val="0"/>
        </w:numPr>
        <w:tabs>
          <w:tab w:val="left" w:pos="1734"/>
          <w:tab w:val="left" w:pos="2814"/>
          <w:tab w:val="left" w:pos="3894"/>
          <w:tab w:val="left" w:pos="5334"/>
          <w:tab w:val="left" w:pos="6414"/>
          <w:tab w:val="left" w:pos="8574"/>
          <w:tab w:val="left" w:pos="9654"/>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(14)</w:t>
      </w:r>
      <w:r>
        <w:rPr>
          <w:rFonts w:hint="eastAsia" w:ascii="宋体" w:hAnsi="宋体" w:eastAsia="宋体" w:cs="宋体"/>
          <w:color w:val="auto"/>
          <w:szCs w:val="21"/>
          <w:highlight w:val="none"/>
        </w:rPr>
        <w:t>柜门内有隔板设计，隔板高度可调。</w:t>
      </w:r>
    </w:p>
    <w:p w14:paraId="1C060E3E">
      <w:pPr>
        <w:numPr>
          <w:ilvl w:val="0"/>
          <w:numId w:val="0"/>
        </w:numPr>
        <w:tabs>
          <w:tab w:val="left" w:pos="1734"/>
          <w:tab w:val="left" w:pos="2814"/>
          <w:tab w:val="left" w:pos="3894"/>
          <w:tab w:val="left" w:pos="5334"/>
          <w:tab w:val="left" w:pos="6414"/>
          <w:tab w:val="left" w:pos="8574"/>
          <w:tab w:val="left" w:pos="9654"/>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(15)</w:t>
      </w:r>
      <w:r>
        <w:rPr>
          <w:rFonts w:hint="eastAsia" w:ascii="宋体" w:hAnsi="宋体" w:eastAsia="宋体" w:cs="宋体"/>
          <w:color w:val="auto"/>
          <w:szCs w:val="21"/>
          <w:highlight w:val="none"/>
        </w:rPr>
        <w:t>柜面上有放置开水瓶的装置（水壶座）（可放置5磅保温开水瓶一个或花瓶）。</w:t>
      </w:r>
    </w:p>
    <w:p w14:paraId="6E1388CB">
      <w:pPr>
        <w:numPr>
          <w:ilvl w:val="0"/>
          <w:numId w:val="0"/>
        </w:numPr>
        <w:tabs>
          <w:tab w:val="left" w:pos="1734"/>
          <w:tab w:val="left" w:pos="2814"/>
          <w:tab w:val="left" w:pos="3894"/>
          <w:tab w:val="left" w:pos="5334"/>
          <w:tab w:val="left" w:pos="6414"/>
          <w:tab w:val="left" w:pos="8574"/>
          <w:tab w:val="left" w:pos="9654"/>
        </w:tabs>
        <w:ind w:left="425" w:leftChars="0" w:hanging="425" w:firstLineChars="0"/>
        <w:rPr>
          <w:rFonts w:ascii="宋体" w:hAnsi="宋体" w:eastAsia="宋体" w:cs="宋体"/>
          <w:color w:val="auto"/>
          <w:szCs w:val="21"/>
          <w:highlight w:val="none"/>
        </w:rPr>
      </w:pPr>
      <w:r>
        <w:rPr>
          <w:rFonts w:hint="default" w:ascii="宋体" w:hAnsi="宋体" w:eastAsia="宋体" w:cs="宋体"/>
          <w:color w:val="auto"/>
          <w:kern w:val="2"/>
          <w:sz w:val="21"/>
          <w:szCs w:val="21"/>
          <w:lang w:val="en-US" w:eastAsia="zh-CN" w:bidi="ar-SA"/>
        </w:rPr>
        <w:t>(16)</w:t>
      </w:r>
      <w:r>
        <w:rPr>
          <w:rFonts w:hint="eastAsia" w:ascii="宋体" w:hAnsi="宋体" w:eastAsia="宋体" w:cs="宋体"/>
          <w:color w:val="auto"/>
          <w:szCs w:val="21"/>
          <w:highlight w:val="none"/>
        </w:rPr>
        <w:t>柜门带密封磁吸条功能，能自动磁收柜门功能。</w:t>
      </w:r>
    </w:p>
    <w:p w14:paraId="674C5950">
      <w:pPr>
        <w:numPr>
          <w:ilvl w:val="0"/>
          <w:numId w:val="2"/>
        </w:numPr>
        <w:tabs>
          <w:tab w:val="left" w:pos="0"/>
        </w:tabs>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移动输液架</w:t>
      </w:r>
    </w:p>
    <w:p w14:paraId="769AAC52">
      <w:pPr>
        <w:numPr>
          <w:ilvl w:val="0"/>
          <w:numId w:val="0"/>
        </w:num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szCs w:val="21"/>
          <w:highlight w:val="none"/>
          <w:lang w:val="en-US" w:eastAsia="zh-CN"/>
        </w:rPr>
      </w:pPr>
      <w:r>
        <w:rPr>
          <w:rFonts w:hint="default" w:ascii="宋体" w:hAnsi="宋体" w:eastAsia="宋体" w:cs="宋体"/>
          <w:color w:val="auto"/>
          <w:kern w:val="2"/>
          <w:sz w:val="21"/>
          <w:szCs w:val="21"/>
          <w:lang w:val="en-US" w:eastAsia="zh-CN" w:bidi="ar-SA"/>
        </w:rPr>
        <w:t>(6)</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lang w:val="en-US" w:eastAsia="zh-CN"/>
        </w:rPr>
        <w:t>底座铸铁喷塑，直径约</w:t>
      </w:r>
      <w:r>
        <w:rPr>
          <w:rFonts w:hint="eastAsia" w:ascii="宋体" w:hAnsi="宋体" w:eastAsia="宋体" w:cs="宋体"/>
          <w:color w:val="auto"/>
          <w:szCs w:val="21"/>
          <w:highlight w:val="none"/>
        </w:rPr>
        <w:t>450mm</w:t>
      </w:r>
      <w:r>
        <w:rPr>
          <w:rFonts w:hint="eastAsia" w:ascii="宋体" w:hAnsi="宋体" w:eastAsia="宋体" w:cs="宋体"/>
          <w:color w:val="auto"/>
          <w:szCs w:val="21"/>
          <w:highlight w:val="none"/>
          <w:lang w:eastAsia="zh-CN"/>
        </w:rPr>
        <w:t>；</w:t>
      </w:r>
      <w:r>
        <w:rPr>
          <w:rFonts w:hint="eastAsia" w:ascii="宋体" w:hAnsi="宋体" w:eastAsia="宋体" w:cs="宋体"/>
          <w:b w:val="0"/>
          <w:bCs w:val="0"/>
          <w:color w:val="auto"/>
          <w:szCs w:val="21"/>
          <w:highlight w:val="none"/>
          <w:lang w:val="en-US" w:eastAsia="zh-CN"/>
        </w:rPr>
        <w:t>装有</w:t>
      </w:r>
      <w:r>
        <w:rPr>
          <w:rFonts w:hint="eastAsia" w:ascii="宋体" w:hAnsi="宋体" w:eastAsia="宋体" w:cs="宋体"/>
          <w:color w:val="auto"/>
          <w:szCs w:val="21"/>
          <w:highlight w:val="none"/>
        </w:rPr>
        <w:t>5只50mm聚胺酯静音脚轮</w:t>
      </w:r>
      <w:r>
        <w:rPr>
          <w:rFonts w:hint="eastAsia" w:ascii="宋体" w:hAnsi="宋体" w:eastAsia="宋体" w:cs="宋体"/>
          <w:color w:val="auto"/>
          <w:szCs w:val="21"/>
          <w:highlight w:val="none"/>
          <w:lang w:eastAsia="zh-CN"/>
        </w:rPr>
        <w:t>，</w:t>
      </w:r>
      <w:r>
        <w:rPr>
          <w:rFonts w:ascii="Segoe UI" w:hAnsi="Segoe UI" w:eastAsia="Segoe UI" w:cs="Segoe UI"/>
          <w:i w:val="0"/>
          <w:iCs w:val="0"/>
          <w:caps w:val="0"/>
          <w:color w:val="0F1115"/>
          <w:spacing w:val="0"/>
          <w:sz w:val="22"/>
          <w:szCs w:val="22"/>
          <w:shd w:val="clear" w:fill="FFFFFF"/>
        </w:rPr>
        <w:t>移动时的平稳和安静</w:t>
      </w:r>
      <w:r>
        <w:rPr>
          <w:rFonts w:hint="eastAsia" w:ascii="宋体" w:hAnsi="宋体" w:eastAsia="宋体" w:cs="宋体"/>
          <w:color w:val="auto"/>
          <w:szCs w:val="21"/>
          <w:highlight w:val="none"/>
        </w:rPr>
        <w:t>。</w:t>
      </w:r>
    </w:p>
    <w:p w14:paraId="0EA85F83">
      <w:pPr>
        <w:numPr>
          <w:ilvl w:val="0"/>
          <w:numId w:val="0"/>
        </w:numPr>
        <w:tabs>
          <w:tab w:val="left" w:pos="1734"/>
          <w:tab w:val="left" w:pos="2814"/>
          <w:tab w:val="left" w:pos="3894"/>
          <w:tab w:val="left" w:pos="5334"/>
          <w:tab w:val="left" w:pos="6414"/>
          <w:tab w:val="left" w:pos="8574"/>
          <w:tab w:val="left" w:pos="9654"/>
        </w:tabs>
        <w:ind w:left="425" w:leftChars="0" w:hanging="425" w:firstLineChars="0"/>
        <w:rPr>
          <w:rFonts w:hint="eastAsia" w:ascii="宋体" w:hAnsi="宋体" w:eastAsia="宋体" w:cs="宋体"/>
          <w:color w:val="auto"/>
          <w:szCs w:val="21"/>
          <w:highlight w:val="none"/>
          <w:lang w:val="en-US" w:eastAsia="zh-CN"/>
        </w:rPr>
      </w:pPr>
      <w:r>
        <w:rPr>
          <w:rFonts w:hint="default" w:ascii="宋体" w:hAnsi="宋体" w:eastAsia="宋体" w:cs="宋体"/>
          <w:color w:val="auto"/>
          <w:kern w:val="2"/>
          <w:sz w:val="21"/>
          <w:szCs w:val="21"/>
          <w:lang w:val="en-US" w:eastAsia="zh-CN" w:bidi="ar-SA"/>
        </w:rPr>
        <w:t>(7)</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lang w:val="en-US" w:eastAsia="zh-CN"/>
        </w:rPr>
        <w:t>整体高度约1500mm-2600mm（可伸缩），下段杆子 1300mm（加长），杆子直径≥</w:t>
      </w:r>
      <w:r>
        <w:rPr>
          <w:rFonts w:hint="default" w:ascii="宋体" w:hAnsi="宋体" w:eastAsia="宋体" w:cs="宋体"/>
          <w:color w:val="auto"/>
          <w:szCs w:val="21"/>
          <w:highlight w:val="none"/>
          <w:lang w:val="en-US" w:eastAsia="zh-CN"/>
        </w:rPr>
        <w:t>32mm</w:t>
      </w:r>
      <w:r>
        <w:rPr>
          <w:rFonts w:hint="eastAsia" w:ascii="宋体" w:hAnsi="宋体" w:eastAsia="宋体" w:cs="宋体"/>
          <w:color w:val="auto"/>
          <w:szCs w:val="21"/>
          <w:highlight w:val="none"/>
          <w:lang w:val="en-US" w:eastAsia="zh-CN"/>
        </w:rPr>
        <w:t xml:space="preserve">，杆壁加厚≥ </w:t>
      </w:r>
      <w:r>
        <w:rPr>
          <w:rFonts w:hint="default" w:ascii="宋体" w:hAnsi="宋体" w:eastAsia="宋体" w:cs="宋体"/>
          <w:color w:val="auto"/>
          <w:szCs w:val="21"/>
          <w:highlight w:val="none"/>
          <w:lang w:val="en-US" w:eastAsia="zh-CN"/>
        </w:rPr>
        <w:t>0.9mm</w:t>
      </w:r>
      <w:r>
        <w:rPr>
          <w:rFonts w:hint="eastAsia" w:ascii="宋体" w:hAnsi="宋体" w:eastAsia="宋体" w:cs="宋体"/>
          <w:color w:val="auto"/>
          <w:szCs w:val="21"/>
          <w:highlight w:val="none"/>
          <w:lang w:val="en-US" w:eastAsia="zh-CN"/>
        </w:rPr>
        <w:t>。</w:t>
      </w:r>
    </w:p>
    <w:p w14:paraId="4E816D97">
      <w:pPr>
        <w:numPr>
          <w:ilvl w:val="0"/>
          <w:numId w:val="0"/>
        </w:num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szCs w:val="21"/>
          <w:highlight w:val="none"/>
          <w:lang w:val="en-US" w:eastAsia="zh-CN"/>
        </w:rPr>
      </w:pPr>
      <w:r>
        <w:rPr>
          <w:rFonts w:hint="default" w:ascii="宋体" w:hAnsi="宋体" w:eastAsia="宋体" w:cs="宋体"/>
          <w:color w:val="auto"/>
          <w:kern w:val="2"/>
          <w:sz w:val="21"/>
          <w:szCs w:val="21"/>
          <w:lang w:val="en-US" w:eastAsia="zh-CN" w:bidi="ar-SA"/>
        </w:rPr>
        <w:t>(8)</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吊杆长度尺寸可根据用户实际需要任意调节，吊杆长度调整时自锁性能好。</w:t>
      </w:r>
    </w:p>
    <w:p w14:paraId="7CED061B">
      <w:pPr>
        <w:numPr>
          <w:ilvl w:val="0"/>
          <w:numId w:val="0"/>
        </w:num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szCs w:val="21"/>
          <w:highlight w:val="none"/>
          <w:lang w:val="en-US" w:eastAsia="zh-CN"/>
        </w:rPr>
      </w:pPr>
      <w:r>
        <w:rPr>
          <w:rFonts w:hint="default" w:ascii="宋体" w:hAnsi="宋体" w:eastAsia="宋体" w:cs="宋体"/>
          <w:color w:val="auto"/>
          <w:kern w:val="2"/>
          <w:sz w:val="21"/>
          <w:szCs w:val="21"/>
          <w:lang w:val="en-US" w:eastAsia="zh-CN" w:bidi="ar-SA"/>
        </w:rPr>
        <w:t>(9)</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 xml:space="preserve">挂架整体的额定载负＞15kg，单个顶钩能够悬挂＞10kg。 </w:t>
      </w:r>
    </w:p>
    <w:p w14:paraId="14D62581">
      <w:pPr>
        <w:numPr>
          <w:ilvl w:val="0"/>
          <w:numId w:val="0"/>
        </w:numPr>
        <w:tabs>
          <w:tab w:val="left" w:pos="1734"/>
          <w:tab w:val="left" w:pos="2814"/>
          <w:tab w:val="left" w:pos="3894"/>
          <w:tab w:val="left" w:pos="5334"/>
          <w:tab w:val="left" w:pos="6414"/>
          <w:tab w:val="left" w:pos="8574"/>
          <w:tab w:val="left" w:pos="9654"/>
        </w:tabs>
        <w:ind w:left="425" w:leftChars="0" w:hanging="425" w:firstLineChars="0"/>
        <w:rPr>
          <w:rFonts w:hint="default" w:ascii="宋体" w:hAnsi="宋体" w:eastAsia="宋体" w:cs="宋体"/>
          <w:color w:val="auto"/>
          <w:szCs w:val="21"/>
          <w:highlight w:val="none"/>
          <w:lang w:val="en-US" w:eastAsia="zh-CN"/>
        </w:rPr>
      </w:pPr>
      <w:r>
        <w:rPr>
          <w:rFonts w:hint="default" w:ascii="宋体" w:hAnsi="宋体" w:eastAsia="宋体" w:cs="宋体"/>
          <w:color w:val="auto"/>
          <w:kern w:val="2"/>
          <w:sz w:val="21"/>
          <w:szCs w:val="21"/>
          <w:lang w:val="en-US" w:eastAsia="zh-CN" w:bidi="ar-SA"/>
        </w:rPr>
        <w:t>(10)</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 xml:space="preserve">在额定负载下，输液架应操作灵活，各零部件不应变形和损坏。 </w:t>
      </w:r>
    </w:p>
    <w:p w14:paraId="07DD3FEF">
      <w:pPr>
        <w:numPr>
          <w:ilvl w:val="0"/>
          <w:numId w:val="0"/>
        </w:numPr>
        <w:spacing w:line="440" w:lineRule="exact"/>
        <w:rPr>
          <w:rFonts w:ascii="宋体" w:hAnsi="宋体" w:eastAsia="宋体" w:cs="宋体"/>
          <w:b/>
          <w:color w:val="auto"/>
          <w:szCs w:val="21"/>
          <w:highlight w:val="none"/>
        </w:rPr>
      </w:pPr>
      <w:r>
        <w:rPr>
          <w:rFonts w:hint="eastAsia" w:ascii="宋体" w:hAnsi="宋体" w:eastAsia="宋体" w:cs="宋体"/>
          <w:b/>
          <w:color w:val="auto"/>
          <w:kern w:val="2"/>
          <w:sz w:val="21"/>
          <w:szCs w:val="21"/>
          <w:lang w:val="en-US" w:eastAsia="zh-CN" w:bidi="ar-SA"/>
        </w:rPr>
        <w:t>四、</w:t>
      </w:r>
      <w:r>
        <w:rPr>
          <w:rFonts w:hint="eastAsia" w:ascii="宋体" w:hAnsi="宋体" w:eastAsia="宋体" w:cs="宋体"/>
          <w:b/>
          <w:color w:val="auto"/>
          <w:szCs w:val="21"/>
          <w:highlight w:val="none"/>
        </w:rPr>
        <w:t>商务要求：</w:t>
      </w:r>
    </w:p>
    <w:p w14:paraId="27F386A5">
      <w:pPr>
        <w:spacing w:line="440" w:lineRule="exact"/>
        <w:rPr>
          <w:rFonts w:ascii="宋体" w:hAnsi="宋体" w:eastAsia="宋体" w:cs="宋体"/>
          <w:b/>
          <w:color w:val="auto"/>
          <w:szCs w:val="21"/>
          <w:highlight w:val="none"/>
        </w:rPr>
      </w:pPr>
      <w:r>
        <w:rPr>
          <w:rFonts w:hint="eastAsia" w:ascii="宋体" w:hAnsi="宋体" w:eastAsia="宋体" w:cs="宋体"/>
          <w:b/>
          <w:color w:val="auto"/>
          <w:szCs w:val="21"/>
          <w:highlight w:val="none"/>
        </w:rPr>
        <w:t>1.交货及安装、验收要求</w:t>
      </w:r>
    </w:p>
    <w:p w14:paraId="0A2E3325">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1.1交货地点：采购人指定地点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采购人各科室内</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71EC77A4">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1.2交货期：中标供应商应当在中标通知书发出之日起30日内按招标文件及中标人的</w:t>
      </w:r>
      <w:r>
        <w:rPr>
          <w:rFonts w:hint="eastAsia" w:ascii="宋体" w:hAnsi="宋体" w:eastAsia="宋体" w:cs="宋体"/>
          <w:color w:val="auto"/>
          <w:szCs w:val="21"/>
          <w:highlight w:val="none"/>
          <w:lang w:eastAsia="zh-CN"/>
        </w:rPr>
        <w:t>投标文件</w:t>
      </w:r>
      <w:r>
        <w:rPr>
          <w:rFonts w:hint="eastAsia" w:ascii="宋体" w:hAnsi="宋体" w:eastAsia="宋体" w:cs="宋体"/>
          <w:color w:val="auto"/>
          <w:szCs w:val="21"/>
          <w:highlight w:val="none"/>
        </w:rPr>
        <w:t>确定的事项与采购人签订合同，签订合同后</w:t>
      </w:r>
      <w:r>
        <w:rPr>
          <w:rFonts w:hint="eastAsia" w:ascii="宋体" w:hAnsi="宋体" w:eastAsia="宋体" w:cs="宋体"/>
          <w:color w:val="auto"/>
          <w:szCs w:val="21"/>
          <w:highlight w:val="none"/>
          <w:lang w:val="en-US" w:eastAsia="zh-CN"/>
        </w:rPr>
        <w:t>收到采购人通知后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15</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rPr>
        <w:t>日内完成设备的</w:t>
      </w:r>
      <w:r>
        <w:rPr>
          <w:rFonts w:hint="eastAsia" w:ascii="宋体" w:hAnsi="宋体" w:eastAsia="宋体" w:cs="宋体"/>
          <w:color w:val="auto"/>
          <w:szCs w:val="21"/>
          <w:highlight w:val="none"/>
          <w:lang w:val="en-US" w:eastAsia="zh-CN"/>
        </w:rPr>
        <w:t>送货、</w:t>
      </w:r>
      <w:r>
        <w:rPr>
          <w:rFonts w:hint="eastAsia" w:ascii="宋体" w:hAnsi="宋体" w:eastAsia="宋体" w:cs="宋体"/>
          <w:color w:val="auto"/>
          <w:szCs w:val="21"/>
          <w:highlight w:val="none"/>
        </w:rPr>
        <w:t>安装</w:t>
      </w:r>
      <w:r>
        <w:rPr>
          <w:rFonts w:hint="eastAsia" w:ascii="宋体" w:hAnsi="宋体" w:eastAsia="宋体" w:cs="宋体"/>
          <w:color w:val="auto"/>
          <w:szCs w:val="21"/>
          <w:highlight w:val="none"/>
          <w:lang w:val="en-US" w:eastAsia="zh-CN"/>
        </w:rPr>
        <w:t>及</w:t>
      </w:r>
      <w:r>
        <w:rPr>
          <w:rFonts w:hint="eastAsia" w:ascii="宋体" w:hAnsi="宋体" w:eastAsia="宋体" w:cs="宋体"/>
          <w:color w:val="auto"/>
          <w:szCs w:val="21"/>
          <w:highlight w:val="none"/>
        </w:rPr>
        <w:t>调试。</w:t>
      </w:r>
      <w:bookmarkStart w:id="1" w:name="_GoBack"/>
      <w:bookmarkEnd w:id="1"/>
    </w:p>
    <w:p w14:paraId="59339137">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1.3中标供应商须保证中标后所提供的设备为原装、全新合格的产品。</w:t>
      </w:r>
    </w:p>
    <w:p w14:paraId="1384B446">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1.4中标供应商负责派技术人员到现场进行安装调试，直至验收合格，安装调试所需费用应包含在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总报价内；同时提供培训服务，必须保证需求科室操作人员融会贯通，培训所需费用全部包含在总报价内。</w:t>
      </w:r>
    </w:p>
    <w:p w14:paraId="5BCF0744">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1.5验收方式：按《小榄镇镇属医院医疗项目采购和验收管理规定》。</w:t>
      </w:r>
    </w:p>
    <w:p w14:paraId="72A2E951">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★1.6</w:t>
      </w:r>
      <w:r>
        <w:rPr>
          <w:rFonts w:hint="eastAsia" w:ascii="宋体" w:hAnsi="宋体" w:eastAsia="宋体" w:cs="宋体"/>
          <w:color w:val="auto"/>
          <w:szCs w:val="21"/>
          <w:highlight w:val="none"/>
          <w:lang w:eastAsia="zh-CN"/>
        </w:rPr>
        <w:t>响应供应商</w:t>
      </w:r>
      <w:r>
        <w:rPr>
          <w:rFonts w:hint="eastAsia" w:ascii="宋体" w:hAnsi="宋体" w:eastAsia="宋体" w:cs="宋体"/>
          <w:color w:val="auto"/>
          <w:szCs w:val="21"/>
          <w:highlight w:val="none"/>
        </w:rPr>
        <w:t>须要在</w:t>
      </w:r>
      <w:r>
        <w:rPr>
          <w:rFonts w:hint="eastAsia" w:ascii="宋体" w:hAnsi="宋体" w:eastAsia="宋体" w:cs="宋体"/>
          <w:color w:val="auto"/>
          <w:szCs w:val="21"/>
          <w:highlight w:val="none"/>
          <w:lang w:eastAsia="zh-CN"/>
        </w:rPr>
        <w:t>投标文件</w:t>
      </w:r>
      <w:r>
        <w:rPr>
          <w:rFonts w:hint="eastAsia" w:ascii="宋体" w:hAnsi="宋体" w:eastAsia="宋体" w:cs="宋体"/>
          <w:color w:val="auto"/>
          <w:szCs w:val="21"/>
          <w:highlight w:val="none"/>
        </w:rPr>
        <w:t>做出具承诺函，该承诺函包括但不限于以下内容:</w:t>
      </w:r>
    </w:p>
    <w:p w14:paraId="553DE598">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承诺中标后须在中标公告发布之日起五个工作日内提供设备制造厂商开具并盖章的合法有效的</w:t>
      </w:r>
      <w:r>
        <w:rPr>
          <w:rFonts w:hint="eastAsia" w:ascii="宋体" w:hAnsi="宋体" w:eastAsia="宋体" w:cs="宋体"/>
          <w:color w:val="auto"/>
          <w:szCs w:val="21"/>
          <w:highlight w:val="none"/>
          <w:lang w:val="en-US" w:eastAsia="zh-CN"/>
        </w:rPr>
        <w:t>经营资质、</w:t>
      </w:r>
      <w:r>
        <w:rPr>
          <w:rFonts w:hint="eastAsia" w:ascii="宋体" w:hAnsi="宋体" w:eastAsia="宋体" w:cs="宋体"/>
          <w:color w:val="auto"/>
          <w:szCs w:val="21"/>
          <w:highlight w:val="none"/>
        </w:rPr>
        <w:t>授权函原件（盖章）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售后服务承诺函原件（盖章）。</w:t>
      </w:r>
    </w:p>
    <w:p w14:paraId="35631C72">
      <w:pPr>
        <w:spacing w:line="440" w:lineRule="exact"/>
        <w:rPr>
          <w:rFonts w:ascii="宋体" w:hAnsi="宋体" w:eastAsia="宋体" w:cs="宋体"/>
          <w:b/>
          <w:color w:val="auto"/>
          <w:szCs w:val="21"/>
          <w:highlight w:val="none"/>
        </w:rPr>
      </w:pPr>
      <w:r>
        <w:rPr>
          <w:rFonts w:hint="eastAsia" w:ascii="宋体" w:hAnsi="宋体" w:eastAsia="宋体" w:cs="宋体"/>
          <w:b/>
          <w:color w:val="auto"/>
          <w:szCs w:val="21"/>
          <w:highlight w:val="none"/>
        </w:rPr>
        <w:t>2.售后服务要求</w:t>
      </w:r>
    </w:p>
    <w:p w14:paraId="72CE5519">
      <w:pPr>
        <w:tabs>
          <w:tab w:val="left" w:pos="420"/>
        </w:tabs>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2.1中标供应商必须在中国境内有售后服务机构，并附有售后服务能力说明。</w:t>
      </w:r>
    </w:p>
    <w:p w14:paraId="03340332">
      <w:pPr>
        <w:numPr>
          <w:ilvl w:val="0"/>
          <w:numId w:val="3"/>
        </w:num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★2.2中标供应商须提供设备原厂质保（设备原厂质量保修范围和保修期）：手动双摇病床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床头柜、床垫和移动输液架</w:t>
      </w:r>
      <w:r>
        <w:rPr>
          <w:rFonts w:hint="eastAsia" w:ascii="宋体" w:hAnsi="宋体" w:eastAsia="宋体" w:cs="宋体"/>
          <w:color w:val="auto"/>
          <w:szCs w:val="21"/>
          <w:highlight w:val="none"/>
        </w:rPr>
        <w:t>至少</w:t>
      </w:r>
      <w:r>
        <w:rPr>
          <w:rFonts w:hint="eastAsia" w:ascii="宋体" w:hAnsi="宋体" w:eastAsia="宋体" w:cs="宋体"/>
          <w:color w:val="auto"/>
          <w:szCs w:val="21"/>
          <w:highlight w:val="none"/>
          <w:u w:val="single"/>
        </w:rPr>
        <w:t>2</w:t>
      </w:r>
      <w:r>
        <w:rPr>
          <w:rFonts w:hint="eastAsia" w:ascii="宋体" w:hAnsi="宋体" w:eastAsia="宋体" w:cs="宋体"/>
          <w:color w:val="auto"/>
          <w:szCs w:val="21"/>
          <w:highlight w:val="none"/>
        </w:rPr>
        <w:t>年。</w:t>
      </w:r>
    </w:p>
    <w:p w14:paraId="676C5B93">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2.3在售后期内，中标供应商在接到用户的维修通知，响应时间为半小时内，工程师到达现场时间为4小时内，排除故障时限为到达现场后8小时内。</w:t>
      </w:r>
    </w:p>
    <w:p w14:paraId="1468AF86">
      <w:pPr>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2.4如果产品故障在检修12小时后仍无法排除，中标供应商应在24小时内提供不低于故障产品规格型号档次的备用产品供采购人使用，直至故障产品修复。</w:t>
      </w:r>
    </w:p>
    <w:p w14:paraId="0710BD34">
      <w:pPr>
        <w:spacing w:line="440" w:lineRule="exact"/>
        <w:rPr>
          <w:rFonts w:ascii="宋体" w:hAnsi="宋体" w:eastAsia="宋体" w:cs="宋体"/>
          <w:b/>
          <w:color w:val="auto"/>
          <w:szCs w:val="21"/>
          <w:highlight w:val="none"/>
        </w:rPr>
      </w:pPr>
      <w:r>
        <w:rPr>
          <w:rFonts w:hint="eastAsia" w:ascii="宋体" w:hAnsi="宋体" w:eastAsia="宋体" w:cs="宋体"/>
          <w:b/>
          <w:color w:val="auto"/>
          <w:szCs w:val="21"/>
          <w:highlight w:val="none"/>
        </w:rPr>
        <w:t>3.付款方式</w:t>
      </w:r>
    </w:p>
    <w:p w14:paraId="566D4990">
      <w:pPr>
        <w:spacing w:line="360" w:lineRule="auto"/>
        <w:ind w:firstLine="420" w:firstLineChars="200"/>
        <w:rPr>
          <w:rFonts w:hint="eastAsia" w:ascii="宋体" w:hAnsi="宋体" w:cs="宋体"/>
          <w:color w:val="auto"/>
          <w:szCs w:val="21"/>
        </w:rPr>
      </w:pPr>
      <w:r>
        <w:rPr>
          <w:rFonts w:hint="eastAsia" w:ascii="宋体" w:hAnsi="宋体" w:eastAsia="宋体" w:cs="宋体"/>
          <w:color w:val="auto"/>
          <w:szCs w:val="21"/>
          <w:highlight w:val="none"/>
        </w:rPr>
        <w:t>★</w:t>
      </w: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cs="宋体"/>
          <w:color w:val="auto"/>
          <w:szCs w:val="21"/>
        </w:rPr>
        <w:t>分两期支付。第一期：到货后经双方验收人员书面确认验收合格后，成交供应商开具全额有效增值税普通发票（含税），采购人付合同总额的 95%；第二期：合同总金额的 5%的款项在货物验收合格质保期满后</w:t>
      </w:r>
      <w:r>
        <w:rPr>
          <w:rFonts w:hint="eastAsia" w:ascii="宋体" w:hAnsi="宋体" w:cs="宋体"/>
          <w:color w:val="auto"/>
          <w:szCs w:val="21"/>
          <w:lang w:eastAsia="zh-CN"/>
        </w:rPr>
        <w:t>一次性无息</w:t>
      </w:r>
      <w:r>
        <w:rPr>
          <w:rFonts w:hint="eastAsia" w:ascii="宋体" w:hAnsi="宋体" w:cs="宋体"/>
          <w:color w:val="auto"/>
          <w:szCs w:val="21"/>
        </w:rPr>
        <w:t>支付。</w:t>
      </w:r>
    </w:p>
    <w:p w14:paraId="6A72A7AE">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lang w:val="en-US" w:eastAsia="zh-CN"/>
        </w:rPr>
        <w:t>2.</w:t>
      </w:r>
      <w:r>
        <w:rPr>
          <w:rFonts w:hint="eastAsia" w:ascii="宋体" w:hAnsi="宋体" w:cs="宋体"/>
          <w:color w:val="auto"/>
          <w:szCs w:val="21"/>
        </w:rPr>
        <w:t>成交供应商须开具与</w:t>
      </w:r>
      <w:r>
        <w:rPr>
          <w:rFonts w:hint="eastAsia" w:ascii="宋体" w:hAnsi="宋体" w:cs="宋体"/>
          <w:color w:val="auto"/>
          <w:szCs w:val="21"/>
          <w:lang w:eastAsia="zh-CN"/>
        </w:rPr>
        <w:t>投标文件</w:t>
      </w:r>
      <w:r>
        <w:rPr>
          <w:rFonts w:hint="eastAsia" w:ascii="宋体" w:hAnsi="宋体" w:cs="宋体"/>
          <w:color w:val="auto"/>
          <w:szCs w:val="21"/>
        </w:rPr>
        <w:t>中报价人名称、响应报价一致的有效全额增值税</w:t>
      </w:r>
      <w:r>
        <w:rPr>
          <w:rFonts w:hint="eastAsia" w:ascii="宋体" w:hAnsi="宋体" w:cs="宋体"/>
          <w:color w:val="auto"/>
          <w:szCs w:val="21"/>
          <w:lang w:val="en-US" w:eastAsia="zh-CN"/>
        </w:rPr>
        <w:t>普通发票。</w:t>
      </w:r>
    </w:p>
    <w:p w14:paraId="38571722">
      <w:pPr>
        <w:spacing w:line="440" w:lineRule="exact"/>
        <w:rPr>
          <w:rFonts w:hint="eastAsia" w:ascii="宋体" w:hAnsi="宋体" w:eastAsia="宋体" w:cs="宋体"/>
          <w:color w:val="auto"/>
          <w:szCs w:val="21"/>
          <w:highlight w:val="none"/>
        </w:rPr>
      </w:pPr>
    </w:p>
    <w:p w14:paraId="7A01D6BC">
      <w:pPr>
        <w:spacing w:line="440" w:lineRule="exact"/>
        <w:rPr>
          <w:rFonts w:hint="eastAsia" w:ascii="宋体" w:hAnsi="宋体" w:eastAsia="宋体" w:cs="宋体"/>
          <w:color w:val="auto"/>
          <w:szCs w:val="21"/>
          <w:highlight w:val="none"/>
        </w:rPr>
      </w:pPr>
    </w:p>
    <w:p w14:paraId="29E0C031">
      <w:pPr>
        <w:rPr>
          <w:color w:val="auto"/>
          <w:highlight w:val="none"/>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85003">
    <w:pPr>
      <w:pStyle w:val="5"/>
      <w:rPr>
        <w:rFonts w:hint="default" w:eastAsiaTheme="minorEastAsia"/>
        <w:lang w:val="en-US"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3F6333"/>
    <w:multiLevelType w:val="multilevel"/>
    <w:tmpl w:val="573F6333"/>
    <w:lvl w:ilvl="0" w:tentative="0">
      <w:start w:val="6"/>
      <w:numFmt w:val="decimal"/>
      <w:lvlText w:val="%1、"/>
      <w:lvlJc w:val="left"/>
      <w:pPr>
        <w:ind w:left="360" w:hanging="36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1B41230"/>
    <w:multiLevelType w:val="multilevel"/>
    <w:tmpl w:val="61B41230"/>
    <w:lvl w:ilvl="0" w:tentative="0">
      <w:start w:val="2"/>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FAEBBDC"/>
    <w:multiLevelType w:val="singleLevel"/>
    <w:tmpl w:val="7FAEBBDC"/>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02941"/>
    <w:rsid w:val="0376061A"/>
    <w:rsid w:val="0404325C"/>
    <w:rsid w:val="10BA0C81"/>
    <w:rsid w:val="11973E8B"/>
    <w:rsid w:val="13CE33F5"/>
    <w:rsid w:val="1D6E79F7"/>
    <w:rsid w:val="301A1621"/>
    <w:rsid w:val="30BA2F50"/>
    <w:rsid w:val="365F770C"/>
    <w:rsid w:val="38580610"/>
    <w:rsid w:val="469A4138"/>
    <w:rsid w:val="520B3A96"/>
    <w:rsid w:val="5D8D2FA6"/>
    <w:rsid w:val="6BE0693E"/>
    <w:rsid w:val="6E8E1EE7"/>
    <w:rsid w:val="6F1868FD"/>
    <w:rsid w:val="75D02941"/>
    <w:rsid w:val="79C87FB8"/>
    <w:rsid w:val="7A33053A"/>
    <w:rsid w:val="7ADA3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widowControl/>
      <w:jc w:val="left"/>
    </w:pPr>
    <w:rPr>
      <w:kern w:val="0"/>
      <w:szCs w:val="20"/>
    </w:rPr>
  </w:style>
  <w:style w:type="paragraph" w:styleId="4">
    <w:name w:val="Body Text"/>
    <w:basedOn w:val="1"/>
    <w:next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4"/>
    <w:next w:val="1"/>
    <w:qFormat/>
    <w:uiPriority w:val="0"/>
    <w:pPr>
      <w:spacing w:after="0" w:line="360" w:lineRule="auto"/>
      <w:ind w:firstLine="425"/>
    </w:pPr>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图"/>
    <w:basedOn w:val="1"/>
    <w:qFormat/>
    <w:uiPriority w:val="0"/>
    <w:pPr>
      <w:keepNext/>
      <w:adjustRightInd w:val="0"/>
      <w:spacing w:before="60" w:after="60" w:line="300" w:lineRule="auto"/>
      <w:jc w:val="center"/>
      <w:textAlignment w:val="center"/>
    </w:pPr>
    <w:rPr>
      <w:snapToGrid w:val="0"/>
      <w:spacing w:val="20"/>
      <w:sz w:val="24"/>
    </w:rPr>
  </w:style>
  <w:style w:type="paragraph" w:styleId="12">
    <w:name w:val="List Paragraph"/>
    <w:basedOn w:val="1"/>
    <w:unhideWhenUsed/>
    <w:qFormat/>
    <w:uiPriority w:val="99"/>
    <w:pPr>
      <w:ind w:firstLine="420" w:firstLineChars="200"/>
    </w:pPr>
  </w:style>
  <w:style w:type="paragraph" w:customStyle="1" w:styleId="1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3568</Words>
  <Characters>3990</Characters>
  <Lines>0</Lines>
  <Paragraphs>0</Paragraphs>
  <TotalTime>0</TotalTime>
  <ScaleCrop>false</ScaleCrop>
  <LinksUpToDate>false</LinksUpToDate>
  <CharactersWithSpaces>4003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2022-03-31T00:39:00Z</dcterms:created>
  <dc:creator>Paula</dc:creator>
  <cp:lastModifiedBy>JinPing</cp:lastModifiedBy>
  <dcterms:modified xsi:type="dcterms:W3CDTF">2026-02-27T03:52:12Z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EBA9038B276C4BF08321CB5DC3F16978_13</vt:lpwstr>
  </property>
  <property fmtid="{D5CDD505-2E9C-101B-9397-08002B2CF9AE}" pid="4" name="KSOTemplateDocerSaveRecord">
    <vt:lpwstr>eyJoZGlkIjoiMDg3OWNmNjk5NjFlNTY2Yzc0ODE5ZjExYjhjOWY5YjUiLCJ1c2VySWQiOiI0MjEyODg4MDAifQ==</vt:lpwstr>
  </property>
</Properties>
</file>