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FA2CD">
      <w:pPr>
        <w:rPr>
          <w:rFonts w:hint="eastAsia"/>
          <w:lang w:val="en-US" w:eastAsia="zh-CN"/>
        </w:rPr>
      </w:pPr>
      <w:r>
        <w:rPr>
          <w:rFonts w:hint="eastAsia"/>
          <w:lang w:val="en-US" w:eastAsia="zh-CN"/>
        </w:rPr>
        <w:t>西门子VIDA型3.0T磁共振成像系统维保需求（初稿）</w:t>
      </w:r>
    </w:p>
    <w:p w14:paraId="45792DC6">
      <w:pPr>
        <w:keepNext w:val="0"/>
        <w:keepLines w:val="0"/>
        <w:pageBreakBefore w:val="0"/>
        <w:widowControl/>
        <w:kinsoku w:val="0"/>
        <w:wordWrap/>
        <w:overflowPunct/>
        <w:topLinePunct w:val="0"/>
        <w:autoSpaceDE w:val="0"/>
        <w:autoSpaceDN w:val="0"/>
        <w:bidi w:val="0"/>
        <w:adjustRightInd w:val="0"/>
        <w:snapToGrid w:val="0"/>
        <w:spacing w:before="74" w:line="360" w:lineRule="auto"/>
        <w:textAlignment w:val="baseline"/>
        <w:outlineLvl w:val="0"/>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商务要求</w:t>
      </w:r>
    </w:p>
    <w:p w14:paraId="0027251F">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106" w:line="360" w:lineRule="auto"/>
        <w:ind w:left="45" w:firstLine="500" w:firstLineChars="0"/>
        <w:textAlignment w:val="baseline"/>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投标人需通过</w:t>
      </w:r>
      <w:r>
        <w:rPr>
          <w:rFonts w:hint="eastAsia" w:ascii="仿宋" w:hAnsi="仿宋" w:eastAsia="仿宋" w:cs="仿宋"/>
          <w:color w:val="auto"/>
          <w:sz w:val="24"/>
          <w:szCs w:val="24"/>
          <w:highlight w:val="none"/>
        </w:rPr>
        <w:t>IS</w:t>
      </w:r>
      <w:r>
        <w:rPr>
          <w:rFonts w:hint="eastAsia" w:ascii="仿宋" w:hAnsi="仿宋" w:eastAsia="仿宋" w:cs="仿宋"/>
          <w:color w:val="auto"/>
          <w:spacing w:val="10"/>
          <w:sz w:val="24"/>
          <w:szCs w:val="24"/>
          <w:highlight w:val="none"/>
        </w:rPr>
        <w:t>09001 体系认证(提供认证复印件)。</w:t>
      </w:r>
    </w:p>
    <w:p w14:paraId="23AF1E01">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106" w:line="360" w:lineRule="auto"/>
        <w:ind w:left="45" w:firstLine="500" w:firstLineChars="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3"/>
          <w:sz w:val="24"/>
          <w:szCs w:val="24"/>
          <w:highlight w:val="none"/>
        </w:rPr>
        <w:t>投标人需通过医疗行业的</w:t>
      </w:r>
      <w:r>
        <w:rPr>
          <w:rFonts w:hint="eastAsia" w:ascii="仿宋" w:hAnsi="仿宋" w:eastAsia="仿宋" w:cs="仿宋"/>
          <w:color w:val="auto"/>
          <w:sz w:val="24"/>
          <w:szCs w:val="24"/>
          <w:highlight w:val="none"/>
        </w:rPr>
        <w:t>IS</w:t>
      </w:r>
      <w:r>
        <w:rPr>
          <w:rFonts w:hint="eastAsia" w:ascii="仿宋" w:hAnsi="仿宋" w:eastAsia="仿宋" w:cs="仿宋"/>
          <w:color w:val="auto"/>
          <w:spacing w:val="13"/>
          <w:sz w:val="24"/>
          <w:szCs w:val="24"/>
          <w:highlight w:val="none"/>
        </w:rPr>
        <w:t>013485 体系认证</w:t>
      </w:r>
      <w:r>
        <w:rPr>
          <w:rFonts w:hint="eastAsia" w:ascii="仿宋" w:hAnsi="仿宋" w:eastAsia="仿宋" w:cs="仿宋"/>
          <w:color w:val="auto"/>
          <w:spacing w:val="12"/>
          <w:sz w:val="24"/>
          <w:szCs w:val="24"/>
          <w:highlight w:val="none"/>
        </w:rPr>
        <w:t>(提供认证复印件)。</w:t>
      </w:r>
    </w:p>
    <w:p w14:paraId="4DB59BEC">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106" w:line="360" w:lineRule="auto"/>
        <w:ind w:left="45" w:firstLine="500" w:firstLineChars="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rPr>
        <w:t>投标人需针对本项目的</w:t>
      </w:r>
      <w:r>
        <w:rPr>
          <w:rFonts w:hint="eastAsia" w:ascii="仿宋" w:hAnsi="仿宋" w:eastAsia="仿宋" w:cs="仿宋"/>
          <w:color w:val="auto"/>
          <w:spacing w:val="10"/>
          <w:sz w:val="24"/>
          <w:szCs w:val="24"/>
          <w:highlight w:val="none"/>
          <w:lang w:val="en-US" w:eastAsia="zh-CN"/>
        </w:rPr>
        <w:t xml:space="preserve">3.0T </w:t>
      </w:r>
      <w:r>
        <w:rPr>
          <w:rFonts w:hint="eastAsia" w:ascii="仿宋" w:hAnsi="仿宋" w:eastAsia="仿宋" w:cs="仿宋"/>
          <w:color w:val="auto"/>
          <w:sz w:val="24"/>
          <w:szCs w:val="24"/>
          <w:highlight w:val="none"/>
        </w:rPr>
        <w:t>MRI</w:t>
      </w:r>
      <w:r>
        <w:rPr>
          <w:rFonts w:hint="eastAsia" w:ascii="仿宋" w:hAnsi="仿宋" w:eastAsia="仿宋" w:cs="仿宋"/>
          <w:color w:val="auto"/>
          <w:spacing w:val="10"/>
          <w:sz w:val="24"/>
          <w:szCs w:val="24"/>
          <w:highlight w:val="none"/>
        </w:rPr>
        <w:t>设备配备</w:t>
      </w:r>
      <w:r>
        <w:rPr>
          <w:rFonts w:hint="eastAsia" w:ascii="仿宋" w:hAnsi="仿宋" w:eastAsia="仿宋" w:cs="仿宋"/>
          <w:color w:val="auto"/>
          <w:spacing w:val="10"/>
          <w:sz w:val="24"/>
          <w:szCs w:val="24"/>
          <w:highlight w:val="none"/>
          <w:lang w:val="en-US" w:eastAsia="zh-CN"/>
        </w:rPr>
        <w:t>至少三名</w:t>
      </w:r>
      <w:r>
        <w:rPr>
          <w:rFonts w:hint="eastAsia" w:ascii="仿宋" w:hAnsi="仿宋" w:eastAsia="仿宋" w:cs="仿宋"/>
          <w:color w:val="auto"/>
          <w:spacing w:val="10"/>
          <w:sz w:val="24"/>
          <w:szCs w:val="24"/>
          <w:highlight w:val="none"/>
        </w:rPr>
        <w:t>全职的</w:t>
      </w:r>
      <w:r>
        <w:rPr>
          <w:rFonts w:hint="eastAsia" w:ascii="仿宋" w:hAnsi="仿宋" w:eastAsia="仿宋" w:cs="仿宋"/>
          <w:color w:val="auto"/>
          <w:spacing w:val="10"/>
          <w:sz w:val="24"/>
          <w:szCs w:val="24"/>
          <w:highlight w:val="none"/>
          <w:lang w:val="en-US" w:eastAsia="zh-CN"/>
        </w:rPr>
        <w:t>有</w:t>
      </w:r>
      <w:r>
        <w:rPr>
          <w:rFonts w:hint="eastAsia" w:ascii="仿宋" w:hAnsi="仿宋" w:eastAsia="仿宋" w:cs="仿宋"/>
          <w:color w:val="auto"/>
          <w:spacing w:val="9"/>
          <w:sz w:val="24"/>
          <w:szCs w:val="24"/>
          <w:highlight w:val="none"/>
          <w:lang w:val="en-US" w:eastAsia="zh-CN"/>
        </w:rPr>
        <w:t>MRI</w:t>
      </w:r>
      <w:r>
        <w:rPr>
          <w:rFonts w:hint="eastAsia" w:ascii="仿宋" w:hAnsi="仿宋" w:eastAsia="仿宋" w:cs="仿宋"/>
          <w:color w:val="auto"/>
          <w:spacing w:val="9"/>
          <w:sz w:val="24"/>
          <w:szCs w:val="24"/>
          <w:highlight w:val="none"/>
        </w:rPr>
        <w:t>维修资质的工</w:t>
      </w:r>
      <w:r>
        <w:rPr>
          <w:rFonts w:hint="eastAsia" w:ascii="仿宋" w:hAnsi="仿宋" w:eastAsia="仿宋" w:cs="仿宋"/>
          <w:color w:val="auto"/>
          <w:spacing w:val="7"/>
          <w:sz w:val="24"/>
          <w:szCs w:val="24"/>
          <w:highlight w:val="none"/>
        </w:rPr>
        <w:t>程师提供服务</w:t>
      </w:r>
      <w:r>
        <w:rPr>
          <w:rFonts w:hint="eastAsia" w:ascii="仿宋" w:hAnsi="仿宋" w:eastAsia="仿宋" w:cs="仿宋"/>
          <w:color w:val="auto"/>
          <w:spacing w:val="7"/>
          <w:sz w:val="24"/>
          <w:szCs w:val="24"/>
          <w:highlight w:val="none"/>
          <w:lang w:eastAsia="zh-CN"/>
        </w:rPr>
        <w:t>。（</w:t>
      </w:r>
      <w:r>
        <w:rPr>
          <w:rFonts w:hint="eastAsia" w:ascii="仿宋" w:hAnsi="仿宋" w:eastAsia="仿宋" w:cs="仿宋"/>
          <w:color w:val="FF0000"/>
          <w:spacing w:val="6"/>
          <w:sz w:val="24"/>
          <w:szCs w:val="24"/>
          <w:highlight w:val="none"/>
          <w:lang w:val="en-US" w:eastAsia="zh-CN"/>
        </w:rPr>
        <w:t>提供工程师的</w:t>
      </w:r>
      <w:r>
        <w:rPr>
          <w:rFonts w:hint="eastAsia" w:ascii="仿宋" w:hAnsi="仿宋" w:eastAsia="仿宋" w:cs="仿宋"/>
          <w:snapToGrid w:val="0"/>
          <w:color w:val="FF0000"/>
          <w:spacing w:val="6"/>
          <w:kern w:val="0"/>
          <w:sz w:val="24"/>
          <w:szCs w:val="24"/>
          <w:highlight w:val="none"/>
          <w:lang w:val="en-US" w:eastAsia="en-US" w:bidi="ar-SA"/>
        </w:rPr>
        <w:t>有效期内技术培训认证资格证明</w:t>
      </w:r>
      <w:r>
        <w:rPr>
          <w:rFonts w:hint="eastAsia" w:ascii="仿宋" w:hAnsi="仿宋" w:eastAsia="仿宋" w:cs="仿宋"/>
          <w:snapToGrid w:val="0"/>
          <w:color w:val="FF0000"/>
          <w:spacing w:val="6"/>
          <w:kern w:val="0"/>
          <w:sz w:val="24"/>
          <w:szCs w:val="24"/>
          <w:highlight w:val="none"/>
          <w:lang w:val="en-US" w:eastAsia="zh-CN" w:bidi="ar-SA"/>
        </w:rPr>
        <w:t>，并提供工程师社保证明</w:t>
      </w:r>
      <w:r>
        <w:rPr>
          <w:rFonts w:hint="eastAsia" w:ascii="仿宋" w:hAnsi="仿宋" w:eastAsia="仿宋" w:cs="仿宋"/>
          <w:color w:val="auto"/>
          <w:spacing w:val="6"/>
          <w:sz w:val="24"/>
          <w:szCs w:val="24"/>
          <w:highlight w:val="none"/>
          <w:lang w:eastAsia="zh-CN"/>
        </w:rPr>
        <w:t>）</w:t>
      </w:r>
    </w:p>
    <w:p w14:paraId="5B197A5A">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106" w:line="360" w:lineRule="auto"/>
        <w:ind w:left="45" w:firstLine="500" w:firstLineChars="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lang w:val="en-US" w:eastAsia="zh-CN"/>
        </w:rPr>
        <w:t>零备件供应：</w:t>
      </w:r>
      <w:r>
        <w:rPr>
          <w:rFonts w:hint="eastAsia" w:ascii="仿宋" w:hAnsi="仿宋" w:eastAsia="仿宋" w:cs="仿宋"/>
          <w:color w:val="auto"/>
          <w:spacing w:val="12"/>
          <w:sz w:val="24"/>
          <w:szCs w:val="24"/>
          <w:highlight w:val="none"/>
        </w:rPr>
        <w:t>投标人在国内设有专业、充足的设备零备件仓</w:t>
      </w:r>
      <w:r>
        <w:rPr>
          <w:rFonts w:hint="eastAsia" w:ascii="仿宋" w:hAnsi="仿宋" w:eastAsia="仿宋" w:cs="仿宋"/>
          <w:color w:val="auto"/>
          <w:spacing w:val="11"/>
          <w:sz w:val="24"/>
          <w:szCs w:val="24"/>
          <w:highlight w:val="none"/>
        </w:rPr>
        <w:t>库，所有更换的零部件必须为全</w:t>
      </w:r>
      <w:r>
        <w:rPr>
          <w:rFonts w:hint="eastAsia" w:ascii="仿宋" w:hAnsi="仿宋" w:eastAsia="仿宋" w:cs="仿宋"/>
          <w:color w:val="auto"/>
          <w:spacing w:val="9"/>
          <w:sz w:val="24"/>
          <w:szCs w:val="24"/>
          <w:highlight w:val="none"/>
        </w:rPr>
        <w:t>新原厂认证</w:t>
      </w:r>
      <w:r>
        <w:rPr>
          <w:rFonts w:hint="eastAsia" w:ascii="仿宋" w:hAnsi="仿宋" w:eastAsia="仿宋" w:cs="仿宋"/>
          <w:color w:val="auto"/>
          <w:spacing w:val="9"/>
          <w:sz w:val="24"/>
          <w:szCs w:val="24"/>
          <w:highlight w:val="none"/>
          <w:lang w:val="en-US" w:eastAsia="zh-CN"/>
        </w:rPr>
        <w:t>未拆封并</w:t>
      </w:r>
      <w:r>
        <w:rPr>
          <w:rFonts w:hint="eastAsia" w:ascii="仿宋" w:hAnsi="仿宋" w:eastAsia="仿宋" w:cs="仿宋"/>
          <w:color w:val="auto"/>
          <w:spacing w:val="9"/>
          <w:sz w:val="24"/>
          <w:szCs w:val="24"/>
          <w:highlight w:val="none"/>
        </w:rPr>
        <w:t>测试合格件，有追踪号码；如所需的零备件为进口货</w:t>
      </w:r>
      <w:r>
        <w:rPr>
          <w:rFonts w:hint="eastAsia" w:ascii="仿宋" w:hAnsi="仿宋" w:eastAsia="仿宋" w:cs="仿宋"/>
          <w:color w:val="auto"/>
          <w:spacing w:val="8"/>
          <w:sz w:val="24"/>
          <w:szCs w:val="24"/>
          <w:highlight w:val="none"/>
        </w:rPr>
        <w:t>物，供应的零备件必</w:t>
      </w:r>
      <w:r>
        <w:rPr>
          <w:rFonts w:hint="eastAsia" w:ascii="仿宋" w:hAnsi="仿宋" w:eastAsia="仿宋" w:cs="仿宋"/>
          <w:color w:val="auto"/>
          <w:spacing w:val="5"/>
          <w:sz w:val="24"/>
          <w:szCs w:val="24"/>
          <w:highlight w:val="none"/>
        </w:rPr>
        <w:t>须能提供相应的合法进口报关证明。</w:t>
      </w:r>
      <w:r>
        <w:rPr>
          <w:rFonts w:hint="eastAsia" w:ascii="仿宋" w:hAnsi="仿宋" w:eastAsia="仿宋" w:cs="仿宋"/>
          <w:color w:val="auto"/>
          <w:spacing w:val="15"/>
          <w:sz w:val="24"/>
          <w:szCs w:val="24"/>
          <w:highlight w:val="none"/>
          <w:lang w:eastAsia="zh-CN"/>
        </w:rPr>
        <w:t>（</w:t>
      </w:r>
      <w:r>
        <w:rPr>
          <w:rFonts w:hint="eastAsia" w:ascii="仿宋" w:hAnsi="仿宋" w:eastAsia="仿宋" w:cs="仿宋"/>
          <w:color w:val="FF0000"/>
          <w:spacing w:val="6"/>
          <w:sz w:val="24"/>
          <w:szCs w:val="24"/>
          <w:highlight w:val="none"/>
        </w:rPr>
        <w:t>投标文件中提供合法来源证明材料并标注在投标文件中</w:t>
      </w:r>
      <w:r>
        <w:rPr>
          <w:rFonts w:hint="eastAsia" w:ascii="仿宋" w:hAnsi="仿宋" w:eastAsia="仿宋" w:cs="仿宋"/>
          <w:color w:val="FF0000"/>
          <w:spacing w:val="15"/>
          <w:sz w:val="24"/>
          <w:szCs w:val="24"/>
          <w:highlight w:val="none"/>
          <w:lang w:eastAsia="zh-CN"/>
        </w:rPr>
        <w:t>）</w:t>
      </w:r>
      <w:r>
        <w:rPr>
          <w:rFonts w:hint="eastAsia" w:ascii="仿宋" w:hAnsi="仿宋" w:eastAsia="仿宋" w:cs="仿宋"/>
          <w:color w:val="FF0000"/>
          <w:spacing w:val="6"/>
          <w:sz w:val="24"/>
          <w:szCs w:val="24"/>
          <w:highlight w:val="none"/>
        </w:rPr>
        <w:t>。</w:t>
      </w:r>
    </w:p>
    <w:p w14:paraId="79D7B848">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106" w:line="360" w:lineRule="auto"/>
        <w:ind w:left="45" w:firstLine="500" w:firstLineChars="0"/>
        <w:textAlignment w:val="baseline"/>
        <w:rPr>
          <w:rFonts w:hint="eastAsia" w:ascii="仿宋" w:hAnsi="仿宋" w:eastAsia="仿宋" w:cs="仿宋"/>
          <w:color w:val="FF0000"/>
          <w:spacing w:val="6"/>
          <w:sz w:val="24"/>
          <w:szCs w:val="24"/>
          <w:highlight w:val="none"/>
        </w:rPr>
      </w:pPr>
      <w:r>
        <w:rPr>
          <w:rFonts w:hint="eastAsia" w:ascii="仿宋" w:hAnsi="仿宋" w:eastAsia="仿宋" w:cs="仿宋"/>
          <w:color w:val="auto"/>
          <w:spacing w:val="12"/>
          <w:sz w:val="24"/>
          <w:szCs w:val="24"/>
          <w:highlight w:val="none"/>
        </w:rPr>
        <w:t>投标人承诺在本项目维保期限内能合法获得在有效期内的原厂高级故障诊断维</w:t>
      </w:r>
      <w:r>
        <w:rPr>
          <w:rFonts w:hint="eastAsia" w:ascii="仿宋" w:hAnsi="仿宋" w:eastAsia="仿宋" w:cs="仿宋"/>
          <w:color w:val="auto"/>
          <w:spacing w:val="6"/>
          <w:sz w:val="24"/>
          <w:szCs w:val="24"/>
          <w:highlight w:val="none"/>
        </w:rPr>
        <w:t>修钥匙(</w:t>
      </w:r>
      <w:r>
        <w:rPr>
          <w:rFonts w:hint="eastAsia" w:ascii="仿宋" w:hAnsi="仿宋" w:eastAsia="仿宋" w:cs="仿宋"/>
          <w:color w:val="auto"/>
          <w:sz w:val="24"/>
          <w:szCs w:val="24"/>
          <w:highlight w:val="none"/>
        </w:rPr>
        <w:t>Service</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z w:val="24"/>
          <w:szCs w:val="24"/>
          <w:highlight w:val="none"/>
        </w:rPr>
        <w:t>Key</w:t>
      </w:r>
      <w:r>
        <w:rPr>
          <w:rFonts w:hint="eastAsia" w:ascii="仿宋" w:hAnsi="仿宋" w:eastAsia="仿宋" w:cs="仿宋"/>
          <w:color w:val="auto"/>
          <w:spacing w:val="6"/>
          <w:sz w:val="24"/>
          <w:szCs w:val="24"/>
          <w:highlight w:val="none"/>
        </w:rPr>
        <w:t>)使用权，保证不违反国家有关知识产权的法律规定，并能按时提</w:t>
      </w:r>
      <w:r>
        <w:rPr>
          <w:rFonts w:hint="eastAsia" w:ascii="仿宋" w:hAnsi="仿宋" w:eastAsia="仿宋" w:cs="仿宋"/>
          <w:color w:val="auto"/>
          <w:spacing w:val="15"/>
          <w:sz w:val="24"/>
          <w:szCs w:val="24"/>
          <w:highlight w:val="none"/>
        </w:rPr>
        <w:t>交加盖投标人公章的年度维修报告书</w:t>
      </w:r>
      <w:r>
        <w:rPr>
          <w:rFonts w:hint="eastAsia" w:ascii="仿宋" w:hAnsi="仿宋" w:eastAsia="仿宋" w:cs="仿宋"/>
          <w:color w:val="auto"/>
          <w:spacing w:val="15"/>
          <w:sz w:val="24"/>
          <w:szCs w:val="24"/>
          <w:highlight w:val="none"/>
          <w:lang w:eastAsia="zh-CN"/>
        </w:rPr>
        <w:t>（</w:t>
      </w:r>
      <w:r>
        <w:rPr>
          <w:rFonts w:hint="eastAsia" w:ascii="仿宋" w:hAnsi="仿宋" w:eastAsia="仿宋" w:cs="仿宋"/>
          <w:color w:val="FF0000"/>
          <w:spacing w:val="6"/>
          <w:sz w:val="24"/>
          <w:szCs w:val="24"/>
          <w:highlight w:val="none"/>
        </w:rPr>
        <w:t>投标文件中提供合法来源证明材料</w:t>
      </w:r>
      <w:r>
        <w:rPr>
          <w:rFonts w:hint="eastAsia" w:ascii="仿宋" w:hAnsi="仿宋" w:eastAsia="仿宋" w:cs="仿宋"/>
          <w:color w:val="FF0000"/>
          <w:spacing w:val="6"/>
          <w:sz w:val="24"/>
          <w:szCs w:val="24"/>
          <w:highlight w:val="none"/>
          <w:lang w:val="en-US" w:eastAsia="zh-CN"/>
        </w:rPr>
        <w:t>和功能界面截图等证明材料</w:t>
      </w:r>
      <w:r>
        <w:rPr>
          <w:rFonts w:hint="eastAsia" w:ascii="仿宋" w:hAnsi="仿宋" w:eastAsia="仿宋" w:cs="仿宋"/>
          <w:color w:val="FF0000"/>
          <w:spacing w:val="15"/>
          <w:sz w:val="24"/>
          <w:szCs w:val="24"/>
          <w:highlight w:val="none"/>
          <w:lang w:eastAsia="zh-CN"/>
        </w:rPr>
        <w:t>）</w:t>
      </w:r>
      <w:r>
        <w:rPr>
          <w:rFonts w:hint="eastAsia" w:ascii="仿宋" w:hAnsi="仿宋" w:eastAsia="仿宋" w:cs="仿宋"/>
          <w:color w:val="FF0000"/>
          <w:spacing w:val="6"/>
          <w:sz w:val="24"/>
          <w:szCs w:val="24"/>
          <w:highlight w:val="none"/>
        </w:rPr>
        <w:t>。</w:t>
      </w:r>
    </w:p>
    <w:p w14:paraId="33EF88AD">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106" w:line="360" w:lineRule="auto"/>
        <w:ind w:left="45" w:firstLine="500" w:firstLineChars="0"/>
        <w:textAlignment w:val="baseline"/>
        <w:rPr>
          <w:rFonts w:hint="eastAsia" w:ascii="仿宋" w:hAnsi="仿宋" w:eastAsia="仿宋" w:cs="仿宋"/>
          <w:color w:val="FF0000"/>
          <w:spacing w:val="15"/>
          <w:sz w:val="24"/>
          <w:szCs w:val="24"/>
          <w:highlight w:val="none"/>
        </w:rPr>
      </w:pPr>
      <w:r>
        <w:rPr>
          <w:rFonts w:hint="eastAsia" w:ascii="仿宋" w:hAnsi="仿宋" w:eastAsia="仿宋" w:cs="仿宋"/>
          <w:color w:val="FF0000"/>
          <w:spacing w:val="15"/>
          <w:sz w:val="24"/>
          <w:szCs w:val="24"/>
          <w:highlight w:val="none"/>
        </w:rPr>
        <w:t>投标人具备MR专业维修工具、仪器：投标人具备MR专用励磁、匀场工具和MR梯度涡流校正工具至少一套, MR射频调试工具≥1套。（提供工具清单及图片并标注在投标文件中）</w:t>
      </w:r>
    </w:p>
    <w:p w14:paraId="7BBD688B">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106" w:line="360" w:lineRule="auto"/>
        <w:ind w:left="45" w:firstLine="500" w:firstLineChars="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投标人具备原厂磁体更换的能力，</w:t>
      </w:r>
      <w:r>
        <w:rPr>
          <w:rFonts w:hint="eastAsia" w:ascii="仿宋" w:hAnsi="仿宋" w:eastAsia="仿宋" w:cs="仿宋"/>
          <w:color w:val="FF0000"/>
          <w:spacing w:val="11"/>
          <w:sz w:val="24"/>
          <w:szCs w:val="24"/>
          <w:highlight w:val="none"/>
          <w:lang w:val="en-US" w:eastAsia="zh-CN"/>
        </w:rPr>
        <w:t>需</w:t>
      </w:r>
      <w:r>
        <w:rPr>
          <w:rFonts w:hint="eastAsia" w:ascii="仿宋" w:hAnsi="仿宋" w:eastAsia="仿宋" w:cs="仿宋"/>
          <w:color w:val="FF0000"/>
          <w:spacing w:val="11"/>
          <w:sz w:val="24"/>
          <w:szCs w:val="24"/>
          <w:highlight w:val="none"/>
        </w:rPr>
        <w:t>提供磁体进口报关单等</w:t>
      </w:r>
      <w:r>
        <w:rPr>
          <w:rFonts w:hint="eastAsia" w:ascii="仿宋" w:hAnsi="仿宋" w:eastAsia="仿宋" w:cs="仿宋"/>
          <w:color w:val="FF0000"/>
          <w:spacing w:val="11"/>
          <w:sz w:val="24"/>
          <w:szCs w:val="24"/>
          <w:highlight w:val="none"/>
          <w:lang w:val="en-US" w:eastAsia="zh-CN"/>
        </w:rPr>
        <w:t>实质证明文件。</w:t>
      </w:r>
    </w:p>
    <w:p w14:paraId="6CB7B3E0">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106" w:line="360" w:lineRule="auto"/>
        <w:ind w:left="45" w:firstLine="500" w:firstLineChars="0"/>
        <w:textAlignment w:val="baseline"/>
        <w:rPr>
          <w:rFonts w:hint="eastAsia" w:ascii="仿宋" w:hAnsi="仿宋" w:eastAsia="仿宋" w:cs="仿宋"/>
          <w:color w:val="FF0000"/>
          <w:spacing w:val="9"/>
          <w:sz w:val="24"/>
          <w:szCs w:val="24"/>
          <w:highlight w:val="none"/>
        </w:rPr>
      </w:pPr>
      <w:r>
        <w:rPr>
          <w:rFonts w:hint="eastAsia" w:ascii="仿宋" w:hAnsi="仿宋" w:eastAsia="仿宋" w:cs="仿宋"/>
          <w:color w:val="FF0000"/>
          <w:spacing w:val="9"/>
          <w:sz w:val="24"/>
          <w:szCs w:val="24"/>
          <w:highlight w:val="none"/>
          <w:lang w:val="en-US" w:eastAsia="zh-CN"/>
        </w:rPr>
        <w:t>具备失超恢复能力，提供过往维修记录如工单等证明文件。</w:t>
      </w:r>
    </w:p>
    <w:p w14:paraId="7120921E">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106" w:line="360" w:lineRule="auto"/>
        <w:ind w:left="45" w:firstLine="500" w:firstLineChars="0"/>
        <w:textAlignment w:val="baseline"/>
        <w:rPr>
          <w:rFonts w:hint="eastAsia" w:ascii="仿宋" w:hAnsi="仿宋" w:eastAsia="仿宋" w:cs="仿宋"/>
          <w:color w:val="FF0000"/>
          <w:spacing w:val="9"/>
          <w:sz w:val="24"/>
          <w:szCs w:val="24"/>
          <w:highlight w:val="none"/>
          <w:lang w:val="en-US" w:eastAsia="zh-CN"/>
        </w:rPr>
      </w:pPr>
      <w:r>
        <w:rPr>
          <w:rFonts w:hint="eastAsia" w:ascii="仿宋" w:hAnsi="仿宋" w:eastAsia="仿宋" w:cs="仿宋"/>
          <w:color w:val="FF0000"/>
          <w:spacing w:val="9"/>
          <w:sz w:val="24"/>
          <w:szCs w:val="24"/>
          <w:highlight w:val="none"/>
          <w:lang w:val="en-US" w:eastAsia="zh-CN"/>
        </w:rPr>
        <w:t>具备重要备件的供应能力，提供3.0T VIDA梯度线圈报关单或原厂线圈更换的证明记录。</w:t>
      </w:r>
    </w:p>
    <w:p w14:paraId="54ECC410">
      <w:pPr>
        <w:pStyle w:val="2"/>
        <w:keepNext w:val="0"/>
        <w:keepLines w:val="0"/>
        <w:pageBreakBefore w:val="0"/>
        <w:widowControl/>
        <w:kinsoku w:val="0"/>
        <w:wordWrap/>
        <w:overflowPunct/>
        <w:topLinePunct w:val="0"/>
        <w:autoSpaceDE w:val="0"/>
        <w:autoSpaceDN w:val="0"/>
        <w:bidi w:val="0"/>
        <w:adjustRightInd w:val="0"/>
        <w:snapToGrid w:val="0"/>
        <w:spacing w:before="275" w:line="360" w:lineRule="auto"/>
        <w:ind w:left="578"/>
        <w:textAlignment w:val="baseline"/>
        <w:outlineLvl w:val="0"/>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技术参数要求</w:t>
      </w:r>
    </w:p>
    <w:p w14:paraId="477AB237">
      <w:pPr>
        <w:pStyle w:val="5"/>
        <w:keepNext w:val="0"/>
        <w:keepLines w:val="0"/>
        <w:pageBreakBefore w:val="0"/>
        <w:widowControl/>
        <w:kinsoku w:val="0"/>
        <w:wordWrap/>
        <w:overflowPunct/>
        <w:topLinePunct w:val="0"/>
        <w:autoSpaceDE w:val="0"/>
        <w:autoSpaceDN w:val="0"/>
        <w:bidi w:val="0"/>
        <w:adjustRightInd w:val="0"/>
        <w:snapToGrid w:val="0"/>
        <w:spacing w:before="250" w:line="360" w:lineRule="auto"/>
        <w:ind w:left="150"/>
        <w:textAlignment w:val="baseline"/>
        <w:rPr>
          <w:rFonts w:hint="eastAsia" w:ascii="仿宋" w:hAnsi="仿宋" w:eastAsia="仿宋" w:cs="仿宋"/>
          <w:snapToGrid w:val="0"/>
          <w:color w:val="auto"/>
          <w:spacing w:val="6"/>
          <w:kern w:val="0"/>
          <w:sz w:val="24"/>
          <w:szCs w:val="24"/>
          <w:highlight w:val="none"/>
          <w:lang w:val="en-US" w:eastAsia="zh-CN" w:bidi="ar-SA"/>
        </w:rPr>
      </w:pPr>
      <w:r>
        <w:rPr>
          <w:rFonts w:hint="eastAsia" w:ascii="仿宋" w:hAnsi="仿宋" w:eastAsia="仿宋" w:cs="仿宋"/>
          <w:snapToGrid w:val="0"/>
          <w:color w:val="auto"/>
          <w:spacing w:val="6"/>
          <w:kern w:val="0"/>
          <w:sz w:val="24"/>
          <w:szCs w:val="24"/>
          <w:highlight w:val="none"/>
          <w:lang w:val="en-US" w:eastAsia="zh-CN" w:bidi="ar-SA"/>
        </w:rPr>
        <w:t>1、</w:t>
      </w:r>
      <w:r>
        <w:rPr>
          <w:rFonts w:hint="eastAsia" w:ascii="仿宋" w:hAnsi="仿宋" w:eastAsia="仿宋" w:cs="仿宋"/>
          <w:snapToGrid w:val="0"/>
          <w:color w:val="auto"/>
          <w:spacing w:val="6"/>
          <w:kern w:val="0"/>
          <w:sz w:val="24"/>
          <w:szCs w:val="24"/>
          <w:highlight w:val="none"/>
          <w:lang w:val="en-US" w:eastAsia="en-US" w:bidi="ar-SA"/>
        </w:rPr>
        <w:t>维保设备型号</w:t>
      </w:r>
      <w:r>
        <w:rPr>
          <w:rFonts w:hint="eastAsia" w:ascii="仿宋" w:hAnsi="仿宋" w:eastAsia="仿宋" w:cs="仿宋"/>
          <w:snapToGrid w:val="0"/>
          <w:color w:val="auto"/>
          <w:spacing w:val="6"/>
          <w:kern w:val="0"/>
          <w:sz w:val="24"/>
          <w:szCs w:val="24"/>
          <w:highlight w:val="none"/>
          <w:lang w:val="en-US" w:eastAsia="zh-CN" w:bidi="ar-SA"/>
        </w:rPr>
        <w:t>：</w:t>
      </w:r>
      <w:r>
        <w:rPr>
          <w:rFonts w:hint="eastAsia" w:ascii="仿宋" w:hAnsi="仿宋" w:eastAsia="仿宋" w:cs="仿宋"/>
          <w:snapToGrid w:val="0"/>
          <w:color w:val="auto"/>
          <w:spacing w:val="6"/>
          <w:kern w:val="0"/>
          <w:sz w:val="24"/>
          <w:szCs w:val="24"/>
          <w:highlight w:val="none"/>
          <w:lang w:val="en-US" w:eastAsia="en-US" w:bidi="ar-SA"/>
        </w:rPr>
        <w:t>西门子（Siemens）3.0T MAGNETOM VIDA MRI</w:t>
      </w:r>
      <w:r>
        <w:rPr>
          <w:rFonts w:hint="eastAsia" w:ascii="仿宋" w:hAnsi="仿宋" w:eastAsia="仿宋" w:cs="仿宋"/>
          <w:snapToGrid w:val="0"/>
          <w:color w:val="auto"/>
          <w:spacing w:val="6"/>
          <w:kern w:val="0"/>
          <w:sz w:val="24"/>
          <w:szCs w:val="24"/>
          <w:highlight w:val="none"/>
          <w:lang w:val="en-US" w:eastAsia="zh-CN" w:bidi="ar-SA"/>
        </w:rPr>
        <w:t>一台，该设备2022年装机。</w:t>
      </w:r>
    </w:p>
    <w:p w14:paraId="5AD66F7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napToGrid w:val="0"/>
          <w:color w:val="auto"/>
          <w:spacing w:val="6"/>
          <w:kern w:val="0"/>
          <w:sz w:val="24"/>
          <w:szCs w:val="24"/>
          <w:highlight w:val="none"/>
          <w:lang w:val="en-US" w:eastAsia="en-US" w:bidi="ar-SA"/>
        </w:rPr>
      </w:pPr>
      <w:r>
        <w:rPr>
          <w:rFonts w:hint="eastAsia" w:ascii="仿宋" w:hAnsi="仿宋" w:eastAsia="仿宋" w:cs="仿宋"/>
          <w:color w:val="auto"/>
          <w:spacing w:val="-5"/>
          <w:sz w:val="24"/>
          <w:szCs w:val="24"/>
          <w:highlight w:val="none"/>
        </w:rPr>
        <w:t>2</w:t>
      </w:r>
      <w:r>
        <w:rPr>
          <w:rFonts w:hint="eastAsia" w:ascii="仿宋" w:hAnsi="仿宋" w:eastAsia="仿宋" w:cs="仿宋"/>
          <w:color w:val="auto"/>
          <w:spacing w:val="-5"/>
          <w:sz w:val="24"/>
          <w:szCs w:val="24"/>
          <w:highlight w:val="none"/>
          <w:lang w:eastAsia="zh-CN"/>
        </w:rPr>
        <w:t>、</w:t>
      </w:r>
      <w:r>
        <w:rPr>
          <w:rFonts w:hint="eastAsia" w:ascii="仿宋" w:hAnsi="仿宋" w:eastAsia="仿宋" w:cs="仿宋"/>
          <w:snapToGrid w:val="0"/>
          <w:color w:val="auto"/>
          <w:spacing w:val="6"/>
          <w:kern w:val="0"/>
          <w:sz w:val="24"/>
          <w:szCs w:val="24"/>
          <w:highlight w:val="none"/>
          <w:lang w:val="en-US" w:eastAsia="en-US" w:bidi="ar-SA"/>
        </w:rPr>
        <w:t>维保期限</w:t>
      </w:r>
      <w:r>
        <w:rPr>
          <w:rFonts w:hint="eastAsia" w:ascii="仿宋" w:hAnsi="仿宋" w:eastAsia="仿宋" w:cs="仿宋"/>
          <w:snapToGrid w:val="0"/>
          <w:color w:val="auto"/>
          <w:spacing w:val="6"/>
          <w:kern w:val="0"/>
          <w:sz w:val="24"/>
          <w:szCs w:val="24"/>
          <w:highlight w:val="none"/>
          <w:lang w:val="en-US" w:eastAsia="zh-CN" w:bidi="ar-SA"/>
        </w:rPr>
        <w:t>：</w:t>
      </w:r>
      <w:r>
        <w:rPr>
          <w:rFonts w:hint="eastAsia" w:ascii="仿宋" w:hAnsi="仿宋" w:eastAsia="仿宋" w:cs="仿宋"/>
          <w:snapToGrid w:val="0"/>
          <w:color w:val="auto"/>
          <w:spacing w:val="6"/>
          <w:kern w:val="0"/>
          <w:sz w:val="24"/>
          <w:szCs w:val="24"/>
          <w:highlight w:val="none"/>
          <w:lang w:val="en-US" w:eastAsia="en-US" w:bidi="ar-SA"/>
        </w:rPr>
        <w:t>自本项目合同签订之日起</w:t>
      </w:r>
      <w:r>
        <w:rPr>
          <w:rFonts w:hint="eastAsia" w:ascii="仿宋" w:hAnsi="仿宋" w:eastAsia="仿宋" w:cs="仿宋"/>
          <w:snapToGrid w:val="0"/>
          <w:color w:val="auto"/>
          <w:spacing w:val="6"/>
          <w:kern w:val="0"/>
          <w:sz w:val="24"/>
          <w:szCs w:val="24"/>
          <w:highlight w:val="none"/>
          <w:lang w:val="en-US" w:eastAsia="zh-CN" w:bidi="ar-SA"/>
        </w:rPr>
        <w:t>三</w:t>
      </w:r>
      <w:r>
        <w:rPr>
          <w:rFonts w:hint="eastAsia" w:ascii="仿宋" w:hAnsi="仿宋" w:eastAsia="仿宋" w:cs="仿宋"/>
          <w:snapToGrid w:val="0"/>
          <w:color w:val="auto"/>
          <w:spacing w:val="6"/>
          <w:kern w:val="0"/>
          <w:sz w:val="24"/>
          <w:szCs w:val="24"/>
          <w:highlight w:val="none"/>
          <w:lang w:val="en-US" w:eastAsia="en-US" w:bidi="ar-SA"/>
        </w:rPr>
        <w:t>年</w:t>
      </w:r>
    </w:p>
    <w:p w14:paraId="3B64902E">
      <w:pPr>
        <w:pStyle w:val="5"/>
        <w:keepNext w:val="0"/>
        <w:keepLines w:val="0"/>
        <w:pageBreakBefore w:val="0"/>
        <w:widowControl/>
        <w:kinsoku w:val="0"/>
        <w:wordWrap/>
        <w:overflowPunct/>
        <w:topLinePunct w:val="0"/>
        <w:autoSpaceDE w:val="0"/>
        <w:autoSpaceDN w:val="0"/>
        <w:bidi w:val="0"/>
        <w:adjustRightInd w:val="0"/>
        <w:snapToGrid w:val="0"/>
        <w:spacing w:before="122" w:line="360" w:lineRule="auto"/>
        <w:ind w:left="31"/>
        <w:textAlignment w:val="baseline"/>
        <w:rPr>
          <w:rFonts w:hint="eastAsia" w:ascii="仿宋" w:hAnsi="仿宋" w:eastAsia="仿宋" w:cs="仿宋"/>
          <w:snapToGrid w:val="0"/>
          <w:color w:val="auto"/>
          <w:spacing w:val="6"/>
          <w:kern w:val="0"/>
          <w:sz w:val="24"/>
          <w:szCs w:val="24"/>
          <w:highlight w:val="none"/>
          <w:lang w:val="en-US" w:eastAsia="zh-CN" w:bidi="ar-SA"/>
        </w:rPr>
      </w:pPr>
      <w:r>
        <w:rPr>
          <w:rFonts w:hint="eastAsia" w:ascii="仿宋" w:hAnsi="仿宋" w:eastAsia="仿宋" w:cs="仿宋"/>
          <w:color w:val="auto"/>
          <w:spacing w:val="-5"/>
          <w:sz w:val="24"/>
          <w:szCs w:val="24"/>
          <w:highlight w:val="none"/>
        </w:rPr>
        <w:t>3</w:t>
      </w:r>
      <w:r>
        <w:rPr>
          <w:rFonts w:hint="eastAsia" w:ascii="仿宋" w:hAnsi="仿宋" w:eastAsia="仿宋" w:cs="仿宋"/>
          <w:color w:val="auto"/>
          <w:spacing w:val="-5"/>
          <w:sz w:val="24"/>
          <w:szCs w:val="24"/>
          <w:highlight w:val="none"/>
          <w:lang w:eastAsia="zh-CN"/>
        </w:rPr>
        <w:t>、</w:t>
      </w:r>
      <w:r>
        <w:rPr>
          <w:rFonts w:hint="eastAsia" w:ascii="仿宋" w:hAnsi="仿宋" w:eastAsia="仿宋" w:cs="仿宋"/>
          <w:snapToGrid w:val="0"/>
          <w:color w:val="auto"/>
          <w:spacing w:val="6"/>
          <w:kern w:val="0"/>
          <w:sz w:val="24"/>
          <w:szCs w:val="24"/>
          <w:highlight w:val="none"/>
          <w:lang w:val="en-US" w:eastAsia="en-US" w:bidi="ar-SA"/>
        </w:rPr>
        <w:t>维保内容</w:t>
      </w:r>
      <w:r>
        <w:rPr>
          <w:rFonts w:hint="eastAsia" w:ascii="仿宋" w:hAnsi="仿宋" w:eastAsia="仿宋" w:cs="仿宋"/>
          <w:snapToGrid w:val="0"/>
          <w:color w:val="auto"/>
          <w:spacing w:val="6"/>
          <w:kern w:val="0"/>
          <w:sz w:val="24"/>
          <w:szCs w:val="24"/>
          <w:highlight w:val="none"/>
          <w:lang w:val="en-US" w:eastAsia="zh-CN" w:bidi="ar-SA"/>
        </w:rPr>
        <w:t>：</w:t>
      </w:r>
    </w:p>
    <w:p w14:paraId="502DEE75">
      <w:pPr>
        <w:spacing w:line="360" w:lineRule="auto"/>
        <w:ind w:firstLine="500" w:firstLineChars="0"/>
        <w:rPr>
          <w:rFonts w:hint="eastAsia" w:ascii="仿宋" w:hAnsi="仿宋" w:eastAsia="仿宋" w:cs="仿宋"/>
          <w:snapToGrid w:val="0"/>
          <w:color w:val="auto"/>
          <w:spacing w:val="6"/>
          <w:kern w:val="0"/>
          <w:sz w:val="24"/>
          <w:szCs w:val="24"/>
          <w:highlight w:val="none"/>
          <w:lang w:val="en-US" w:eastAsia="en-US" w:bidi="ar-SA"/>
        </w:rPr>
      </w:pPr>
      <w:r>
        <w:rPr>
          <w:rFonts w:hint="eastAsia" w:ascii="仿宋" w:hAnsi="仿宋" w:eastAsia="仿宋" w:cs="仿宋"/>
          <w:snapToGrid w:val="0"/>
          <w:color w:val="auto"/>
          <w:spacing w:val="6"/>
          <w:kern w:val="0"/>
          <w:sz w:val="24"/>
          <w:szCs w:val="24"/>
          <w:highlight w:val="none"/>
          <w:lang w:val="en-US" w:eastAsia="en-US" w:bidi="ar-SA"/>
        </w:rPr>
        <w:t>3.1整机保修，包含</w:t>
      </w:r>
      <w:r>
        <w:rPr>
          <w:rFonts w:hint="eastAsia" w:ascii="仿宋" w:hAnsi="仿宋" w:eastAsia="仿宋" w:cs="仿宋"/>
          <w:snapToGrid w:val="0"/>
          <w:color w:val="FF0000"/>
          <w:spacing w:val="6"/>
          <w:kern w:val="0"/>
          <w:sz w:val="24"/>
          <w:szCs w:val="24"/>
          <w:highlight w:val="none"/>
          <w:lang w:val="en-US" w:eastAsia="zh-CN" w:bidi="ar-SA"/>
        </w:rPr>
        <w:t>人工服务费、保养服务</w:t>
      </w:r>
      <w:r>
        <w:rPr>
          <w:rFonts w:hint="eastAsia" w:ascii="仿宋" w:hAnsi="仿宋" w:eastAsia="仿宋" w:cs="仿宋"/>
          <w:snapToGrid w:val="0"/>
          <w:color w:val="auto"/>
          <w:spacing w:val="6"/>
          <w:kern w:val="0"/>
          <w:sz w:val="24"/>
          <w:szCs w:val="24"/>
          <w:highlight w:val="none"/>
          <w:lang w:val="en-US" w:eastAsia="zh-CN" w:bidi="ar-SA"/>
        </w:rPr>
        <w:t>、</w:t>
      </w:r>
      <w:r>
        <w:rPr>
          <w:rFonts w:hint="eastAsia" w:ascii="仿宋" w:hAnsi="仿宋" w:eastAsia="仿宋" w:cs="仿宋"/>
          <w:snapToGrid w:val="0"/>
          <w:color w:val="auto"/>
          <w:spacing w:val="6"/>
          <w:kern w:val="0"/>
          <w:sz w:val="24"/>
          <w:szCs w:val="24"/>
          <w:highlight w:val="none"/>
          <w:lang w:val="en-US" w:eastAsia="en-US" w:bidi="ar-SA"/>
        </w:rPr>
        <w:t>磁体、梯度放大器、射频系统、制冷系统(含液氦，含第三方水冷机)、线圈、Syngo工作站、精密空调(第三方产品)、高压注射器(第三方产品)。</w:t>
      </w:r>
    </w:p>
    <w:p w14:paraId="5E168F1C">
      <w:pPr>
        <w:pStyle w:val="5"/>
        <w:keepNext w:val="0"/>
        <w:keepLines w:val="0"/>
        <w:pageBreakBefore w:val="0"/>
        <w:widowControl/>
        <w:kinsoku w:val="0"/>
        <w:wordWrap/>
        <w:overflowPunct/>
        <w:topLinePunct w:val="0"/>
        <w:autoSpaceDE w:val="0"/>
        <w:autoSpaceDN w:val="0"/>
        <w:bidi w:val="0"/>
        <w:adjustRightInd w:val="0"/>
        <w:snapToGrid w:val="0"/>
        <w:spacing w:before="81" w:line="360" w:lineRule="auto"/>
        <w:ind w:firstLine="504" w:firstLineChars="200"/>
        <w:textAlignment w:val="baseline"/>
        <w:rPr>
          <w:rFonts w:hint="eastAsia" w:ascii="仿宋" w:hAnsi="仿宋" w:eastAsia="仿宋" w:cs="仿宋"/>
          <w:snapToGrid w:val="0"/>
          <w:color w:val="auto"/>
          <w:spacing w:val="6"/>
          <w:kern w:val="0"/>
          <w:sz w:val="24"/>
          <w:szCs w:val="24"/>
          <w:highlight w:val="none"/>
          <w:lang w:val="en-US" w:eastAsia="en-US" w:bidi="ar-SA"/>
        </w:rPr>
      </w:pPr>
      <w:r>
        <w:rPr>
          <w:rFonts w:hint="eastAsia" w:ascii="仿宋" w:hAnsi="仿宋" w:eastAsia="仿宋" w:cs="仿宋"/>
          <w:snapToGrid w:val="0"/>
          <w:color w:val="auto"/>
          <w:spacing w:val="6"/>
          <w:kern w:val="0"/>
          <w:sz w:val="24"/>
          <w:szCs w:val="24"/>
          <w:highlight w:val="none"/>
          <w:lang w:val="en-US" w:eastAsia="en-US" w:bidi="ar-SA"/>
        </w:rPr>
        <w:t>3.2第三方产品信息：</w:t>
      </w:r>
    </w:p>
    <w:tbl>
      <w:tblPr>
        <w:tblStyle w:val="6"/>
        <w:tblpPr w:leftFromText="180" w:rightFromText="180" w:vertAnchor="text" w:horzAnchor="page" w:tblpX="1875" w:tblpY="77"/>
        <w:tblOverlap w:val="never"/>
        <w:tblW w:w="841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53"/>
        <w:gridCol w:w="2766"/>
        <w:gridCol w:w="778"/>
        <w:gridCol w:w="2621"/>
      </w:tblGrid>
      <w:tr w14:paraId="6E368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exact"/>
        </w:trPr>
        <w:tc>
          <w:tcPr>
            <w:tcW w:w="2253" w:type="dxa"/>
            <w:tcBorders>
              <w:tl2br w:val="nil"/>
              <w:tr2bl w:val="nil"/>
            </w:tcBorders>
            <w:vAlign w:val="center"/>
          </w:tcPr>
          <w:p w14:paraId="262BFECA">
            <w:pPr>
              <w:pStyle w:val="5"/>
              <w:keepNext w:val="0"/>
              <w:keepLines w:val="0"/>
              <w:pageBreakBefore w:val="0"/>
              <w:widowControl/>
              <w:kinsoku w:val="0"/>
              <w:wordWrap/>
              <w:overflowPunct/>
              <w:topLinePunct w:val="0"/>
              <w:autoSpaceDE w:val="0"/>
              <w:autoSpaceDN w:val="0"/>
              <w:bidi w:val="0"/>
              <w:adjustRightInd w:val="0"/>
              <w:snapToGrid w:val="0"/>
              <w:spacing w:before="117" w:line="360" w:lineRule="auto"/>
              <w:ind w:left="223"/>
              <w:jc w:val="center"/>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设备名称</w:t>
            </w:r>
          </w:p>
        </w:tc>
        <w:tc>
          <w:tcPr>
            <w:tcW w:w="2766" w:type="dxa"/>
            <w:tcBorders>
              <w:tl2br w:val="nil"/>
              <w:tr2bl w:val="nil"/>
            </w:tcBorders>
            <w:vAlign w:val="center"/>
          </w:tcPr>
          <w:p w14:paraId="0B6BFEF9">
            <w:pPr>
              <w:pStyle w:val="5"/>
              <w:keepNext w:val="0"/>
              <w:keepLines w:val="0"/>
              <w:pageBreakBefore w:val="0"/>
              <w:widowControl/>
              <w:kinsoku w:val="0"/>
              <w:wordWrap/>
              <w:overflowPunct/>
              <w:topLinePunct w:val="0"/>
              <w:autoSpaceDE w:val="0"/>
              <w:autoSpaceDN w:val="0"/>
              <w:bidi w:val="0"/>
              <w:adjustRightInd w:val="0"/>
              <w:snapToGrid w:val="0"/>
              <w:spacing w:before="117" w:line="360" w:lineRule="auto"/>
              <w:ind w:left="130"/>
              <w:jc w:val="center"/>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1"/>
                <w:sz w:val="24"/>
                <w:szCs w:val="24"/>
                <w:highlight w:val="none"/>
              </w:rPr>
              <w:t>型号</w:t>
            </w:r>
          </w:p>
        </w:tc>
        <w:tc>
          <w:tcPr>
            <w:tcW w:w="778" w:type="dxa"/>
            <w:tcBorders>
              <w:tl2br w:val="nil"/>
              <w:tr2bl w:val="nil"/>
            </w:tcBorders>
            <w:vAlign w:val="center"/>
          </w:tcPr>
          <w:p w14:paraId="4AB759F0">
            <w:pPr>
              <w:pStyle w:val="5"/>
              <w:keepNext w:val="0"/>
              <w:keepLines w:val="0"/>
              <w:pageBreakBefore w:val="0"/>
              <w:widowControl/>
              <w:kinsoku w:val="0"/>
              <w:wordWrap/>
              <w:overflowPunct/>
              <w:topLinePunct w:val="0"/>
              <w:autoSpaceDE w:val="0"/>
              <w:autoSpaceDN w:val="0"/>
              <w:bidi w:val="0"/>
              <w:adjustRightInd w:val="0"/>
              <w:snapToGrid w:val="0"/>
              <w:spacing w:before="115" w:line="360" w:lineRule="auto"/>
              <w:ind w:left="121"/>
              <w:jc w:val="center"/>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数量</w:t>
            </w:r>
          </w:p>
        </w:tc>
        <w:tc>
          <w:tcPr>
            <w:tcW w:w="2621" w:type="dxa"/>
            <w:tcBorders>
              <w:tl2br w:val="nil"/>
              <w:tr2bl w:val="nil"/>
            </w:tcBorders>
            <w:vAlign w:val="center"/>
          </w:tcPr>
          <w:p w14:paraId="25779E8D">
            <w:pPr>
              <w:pStyle w:val="5"/>
              <w:keepNext w:val="0"/>
              <w:keepLines w:val="0"/>
              <w:pageBreakBefore w:val="0"/>
              <w:widowControl/>
              <w:kinsoku w:val="0"/>
              <w:wordWrap/>
              <w:overflowPunct/>
              <w:topLinePunct w:val="0"/>
              <w:autoSpaceDE w:val="0"/>
              <w:autoSpaceDN w:val="0"/>
              <w:bidi w:val="0"/>
              <w:adjustRightInd w:val="0"/>
              <w:snapToGrid w:val="0"/>
              <w:spacing w:before="116" w:line="360" w:lineRule="auto"/>
              <w:ind w:left="146"/>
              <w:jc w:val="center"/>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1"/>
                <w:sz w:val="24"/>
                <w:szCs w:val="24"/>
                <w:highlight w:val="none"/>
              </w:rPr>
              <w:t>厂家</w:t>
            </w:r>
          </w:p>
        </w:tc>
      </w:tr>
      <w:tr w14:paraId="3CF96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exact"/>
        </w:trPr>
        <w:tc>
          <w:tcPr>
            <w:tcW w:w="2253" w:type="dxa"/>
            <w:tcBorders>
              <w:tl2br w:val="nil"/>
              <w:tr2bl w:val="nil"/>
            </w:tcBorders>
            <w:vAlign w:val="center"/>
          </w:tcPr>
          <w:p w14:paraId="15A71579">
            <w:pPr>
              <w:pStyle w:val="5"/>
              <w:keepNext w:val="0"/>
              <w:keepLines w:val="0"/>
              <w:pageBreakBefore w:val="0"/>
              <w:widowControl/>
              <w:kinsoku w:val="0"/>
              <w:wordWrap/>
              <w:overflowPunct/>
              <w:topLinePunct w:val="0"/>
              <w:autoSpaceDE w:val="0"/>
              <w:autoSpaceDN w:val="0"/>
              <w:bidi w:val="0"/>
              <w:adjustRightInd w:val="0"/>
              <w:snapToGrid w:val="0"/>
              <w:spacing w:before="114" w:line="360" w:lineRule="auto"/>
              <w:ind w:left="219"/>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高压注射器</w:t>
            </w:r>
          </w:p>
        </w:tc>
        <w:tc>
          <w:tcPr>
            <w:tcW w:w="2766" w:type="dxa"/>
            <w:tcBorders>
              <w:tl2br w:val="nil"/>
              <w:tr2bl w:val="nil"/>
            </w:tcBorders>
            <w:vAlign w:val="center"/>
          </w:tcPr>
          <w:p w14:paraId="3064EBA2">
            <w:pPr>
              <w:pStyle w:val="5"/>
              <w:keepNext w:val="0"/>
              <w:keepLines w:val="0"/>
              <w:pageBreakBefore w:val="0"/>
              <w:widowControl/>
              <w:kinsoku w:val="0"/>
              <w:wordWrap/>
              <w:overflowPunct/>
              <w:topLinePunct w:val="0"/>
              <w:autoSpaceDE w:val="0"/>
              <w:autoSpaceDN w:val="0"/>
              <w:bidi w:val="0"/>
              <w:adjustRightInd w:val="0"/>
              <w:snapToGrid w:val="0"/>
              <w:spacing w:before="107" w:line="360" w:lineRule="auto"/>
              <w:ind w:firstLine="240" w:firstLineChars="100"/>
              <w:jc w:val="center"/>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000000"/>
                <w:spacing w:val="0"/>
                <w:sz w:val="24"/>
                <w:szCs w:val="24"/>
                <w:shd w:val="clear" w:fill="FFFFFF"/>
              </w:rPr>
              <w:t>InjektorAccutron MR</w:t>
            </w:r>
          </w:p>
        </w:tc>
        <w:tc>
          <w:tcPr>
            <w:tcW w:w="778" w:type="dxa"/>
            <w:tcBorders>
              <w:tl2br w:val="nil"/>
              <w:tr2bl w:val="nil"/>
            </w:tcBorders>
            <w:vAlign w:val="center"/>
          </w:tcPr>
          <w:p w14:paraId="61D34A6C">
            <w:pPr>
              <w:pStyle w:val="5"/>
              <w:keepNext w:val="0"/>
              <w:keepLines w:val="0"/>
              <w:pageBreakBefore w:val="0"/>
              <w:widowControl/>
              <w:kinsoku w:val="0"/>
              <w:wordWrap/>
              <w:overflowPunct/>
              <w:topLinePunct w:val="0"/>
              <w:autoSpaceDE w:val="0"/>
              <w:autoSpaceDN w:val="0"/>
              <w:bidi w:val="0"/>
              <w:adjustRightInd w:val="0"/>
              <w:snapToGrid w:val="0"/>
              <w:spacing w:before="177" w:line="360" w:lineRule="auto"/>
              <w:ind w:left="117"/>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621" w:type="dxa"/>
            <w:tcBorders>
              <w:tl2br w:val="nil"/>
              <w:tr2bl w:val="nil"/>
            </w:tcBorders>
            <w:vAlign w:val="center"/>
          </w:tcPr>
          <w:p w14:paraId="6375860B">
            <w:pPr>
              <w:pStyle w:val="5"/>
              <w:keepNext w:val="0"/>
              <w:keepLines w:val="0"/>
              <w:pageBreakBefore w:val="0"/>
              <w:widowControl/>
              <w:kinsoku w:val="0"/>
              <w:wordWrap/>
              <w:overflowPunct/>
              <w:topLinePunct w:val="0"/>
              <w:autoSpaceDE w:val="0"/>
              <w:autoSpaceDN w:val="0"/>
              <w:bidi w:val="0"/>
              <w:adjustRightInd w:val="0"/>
              <w:snapToGrid w:val="0"/>
              <w:spacing w:before="114" w:line="360" w:lineRule="auto"/>
              <w:ind w:left="143"/>
              <w:jc w:val="center"/>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000000"/>
                <w:spacing w:val="0"/>
                <w:sz w:val="24"/>
                <w:szCs w:val="24"/>
                <w:shd w:val="clear" w:fill="FFFFFF"/>
              </w:rPr>
              <w:t>德国MEDTRON米特朗</w:t>
            </w:r>
          </w:p>
        </w:tc>
      </w:tr>
      <w:tr w14:paraId="4873D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exact"/>
        </w:trPr>
        <w:tc>
          <w:tcPr>
            <w:tcW w:w="2253" w:type="dxa"/>
            <w:tcBorders>
              <w:tl2br w:val="nil"/>
              <w:tr2bl w:val="nil"/>
            </w:tcBorders>
            <w:vAlign w:val="center"/>
          </w:tcPr>
          <w:p w14:paraId="5466BCDA">
            <w:pPr>
              <w:pStyle w:val="5"/>
              <w:keepNext w:val="0"/>
              <w:keepLines w:val="0"/>
              <w:pageBreakBefore w:val="0"/>
              <w:widowControl/>
              <w:kinsoku w:val="0"/>
              <w:wordWrap/>
              <w:overflowPunct/>
              <w:topLinePunct w:val="0"/>
              <w:autoSpaceDE w:val="0"/>
              <w:autoSpaceDN w:val="0"/>
              <w:bidi w:val="0"/>
              <w:adjustRightInd w:val="0"/>
              <w:snapToGrid w:val="0"/>
              <w:spacing w:before="114" w:line="360" w:lineRule="auto"/>
              <w:ind w:left="219"/>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精密空调</w:t>
            </w:r>
          </w:p>
        </w:tc>
        <w:tc>
          <w:tcPr>
            <w:tcW w:w="2766" w:type="dxa"/>
            <w:tcBorders>
              <w:tl2br w:val="nil"/>
              <w:tr2bl w:val="nil"/>
            </w:tcBorders>
            <w:vAlign w:val="center"/>
          </w:tcPr>
          <w:p w14:paraId="1B2AC8F4">
            <w:pPr>
              <w:pStyle w:val="5"/>
              <w:keepNext w:val="0"/>
              <w:keepLines w:val="0"/>
              <w:pageBreakBefore w:val="0"/>
              <w:widowControl/>
              <w:kinsoku w:val="0"/>
              <w:wordWrap/>
              <w:overflowPunct/>
              <w:topLinePunct w:val="0"/>
              <w:autoSpaceDE w:val="0"/>
              <w:autoSpaceDN w:val="0"/>
              <w:bidi w:val="0"/>
              <w:adjustRightInd w:val="0"/>
              <w:snapToGrid w:val="0"/>
              <w:spacing w:before="176" w:line="360" w:lineRule="auto"/>
              <w:ind w:left="126"/>
              <w:jc w:val="center"/>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MODLE SAU/F452</w:t>
            </w:r>
          </w:p>
        </w:tc>
        <w:tc>
          <w:tcPr>
            <w:tcW w:w="778" w:type="dxa"/>
            <w:tcBorders>
              <w:tl2br w:val="nil"/>
              <w:tr2bl w:val="nil"/>
            </w:tcBorders>
            <w:vAlign w:val="center"/>
          </w:tcPr>
          <w:p w14:paraId="1E837A31">
            <w:pPr>
              <w:pStyle w:val="5"/>
              <w:keepNext w:val="0"/>
              <w:keepLines w:val="0"/>
              <w:pageBreakBefore w:val="0"/>
              <w:widowControl/>
              <w:kinsoku w:val="0"/>
              <w:wordWrap/>
              <w:overflowPunct/>
              <w:topLinePunct w:val="0"/>
              <w:autoSpaceDE w:val="0"/>
              <w:autoSpaceDN w:val="0"/>
              <w:bidi w:val="0"/>
              <w:adjustRightInd w:val="0"/>
              <w:snapToGrid w:val="0"/>
              <w:spacing w:before="178" w:line="360" w:lineRule="auto"/>
              <w:ind w:left="117"/>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621" w:type="dxa"/>
            <w:tcBorders>
              <w:tl2br w:val="nil"/>
              <w:tr2bl w:val="nil"/>
            </w:tcBorders>
            <w:vAlign w:val="center"/>
          </w:tcPr>
          <w:p w14:paraId="1DF74202">
            <w:pPr>
              <w:pStyle w:val="5"/>
              <w:keepNext w:val="0"/>
              <w:keepLines w:val="0"/>
              <w:pageBreakBefore w:val="0"/>
              <w:widowControl/>
              <w:kinsoku w:val="0"/>
              <w:wordWrap/>
              <w:overflowPunct/>
              <w:topLinePunct w:val="0"/>
              <w:autoSpaceDE w:val="0"/>
              <w:autoSpaceDN w:val="0"/>
              <w:bidi w:val="0"/>
              <w:adjustRightInd w:val="0"/>
              <w:snapToGrid w:val="0"/>
              <w:spacing w:before="115" w:line="360" w:lineRule="auto"/>
              <w:ind w:left="143"/>
              <w:jc w:val="center"/>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天津艾美康制冷设备有限责任公司</w:t>
            </w:r>
          </w:p>
        </w:tc>
      </w:tr>
      <w:tr w14:paraId="64BFC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exact"/>
        </w:trPr>
        <w:tc>
          <w:tcPr>
            <w:tcW w:w="2253" w:type="dxa"/>
            <w:tcBorders>
              <w:tl2br w:val="nil"/>
              <w:tr2bl w:val="nil"/>
            </w:tcBorders>
            <w:vAlign w:val="center"/>
          </w:tcPr>
          <w:p w14:paraId="4AFB524C">
            <w:pPr>
              <w:pStyle w:val="5"/>
              <w:keepNext w:val="0"/>
              <w:keepLines w:val="0"/>
              <w:pageBreakBefore w:val="0"/>
              <w:widowControl/>
              <w:kinsoku w:val="0"/>
              <w:wordWrap/>
              <w:overflowPunct/>
              <w:topLinePunct w:val="0"/>
              <w:autoSpaceDE w:val="0"/>
              <w:autoSpaceDN w:val="0"/>
              <w:bidi w:val="0"/>
              <w:adjustRightInd w:val="0"/>
              <w:snapToGrid w:val="0"/>
              <w:spacing w:before="114" w:line="360" w:lineRule="auto"/>
              <w:ind w:left="219"/>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水冷机控制器</w:t>
            </w:r>
          </w:p>
        </w:tc>
        <w:tc>
          <w:tcPr>
            <w:tcW w:w="2766" w:type="dxa"/>
            <w:tcBorders>
              <w:tl2br w:val="nil"/>
              <w:tr2bl w:val="nil"/>
            </w:tcBorders>
            <w:vAlign w:val="center"/>
          </w:tcPr>
          <w:p w14:paraId="4D0BD63A">
            <w:pPr>
              <w:pStyle w:val="5"/>
              <w:keepNext w:val="0"/>
              <w:keepLines w:val="0"/>
              <w:pageBreakBefore w:val="0"/>
              <w:widowControl/>
              <w:kinsoku w:val="0"/>
              <w:wordWrap/>
              <w:overflowPunct/>
              <w:topLinePunct w:val="0"/>
              <w:autoSpaceDE w:val="0"/>
              <w:autoSpaceDN w:val="0"/>
              <w:bidi w:val="0"/>
              <w:adjustRightInd w:val="0"/>
              <w:snapToGrid w:val="0"/>
              <w:spacing w:before="178" w:line="360" w:lineRule="auto"/>
              <w:ind w:left="126"/>
              <w:jc w:val="center"/>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MODLE BO-842F</w:t>
            </w:r>
          </w:p>
        </w:tc>
        <w:tc>
          <w:tcPr>
            <w:tcW w:w="778" w:type="dxa"/>
            <w:tcBorders>
              <w:tl2br w:val="nil"/>
              <w:tr2bl w:val="nil"/>
            </w:tcBorders>
            <w:vAlign w:val="center"/>
          </w:tcPr>
          <w:p w14:paraId="1132CE7C">
            <w:pPr>
              <w:pStyle w:val="5"/>
              <w:keepNext w:val="0"/>
              <w:keepLines w:val="0"/>
              <w:pageBreakBefore w:val="0"/>
              <w:widowControl/>
              <w:kinsoku w:val="0"/>
              <w:wordWrap/>
              <w:overflowPunct/>
              <w:topLinePunct w:val="0"/>
              <w:autoSpaceDE w:val="0"/>
              <w:autoSpaceDN w:val="0"/>
              <w:bidi w:val="0"/>
              <w:adjustRightInd w:val="0"/>
              <w:snapToGrid w:val="0"/>
              <w:spacing w:before="178" w:line="360" w:lineRule="auto"/>
              <w:ind w:left="117"/>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621" w:type="dxa"/>
            <w:tcBorders>
              <w:tl2br w:val="nil"/>
              <w:tr2bl w:val="nil"/>
            </w:tcBorders>
            <w:vAlign w:val="center"/>
          </w:tcPr>
          <w:p w14:paraId="0F44E1CD">
            <w:pPr>
              <w:pStyle w:val="5"/>
              <w:keepNext w:val="0"/>
              <w:keepLines w:val="0"/>
              <w:pageBreakBefore w:val="0"/>
              <w:widowControl/>
              <w:kinsoku w:val="0"/>
              <w:wordWrap/>
              <w:overflowPunct/>
              <w:topLinePunct w:val="0"/>
              <w:autoSpaceDE w:val="0"/>
              <w:autoSpaceDN w:val="0"/>
              <w:bidi w:val="0"/>
              <w:adjustRightInd w:val="0"/>
              <w:snapToGrid w:val="0"/>
              <w:spacing w:before="115" w:line="360" w:lineRule="auto"/>
              <w:ind w:left="143"/>
              <w:jc w:val="center"/>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天津艾美康制冷设备有限责任公司</w:t>
            </w:r>
          </w:p>
        </w:tc>
      </w:tr>
    </w:tbl>
    <w:p w14:paraId="0618ADB6">
      <w:pPr>
        <w:pStyle w:val="5"/>
        <w:keepNext w:val="0"/>
        <w:keepLines w:val="0"/>
        <w:pageBreakBefore w:val="0"/>
        <w:widowControl/>
        <w:kinsoku w:val="0"/>
        <w:wordWrap/>
        <w:overflowPunct/>
        <w:topLinePunct w:val="0"/>
        <w:autoSpaceDE w:val="0"/>
        <w:autoSpaceDN w:val="0"/>
        <w:bidi w:val="0"/>
        <w:adjustRightInd w:val="0"/>
        <w:snapToGrid w:val="0"/>
        <w:spacing w:before="173" w:line="360" w:lineRule="auto"/>
        <w:textAlignment w:val="baseline"/>
        <w:rPr>
          <w:rFonts w:hint="eastAsia" w:ascii="仿宋" w:hAnsi="仿宋" w:eastAsia="仿宋" w:cs="仿宋"/>
          <w:b/>
          <w:bCs/>
          <w:snapToGrid w:val="0"/>
          <w:color w:val="auto"/>
          <w:spacing w:val="6"/>
          <w:kern w:val="0"/>
          <w:sz w:val="24"/>
          <w:szCs w:val="24"/>
          <w:highlight w:val="none"/>
          <w:lang w:val="en-US" w:eastAsia="en-US" w:bidi="ar-SA"/>
        </w:rPr>
      </w:pPr>
    </w:p>
    <w:p w14:paraId="56992615">
      <w:pPr>
        <w:pStyle w:val="5"/>
        <w:keepNext w:val="0"/>
        <w:keepLines w:val="0"/>
        <w:pageBreakBefore w:val="0"/>
        <w:widowControl/>
        <w:numPr>
          <w:ilvl w:val="0"/>
          <w:numId w:val="2"/>
        </w:numPr>
        <w:kinsoku w:val="0"/>
        <w:wordWrap/>
        <w:overflowPunct/>
        <w:topLinePunct w:val="0"/>
        <w:autoSpaceDE w:val="0"/>
        <w:autoSpaceDN w:val="0"/>
        <w:bidi w:val="0"/>
        <w:adjustRightInd w:val="0"/>
        <w:snapToGrid w:val="0"/>
        <w:spacing w:before="124" w:line="360" w:lineRule="auto"/>
        <w:ind w:left="210" w:leftChars="0" w:firstLineChars="0"/>
        <w:textAlignment w:val="baseline"/>
        <w:rPr>
          <w:rFonts w:hint="eastAsia" w:ascii="仿宋" w:hAnsi="仿宋" w:eastAsia="仿宋" w:cs="仿宋"/>
          <w:b/>
          <w:bCs/>
          <w:snapToGrid w:val="0"/>
          <w:color w:val="auto"/>
          <w:spacing w:val="6"/>
          <w:kern w:val="0"/>
          <w:sz w:val="24"/>
          <w:szCs w:val="24"/>
          <w:highlight w:val="none"/>
          <w:lang w:val="en-US" w:eastAsia="en-US" w:bidi="ar-SA"/>
        </w:rPr>
      </w:pPr>
      <w:r>
        <w:rPr>
          <w:rFonts w:hint="eastAsia" w:ascii="仿宋" w:hAnsi="仿宋" w:eastAsia="仿宋" w:cs="仿宋"/>
          <w:b/>
          <w:bCs/>
          <w:snapToGrid w:val="0"/>
          <w:color w:val="auto"/>
          <w:spacing w:val="6"/>
          <w:kern w:val="0"/>
          <w:sz w:val="24"/>
          <w:szCs w:val="24"/>
          <w:highlight w:val="none"/>
          <w:lang w:val="en-US" w:eastAsia="en-US" w:bidi="ar-SA"/>
        </w:rPr>
        <w:t>维保要求和服务</w:t>
      </w:r>
    </w:p>
    <w:p w14:paraId="1BD8F19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24" w:line="360" w:lineRule="auto"/>
        <w:textAlignment w:val="baseline"/>
        <w:rPr>
          <w:rFonts w:hint="eastAsia" w:ascii="仿宋" w:hAnsi="仿宋" w:eastAsia="仿宋" w:cs="仿宋"/>
          <w:snapToGrid/>
          <w:color w:val="auto"/>
          <w:kern w:val="2"/>
          <w:sz w:val="24"/>
          <w:szCs w:val="24"/>
          <w:highlight w:val="none"/>
          <w:shd w:val="clear" w:color="auto" w:fill="auto"/>
          <w:lang w:val="en-US" w:eastAsia="zh-CN" w:bidi="ar-SA"/>
        </w:rPr>
      </w:pPr>
      <w:r>
        <w:rPr>
          <w:rFonts w:hint="eastAsia" w:ascii="仿宋" w:hAnsi="仿宋" w:eastAsia="仿宋" w:cs="仿宋"/>
          <w:snapToGrid/>
          <w:color w:val="auto"/>
          <w:kern w:val="2"/>
          <w:sz w:val="24"/>
          <w:szCs w:val="24"/>
          <w:highlight w:val="none"/>
          <w:shd w:val="clear" w:color="auto" w:fill="auto"/>
          <w:lang w:val="en-US" w:eastAsia="en-US" w:bidi="ar-SA"/>
        </w:rPr>
        <w:t>4.1</w:t>
      </w:r>
      <w:r>
        <w:rPr>
          <w:rFonts w:hint="eastAsia" w:ascii="仿宋" w:hAnsi="仿宋" w:eastAsia="仿宋" w:cs="仿宋"/>
          <w:snapToGrid/>
          <w:color w:val="auto"/>
          <w:kern w:val="2"/>
          <w:sz w:val="24"/>
          <w:szCs w:val="24"/>
          <w:highlight w:val="none"/>
          <w:shd w:val="clear" w:color="auto" w:fill="auto"/>
          <w:lang w:val="en-US" w:eastAsia="zh-CN" w:bidi="ar-SA"/>
        </w:rPr>
        <w:t xml:space="preserve"> </w:t>
      </w:r>
      <w:r>
        <w:rPr>
          <w:rFonts w:hint="eastAsia" w:ascii="仿宋" w:hAnsi="仿宋" w:eastAsia="仿宋" w:cs="仿宋"/>
          <w:snapToGrid/>
          <w:color w:val="auto"/>
          <w:kern w:val="2"/>
          <w:sz w:val="24"/>
          <w:szCs w:val="24"/>
          <w:highlight w:val="none"/>
          <w:shd w:val="clear" w:color="auto" w:fill="auto"/>
          <w:lang w:val="en-US" w:eastAsia="en-US" w:bidi="ar-SA"/>
        </w:rPr>
        <w:t>7×24小时故障响应</w:t>
      </w:r>
      <w:r>
        <w:rPr>
          <w:rFonts w:hint="eastAsia" w:ascii="仿宋" w:hAnsi="仿宋" w:eastAsia="仿宋" w:cs="仿宋"/>
          <w:snapToGrid/>
          <w:color w:val="auto"/>
          <w:kern w:val="2"/>
          <w:sz w:val="24"/>
          <w:szCs w:val="24"/>
          <w:highlight w:val="none"/>
          <w:shd w:val="clear" w:color="auto" w:fill="auto"/>
          <w:lang w:val="en-US" w:eastAsia="zh-CN" w:bidi="ar-SA"/>
        </w:rPr>
        <w:t>，</w:t>
      </w:r>
      <w:r>
        <w:rPr>
          <w:rFonts w:hint="eastAsia" w:ascii="仿宋" w:hAnsi="仿宋" w:eastAsia="仿宋" w:cs="仿宋"/>
          <w:snapToGrid/>
          <w:color w:val="auto"/>
          <w:kern w:val="2"/>
          <w:sz w:val="24"/>
          <w:szCs w:val="24"/>
          <w:highlight w:val="none"/>
          <w:shd w:val="clear" w:color="auto" w:fill="auto"/>
          <w:lang w:val="en-US" w:eastAsia="en-US" w:bidi="ar-SA"/>
        </w:rPr>
        <w:t>24小时内到达故障现场。</w:t>
      </w:r>
    </w:p>
    <w:p w14:paraId="7A0B186A">
      <w:pPr>
        <w:pStyle w:val="5"/>
        <w:keepNext w:val="0"/>
        <w:keepLines w:val="0"/>
        <w:pageBreakBefore w:val="0"/>
        <w:widowControl/>
        <w:kinsoku w:val="0"/>
        <w:wordWrap/>
        <w:overflowPunct/>
        <w:topLinePunct w:val="0"/>
        <w:autoSpaceDE w:val="0"/>
        <w:autoSpaceDN w:val="0"/>
        <w:bidi w:val="0"/>
        <w:adjustRightInd w:val="0"/>
        <w:snapToGrid w:val="0"/>
        <w:spacing w:before="172" w:line="360" w:lineRule="auto"/>
        <w:ind w:right="989"/>
        <w:textAlignment w:val="baseline"/>
        <w:rPr>
          <w:rFonts w:hint="eastAsia" w:ascii="仿宋" w:hAnsi="仿宋" w:eastAsia="仿宋" w:cs="仿宋"/>
          <w:snapToGrid/>
          <w:color w:val="auto"/>
          <w:kern w:val="2"/>
          <w:sz w:val="24"/>
          <w:szCs w:val="24"/>
          <w:highlight w:val="none"/>
          <w:shd w:val="clear" w:color="auto" w:fill="auto"/>
          <w:lang w:val="en-US" w:eastAsia="en-US" w:bidi="ar-SA"/>
        </w:rPr>
      </w:pPr>
      <w:r>
        <w:rPr>
          <w:rFonts w:hint="eastAsia" w:ascii="仿宋" w:hAnsi="仿宋" w:eastAsia="仿宋" w:cs="仿宋"/>
          <w:snapToGrid/>
          <w:color w:val="auto"/>
          <w:kern w:val="2"/>
          <w:sz w:val="24"/>
          <w:szCs w:val="24"/>
          <w:highlight w:val="none"/>
          <w:shd w:val="clear" w:color="auto" w:fill="auto"/>
          <w:lang w:val="en-US" w:eastAsia="en-US" w:bidi="ar-SA"/>
        </w:rPr>
        <w:t>4.2</w:t>
      </w:r>
      <w:r>
        <w:rPr>
          <w:rFonts w:hint="eastAsia" w:ascii="仿宋" w:hAnsi="仿宋" w:eastAsia="仿宋" w:cs="仿宋"/>
          <w:snapToGrid/>
          <w:color w:val="auto"/>
          <w:kern w:val="2"/>
          <w:sz w:val="24"/>
          <w:szCs w:val="24"/>
          <w:highlight w:val="none"/>
          <w:shd w:val="clear" w:color="auto" w:fill="auto"/>
          <w:lang w:val="en-US" w:eastAsia="zh-CN" w:bidi="ar-SA"/>
        </w:rPr>
        <w:t xml:space="preserve"> </w:t>
      </w:r>
      <w:r>
        <w:rPr>
          <w:rFonts w:hint="eastAsia" w:ascii="仿宋" w:hAnsi="仿宋" w:eastAsia="仿宋" w:cs="仿宋"/>
          <w:snapToGrid/>
          <w:color w:val="auto"/>
          <w:kern w:val="2"/>
          <w:sz w:val="24"/>
          <w:szCs w:val="24"/>
          <w:highlight w:val="none"/>
          <w:shd w:val="clear" w:color="auto" w:fill="auto"/>
          <w:lang w:val="en-US" w:eastAsia="en-US" w:bidi="ar-SA"/>
        </w:rPr>
        <w:t>每次故障时间不大于2天，一年故障时间不大于</w:t>
      </w:r>
      <w:r>
        <w:rPr>
          <w:rFonts w:hint="eastAsia" w:ascii="仿宋" w:hAnsi="仿宋" w:eastAsia="仿宋" w:cs="仿宋"/>
          <w:snapToGrid/>
          <w:color w:val="auto"/>
          <w:kern w:val="2"/>
          <w:sz w:val="24"/>
          <w:szCs w:val="24"/>
          <w:highlight w:val="none"/>
          <w:shd w:val="clear" w:color="auto" w:fill="auto"/>
          <w:lang w:val="en-US" w:eastAsia="zh-CN" w:bidi="ar-SA"/>
        </w:rPr>
        <w:t>14</w:t>
      </w:r>
      <w:r>
        <w:rPr>
          <w:rFonts w:hint="eastAsia" w:ascii="仿宋" w:hAnsi="仿宋" w:eastAsia="仿宋" w:cs="仿宋"/>
          <w:snapToGrid/>
          <w:color w:val="auto"/>
          <w:kern w:val="2"/>
          <w:sz w:val="24"/>
          <w:szCs w:val="24"/>
          <w:highlight w:val="none"/>
          <w:shd w:val="clear" w:color="auto" w:fill="auto"/>
          <w:lang w:val="en-US" w:eastAsia="en-US" w:bidi="ar-SA"/>
        </w:rPr>
        <w:t xml:space="preserve">天。 </w:t>
      </w:r>
    </w:p>
    <w:p w14:paraId="68B0F7EC">
      <w:pPr>
        <w:pStyle w:val="5"/>
        <w:keepNext w:val="0"/>
        <w:keepLines w:val="0"/>
        <w:pageBreakBefore w:val="0"/>
        <w:widowControl/>
        <w:kinsoku w:val="0"/>
        <w:wordWrap/>
        <w:overflowPunct/>
        <w:topLinePunct w:val="0"/>
        <w:autoSpaceDE w:val="0"/>
        <w:autoSpaceDN w:val="0"/>
        <w:bidi w:val="0"/>
        <w:adjustRightInd w:val="0"/>
        <w:snapToGrid w:val="0"/>
        <w:spacing w:before="172" w:line="360" w:lineRule="auto"/>
        <w:ind w:right="989"/>
        <w:textAlignment w:val="baseline"/>
        <w:rPr>
          <w:rFonts w:hint="eastAsia" w:ascii="仿宋" w:hAnsi="仿宋" w:eastAsia="仿宋" w:cs="仿宋"/>
          <w:snapToGrid/>
          <w:color w:val="auto"/>
          <w:kern w:val="2"/>
          <w:sz w:val="24"/>
          <w:szCs w:val="24"/>
          <w:highlight w:val="none"/>
          <w:shd w:val="clear" w:color="auto" w:fill="auto"/>
          <w:lang w:val="en-US" w:eastAsia="en-US" w:bidi="ar-SA"/>
        </w:rPr>
      </w:pPr>
      <w:r>
        <w:rPr>
          <w:rFonts w:hint="eastAsia" w:ascii="仿宋" w:hAnsi="仿宋" w:eastAsia="仿宋" w:cs="仿宋"/>
          <w:snapToGrid/>
          <w:color w:val="auto"/>
          <w:kern w:val="2"/>
          <w:sz w:val="24"/>
          <w:szCs w:val="24"/>
          <w:highlight w:val="none"/>
          <w:shd w:val="clear" w:color="auto" w:fill="auto"/>
          <w:lang w:val="en-US" w:eastAsia="en-US" w:bidi="ar-SA"/>
        </w:rPr>
        <w:t>4.3</w:t>
      </w:r>
      <w:r>
        <w:rPr>
          <w:rFonts w:hint="eastAsia" w:ascii="仿宋" w:hAnsi="仿宋" w:eastAsia="仿宋" w:cs="仿宋"/>
          <w:snapToGrid/>
          <w:color w:val="auto"/>
          <w:kern w:val="2"/>
          <w:sz w:val="24"/>
          <w:szCs w:val="24"/>
          <w:highlight w:val="none"/>
          <w:shd w:val="clear" w:color="auto" w:fill="auto"/>
          <w:lang w:val="en-US" w:eastAsia="zh-CN" w:bidi="ar-SA"/>
        </w:rPr>
        <w:t xml:space="preserve"> </w:t>
      </w:r>
      <w:r>
        <w:rPr>
          <w:rFonts w:hint="eastAsia" w:ascii="仿宋" w:hAnsi="仿宋" w:eastAsia="仿宋" w:cs="仿宋"/>
          <w:snapToGrid/>
          <w:color w:val="auto"/>
          <w:kern w:val="2"/>
          <w:sz w:val="24"/>
          <w:szCs w:val="24"/>
          <w:highlight w:val="none"/>
          <w:shd w:val="clear" w:color="auto" w:fill="auto"/>
          <w:lang w:val="en-US" w:eastAsia="en-US" w:bidi="ar-SA"/>
        </w:rPr>
        <w:t>全新原厂备件48小时内到达现场。</w:t>
      </w:r>
    </w:p>
    <w:p w14:paraId="24824BB2">
      <w:pPr>
        <w:pStyle w:val="5"/>
        <w:keepNext w:val="0"/>
        <w:keepLines w:val="0"/>
        <w:pageBreakBefore w:val="0"/>
        <w:widowControl/>
        <w:kinsoku w:val="0"/>
        <w:wordWrap/>
        <w:overflowPunct/>
        <w:topLinePunct w:val="0"/>
        <w:autoSpaceDE w:val="0"/>
        <w:autoSpaceDN w:val="0"/>
        <w:bidi w:val="0"/>
        <w:adjustRightInd w:val="0"/>
        <w:snapToGrid w:val="0"/>
        <w:spacing w:before="38" w:line="360" w:lineRule="auto"/>
        <w:textAlignment w:val="baseline"/>
        <w:rPr>
          <w:rFonts w:hint="eastAsia" w:ascii="仿宋" w:hAnsi="仿宋" w:eastAsia="仿宋" w:cs="仿宋"/>
          <w:snapToGrid/>
          <w:color w:val="auto"/>
          <w:kern w:val="2"/>
          <w:sz w:val="24"/>
          <w:szCs w:val="24"/>
          <w:highlight w:val="none"/>
          <w:shd w:val="clear" w:color="auto" w:fill="auto"/>
          <w:lang w:val="en-US" w:eastAsia="en-US" w:bidi="ar-SA"/>
        </w:rPr>
      </w:pPr>
      <w:r>
        <w:rPr>
          <w:rFonts w:hint="eastAsia" w:ascii="仿宋" w:hAnsi="仿宋" w:eastAsia="仿宋" w:cs="仿宋"/>
          <w:snapToGrid/>
          <w:color w:val="auto"/>
          <w:kern w:val="2"/>
          <w:sz w:val="24"/>
          <w:szCs w:val="24"/>
          <w:highlight w:val="none"/>
          <w:shd w:val="clear" w:color="auto" w:fill="auto"/>
          <w:lang w:val="en-US" w:eastAsia="en-US" w:bidi="ar-SA"/>
        </w:rPr>
        <w:t>4.4</w:t>
      </w:r>
      <w:r>
        <w:rPr>
          <w:rFonts w:hint="eastAsia" w:ascii="仿宋" w:hAnsi="仿宋" w:eastAsia="仿宋" w:cs="仿宋"/>
          <w:snapToGrid/>
          <w:color w:val="auto"/>
          <w:kern w:val="2"/>
          <w:sz w:val="24"/>
          <w:szCs w:val="24"/>
          <w:highlight w:val="none"/>
          <w:shd w:val="clear" w:color="auto" w:fill="auto"/>
          <w:lang w:val="en-US" w:eastAsia="zh-CN" w:bidi="ar-SA"/>
        </w:rPr>
        <w:t xml:space="preserve"> </w:t>
      </w:r>
      <w:r>
        <w:rPr>
          <w:rFonts w:hint="eastAsia" w:ascii="仿宋" w:hAnsi="仿宋" w:eastAsia="仿宋" w:cs="仿宋"/>
          <w:snapToGrid/>
          <w:color w:val="auto"/>
          <w:kern w:val="2"/>
          <w:sz w:val="24"/>
          <w:szCs w:val="24"/>
          <w:highlight w:val="none"/>
          <w:shd w:val="clear" w:color="auto" w:fill="auto"/>
          <w:lang w:val="zh-CN" w:eastAsia="zh-CN" w:bidi="ar-SA"/>
        </w:rPr>
        <w:t>每年度提供1次共</w:t>
      </w:r>
      <w:r>
        <w:rPr>
          <w:rFonts w:hint="eastAsia" w:ascii="仿宋" w:hAnsi="仿宋" w:eastAsia="仿宋" w:cs="仿宋"/>
          <w:snapToGrid/>
          <w:color w:val="auto"/>
          <w:kern w:val="2"/>
          <w:sz w:val="24"/>
          <w:szCs w:val="24"/>
          <w:highlight w:val="none"/>
          <w:shd w:val="clear" w:color="auto" w:fill="auto"/>
          <w:lang w:val="en-US" w:eastAsia="en-US" w:bidi="ar-SA"/>
        </w:rPr>
        <w:t>3</w:t>
      </w:r>
      <w:r>
        <w:rPr>
          <w:rFonts w:hint="eastAsia" w:ascii="仿宋" w:hAnsi="仿宋" w:eastAsia="仿宋" w:cs="仿宋"/>
          <w:snapToGrid/>
          <w:color w:val="auto"/>
          <w:kern w:val="2"/>
          <w:sz w:val="24"/>
          <w:szCs w:val="24"/>
          <w:highlight w:val="none"/>
          <w:shd w:val="clear" w:color="auto" w:fill="auto"/>
          <w:lang w:val="zh-CN" w:eastAsia="zh-CN" w:bidi="ar-SA"/>
        </w:rPr>
        <w:t>人次该设备最新的临床应用培训</w:t>
      </w:r>
      <w:r>
        <w:rPr>
          <w:rFonts w:hint="eastAsia" w:ascii="仿宋" w:hAnsi="仿宋" w:eastAsia="仿宋" w:cs="仿宋"/>
          <w:snapToGrid/>
          <w:color w:val="auto"/>
          <w:kern w:val="2"/>
          <w:sz w:val="24"/>
          <w:szCs w:val="24"/>
          <w:highlight w:val="none"/>
          <w:shd w:val="clear" w:color="auto" w:fill="auto"/>
          <w:lang w:val="en-US" w:eastAsia="en-US" w:bidi="ar-SA"/>
        </w:rPr>
        <w:t>。</w:t>
      </w:r>
    </w:p>
    <w:p w14:paraId="3D09AA17">
      <w:pPr>
        <w:pStyle w:val="5"/>
        <w:keepNext w:val="0"/>
        <w:keepLines w:val="0"/>
        <w:pageBreakBefore w:val="0"/>
        <w:widowControl/>
        <w:kinsoku w:val="0"/>
        <w:wordWrap/>
        <w:overflowPunct/>
        <w:topLinePunct w:val="0"/>
        <w:autoSpaceDE w:val="0"/>
        <w:autoSpaceDN w:val="0"/>
        <w:bidi w:val="0"/>
        <w:adjustRightInd w:val="0"/>
        <w:snapToGrid w:val="0"/>
        <w:spacing w:before="172" w:line="360" w:lineRule="auto"/>
        <w:ind w:right="128"/>
        <w:textAlignment w:val="baseline"/>
        <w:rPr>
          <w:rFonts w:hint="eastAsia" w:ascii="仿宋" w:hAnsi="仿宋" w:eastAsia="仿宋" w:cs="仿宋"/>
          <w:snapToGrid/>
          <w:color w:val="auto"/>
          <w:kern w:val="2"/>
          <w:sz w:val="24"/>
          <w:szCs w:val="24"/>
          <w:highlight w:val="none"/>
          <w:shd w:val="clear" w:color="auto" w:fill="auto"/>
          <w:lang w:val="en-US" w:eastAsia="zh-CN" w:bidi="ar-SA"/>
        </w:rPr>
      </w:pPr>
      <w:r>
        <w:rPr>
          <w:rFonts w:hint="eastAsia" w:ascii="仿宋" w:hAnsi="仿宋" w:eastAsia="仿宋" w:cs="仿宋"/>
          <w:snapToGrid/>
          <w:color w:val="auto"/>
          <w:kern w:val="2"/>
          <w:sz w:val="24"/>
          <w:szCs w:val="24"/>
          <w:highlight w:val="none"/>
          <w:shd w:val="clear" w:color="auto" w:fill="auto"/>
          <w:lang w:val="en-US" w:eastAsia="en-US" w:bidi="ar-SA"/>
        </w:rPr>
        <w:t>4.5</w:t>
      </w:r>
      <w:r>
        <w:rPr>
          <w:rFonts w:hint="eastAsia" w:ascii="仿宋" w:hAnsi="仿宋" w:eastAsia="仿宋" w:cs="仿宋"/>
          <w:snapToGrid/>
          <w:color w:val="auto"/>
          <w:kern w:val="2"/>
          <w:sz w:val="24"/>
          <w:szCs w:val="24"/>
          <w:highlight w:val="none"/>
          <w:shd w:val="clear" w:color="auto" w:fill="auto"/>
          <w:lang w:val="en-US" w:eastAsia="zh-CN" w:bidi="ar-SA"/>
        </w:rPr>
        <w:t xml:space="preserve"> </w:t>
      </w:r>
      <w:r>
        <w:rPr>
          <w:rFonts w:hint="eastAsia" w:ascii="仿宋" w:hAnsi="仿宋" w:eastAsia="仿宋" w:cs="仿宋"/>
          <w:snapToGrid/>
          <w:color w:val="auto"/>
          <w:kern w:val="2"/>
          <w:sz w:val="24"/>
          <w:szCs w:val="24"/>
          <w:highlight w:val="none"/>
          <w:shd w:val="clear" w:color="auto" w:fill="auto"/>
          <w:lang w:val="en-US" w:eastAsia="en-US" w:bidi="ar-SA"/>
        </w:rPr>
        <w:t>维保期内不限次数更换发生故障的配件，</w:t>
      </w:r>
      <w:r>
        <w:rPr>
          <w:rFonts w:hint="eastAsia" w:ascii="仿宋" w:hAnsi="仿宋" w:eastAsia="仿宋" w:cs="仿宋"/>
          <w:snapToGrid/>
          <w:color w:val="auto"/>
          <w:kern w:val="2"/>
          <w:sz w:val="24"/>
          <w:szCs w:val="24"/>
          <w:highlight w:val="none"/>
          <w:shd w:val="clear" w:color="auto" w:fill="auto"/>
          <w:lang w:val="en-US" w:eastAsia="zh-CN" w:bidi="ar-SA"/>
        </w:rPr>
        <w:t>所有</w:t>
      </w:r>
      <w:r>
        <w:rPr>
          <w:rFonts w:hint="eastAsia" w:ascii="仿宋" w:hAnsi="仿宋" w:eastAsia="仿宋" w:cs="仿宋"/>
          <w:snapToGrid/>
          <w:color w:val="auto"/>
          <w:kern w:val="2"/>
          <w:sz w:val="24"/>
          <w:szCs w:val="24"/>
          <w:highlight w:val="none"/>
          <w:shd w:val="clear" w:color="auto" w:fill="auto"/>
          <w:lang w:val="en-US" w:eastAsia="en-US" w:bidi="ar-SA"/>
        </w:rPr>
        <w:t>费用</w:t>
      </w:r>
      <w:r>
        <w:rPr>
          <w:rFonts w:hint="eastAsia" w:ascii="仿宋" w:hAnsi="仿宋" w:eastAsia="仿宋" w:cs="仿宋"/>
          <w:snapToGrid/>
          <w:color w:val="auto"/>
          <w:kern w:val="2"/>
          <w:sz w:val="24"/>
          <w:szCs w:val="24"/>
          <w:highlight w:val="none"/>
          <w:shd w:val="clear" w:color="auto" w:fill="auto"/>
          <w:lang w:val="en-US" w:eastAsia="zh-CN" w:bidi="ar-SA"/>
        </w:rPr>
        <w:t>（含新配件、旧配件的运输等费用）</w:t>
      </w:r>
      <w:r>
        <w:rPr>
          <w:rFonts w:hint="eastAsia" w:ascii="仿宋" w:hAnsi="仿宋" w:eastAsia="仿宋" w:cs="仿宋"/>
          <w:snapToGrid/>
          <w:color w:val="auto"/>
          <w:kern w:val="2"/>
          <w:sz w:val="24"/>
          <w:szCs w:val="24"/>
          <w:highlight w:val="none"/>
          <w:shd w:val="clear" w:color="auto" w:fill="auto"/>
          <w:lang w:val="en-US" w:eastAsia="en-US" w:bidi="ar-SA"/>
        </w:rPr>
        <w:t>包含在投标报价中</w:t>
      </w:r>
      <w:r>
        <w:rPr>
          <w:rFonts w:hint="eastAsia" w:ascii="仿宋" w:hAnsi="仿宋" w:eastAsia="仿宋" w:cs="仿宋"/>
          <w:snapToGrid/>
          <w:color w:val="auto"/>
          <w:kern w:val="2"/>
          <w:sz w:val="24"/>
          <w:szCs w:val="24"/>
          <w:highlight w:val="none"/>
          <w:shd w:val="clear" w:color="auto" w:fill="auto"/>
          <w:lang w:val="en-US" w:eastAsia="zh-CN" w:bidi="ar-SA"/>
        </w:rPr>
        <w:t>。</w:t>
      </w:r>
    </w:p>
    <w:p w14:paraId="04BEDD01">
      <w:pPr>
        <w:widowControl/>
        <w:spacing w:line="360" w:lineRule="auto"/>
        <w:rPr>
          <w:rFonts w:hint="eastAsia" w:ascii="仿宋" w:hAnsi="仿宋" w:eastAsia="仿宋" w:cs="仿宋"/>
          <w:snapToGrid/>
          <w:color w:val="auto"/>
          <w:kern w:val="2"/>
          <w:sz w:val="24"/>
          <w:szCs w:val="24"/>
          <w:highlight w:val="none"/>
          <w:shd w:val="clear" w:color="auto" w:fill="auto"/>
          <w:lang w:val="en-US" w:eastAsia="zh-CN" w:bidi="ar-SA"/>
        </w:rPr>
      </w:pPr>
      <w:r>
        <w:rPr>
          <w:rFonts w:hint="eastAsia" w:ascii="仿宋" w:hAnsi="仿宋" w:eastAsia="仿宋" w:cs="仿宋"/>
          <w:snapToGrid/>
          <w:color w:val="auto"/>
          <w:kern w:val="2"/>
          <w:sz w:val="24"/>
          <w:szCs w:val="24"/>
          <w:highlight w:val="none"/>
          <w:shd w:val="clear" w:color="auto" w:fill="auto"/>
          <w:lang w:val="en-US" w:eastAsia="en-US" w:bidi="ar-SA"/>
        </w:rPr>
        <w:t>4.6</w:t>
      </w:r>
      <w:r>
        <w:rPr>
          <w:rFonts w:hint="eastAsia" w:ascii="仿宋" w:hAnsi="仿宋" w:eastAsia="仿宋" w:cs="仿宋"/>
          <w:snapToGrid/>
          <w:color w:val="auto"/>
          <w:kern w:val="2"/>
          <w:sz w:val="24"/>
          <w:szCs w:val="24"/>
          <w:highlight w:val="none"/>
          <w:shd w:val="clear" w:color="auto" w:fill="auto"/>
          <w:lang w:val="en-US" w:eastAsia="zh-CN" w:bidi="ar-SA"/>
        </w:rPr>
        <w:t xml:space="preserve"> </w:t>
      </w:r>
      <w:r>
        <w:rPr>
          <w:rFonts w:hint="eastAsia" w:ascii="仿宋" w:hAnsi="仿宋" w:eastAsia="仿宋" w:cs="仿宋"/>
          <w:b/>
          <w:bCs/>
          <w:snapToGrid/>
          <w:color w:val="auto"/>
          <w:kern w:val="2"/>
          <w:sz w:val="24"/>
          <w:szCs w:val="24"/>
          <w:highlight w:val="none"/>
          <w:shd w:val="clear" w:color="auto" w:fill="auto"/>
          <w:lang w:val="en-US" w:eastAsia="zh-CN" w:bidi="ar-SA"/>
        </w:rPr>
        <w:t>软件升级</w:t>
      </w:r>
      <w:r>
        <w:rPr>
          <w:rFonts w:hint="eastAsia" w:ascii="仿宋" w:hAnsi="仿宋" w:eastAsia="仿宋" w:cs="仿宋"/>
          <w:snapToGrid/>
          <w:color w:val="auto"/>
          <w:kern w:val="2"/>
          <w:sz w:val="24"/>
          <w:szCs w:val="24"/>
          <w:highlight w:val="none"/>
          <w:shd w:val="clear" w:color="auto" w:fill="auto"/>
          <w:lang w:val="en-US" w:eastAsia="zh-CN" w:bidi="ar-SA"/>
        </w:rPr>
        <w:t>：</w:t>
      </w:r>
      <w:r>
        <w:rPr>
          <w:rFonts w:hint="eastAsia" w:ascii="仿宋" w:hAnsi="仿宋" w:eastAsia="仿宋" w:cs="仿宋"/>
          <w:snapToGrid/>
          <w:color w:val="auto"/>
          <w:kern w:val="2"/>
          <w:sz w:val="24"/>
          <w:szCs w:val="24"/>
          <w:highlight w:val="none"/>
          <w:shd w:val="clear" w:color="auto" w:fill="auto"/>
          <w:lang w:val="en-US" w:eastAsia="en-US" w:bidi="ar-SA"/>
        </w:rPr>
        <w:t>能及时提供全套完整的原厂系统软硬件改版措施</w:t>
      </w:r>
      <w:r>
        <w:rPr>
          <w:rFonts w:hint="eastAsia" w:ascii="仿宋" w:hAnsi="仿宋" w:eastAsia="仿宋" w:cs="仿宋"/>
          <w:snapToGrid/>
          <w:color w:val="auto"/>
          <w:kern w:val="2"/>
          <w:sz w:val="24"/>
          <w:szCs w:val="24"/>
          <w:highlight w:val="none"/>
          <w:shd w:val="clear" w:color="auto" w:fill="auto"/>
          <w:lang w:val="en-US" w:eastAsia="zh-CN" w:bidi="ar-SA"/>
        </w:rPr>
        <w:t>，</w:t>
      </w:r>
      <w:r>
        <w:rPr>
          <w:rFonts w:hint="eastAsia" w:ascii="仿宋" w:hAnsi="仿宋" w:eastAsia="仿宋" w:cs="仿宋"/>
          <w:snapToGrid/>
          <w:color w:val="auto"/>
          <w:kern w:val="2"/>
          <w:sz w:val="24"/>
          <w:szCs w:val="24"/>
          <w:highlight w:val="none"/>
          <w:shd w:val="clear" w:color="auto" w:fill="auto"/>
          <w:lang w:val="en-US" w:eastAsia="en-US" w:bidi="ar-SA"/>
        </w:rPr>
        <w:t>维保期内负责提供设备系统软件升级补丁和技术支持，维保期内保证设备所使用的软件是关于该设备平台原厂最新版本，随时提供软件更新服务(含主机操作系统，工作站系统),相关费用包含在投标报价中。</w:t>
      </w:r>
      <w:r>
        <w:rPr>
          <w:rFonts w:hint="eastAsia" w:ascii="仿宋" w:hAnsi="仿宋" w:eastAsia="仿宋" w:cs="仿宋"/>
          <w:snapToGrid/>
          <w:color w:val="auto"/>
          <w:kern w:val="2"/>
          <w:sz w:val="24"/>
          <w:szCs w:val="24"/>
          <w:highlight w:val="none"/>
          <w:shd w:val="clear" w:color="auto" w:fill="auto"/>
          <w:lang w:val="en-US" w:eastAsia="zh-CN" w:bidi="ar-SA"/>
        </w:rPr>
        <w:t>（</w:t>
      </w:r>
      <w:r>
        <w:rPr>
          <w:rFonts w:hint="eastAsia" w:ascii="仿宋" w:hAnsi="仿宋" w:eastAsia="仿宋" w:cs="仿宋"/>
          <w:snapToGrid/>
          <w:color w:val="FF0000"/>
          <w:kern w:val="2"/>
          <w:sz w:val="24"/>
          <w:szCs w:val="24"/>
          <w:highlight w:val="none"/>
          <w:shd w:val="clear" w:color="auto" w:fill="auto"/>
          <w:lang w:val="en-US" w:eastAsia="en-US" w:bidi="ar-SA"/>
        </w:rPr>
        <w:t>投标文件中提供往期已实施原厂系统安全性软硬件改版措施的材料作为证明材料</w:t>
      </w:r>
      <w:r>
        <w:rPr>
          <w:rFonts w:hint="eastAsia" w:ascii="仿宋" w:hAnsi="仿宋" w:eastAsia="仿宋" w:cs="仿宋"/>
          <w:snapToGrid/>
          <w:color w:val="auto"/>
          <w:kern w:val="2"/>
          <w:sz w:val="24"/>
          <w:szCs w:val="24"/>
          <w:highlight w:val="none"/>
          <w:shd w:val="clear" w:color="auto" w:fill="auto"/>
          <w:lang w:val="en-US" w:eastAsia="zh-CN" w:bidi="ar-SA"/>
        </w:rPr>
        <w:t>）</w:t>
      </w:r>
    </w:p>
    <w:p w14:paraId="58B7DED6">
      <w:pPr>
        <w:pStyle w:val="7"/>
        <w:jc w:val="both"/>
        <w:rPr>
          <w:rFonts w:hint="eastAsia" w:ascii="仿宋" w:hAnsi="仿宋" w:eastAsia="仿宋" w:cs="仿宋"/>
          <w:snapToGrid/>
          <w:color w:val="auto"/>
          <w:kern w:val="2"/>
          <w:sz w:val="24"/>
          <w:szCs w:val="24"/>
          <w:highlight w:val="none"/>
          <w:shd w:val="clear" w:color="auto" w:fill="auto"/>
          <w:lang w:val="en-US" w:eastAsia="en-US" w:bidi="ar-SA"/>
        </w:rPr>
      </w:pPr>
      <w:r>
        <w:rPr>
          <w:rFonts w:hint="eastAsia" w:ascii="仿宋" w:hAnsi="仿宋" w:eastAsia="仿宋" w:cs="仿宋"/>
          <w:snapToGrid/>
          <w:color w:val="auto"/>
          <w:kern w:val="2"/>
          <w:sz w:val="24"/>
          <w:szCs w:val="24"/>
          <w:highlight w:val="none"/>
          <w:shd w:val="clear" w:color="auto" w:fill="auto"/>
          <w:lang w:val="en-US" w:eastAsia="zh-CN" w:bidi="ar-SA"/>
        </w:rPr>
        <w:t>4.7</w:t>
      </w:r>
      <w:r>
        <w:rPr>
          <w:rFonts w:hint="eastAsia" w:ascii="仿宋" w:hAnsi="仿宋" w:eastAsia="仿宋" w:cs="仿宋"/>
          <w:b/>
          <w:bCs/>
          <w:snapToGrid/>
          <w:color w:val="auto"/>
          <w:kern w:val="2"/>
          <w:sz w:val="24"/>
          <w:szCs w:val="24"/>
          <w:highlight w:val="none"/>
          <w:shd w:val="clear" w:color="auto" w:fill="auto"/>
          <w:lang w:val="en-US" w:eastAsia="en-US" w:bidi="ar-SA"/>
        </w:rPr>
        <w:t>安全升级</w:t>
      </w:r>
      <w:r>
        <w:rPr>
          <w:rFonts w:hint="eastAsia" w:ascii="仿宋" w:hAnsi="仿宋" w:eastAsia="仿宋" w:cs="仿宋"/>
          <w:snapToGrid/>
          <w:color w:val="auto"/>
          <w:kern w:val="2"/>
          <w:sz w:val="24"/>
          <w:szCs w:val="24"/>
          <w:highlight w:val="none"/>
          <w:shd w:val="clear" w:color="auto" w:fill="auto"/>
          <w:lang w:val="en-US" w:eastAsia="en-US" w:bidi="ar-SA"/>
        </w:rPr>
        <w:t>：按照建议及要求提供硬件和软件升级，以提高设备的安全性和性能。包括但不限于持续监控设备是否需要升级、提供安全性升级、提供建议性升级、记录升级程序。</w:t>
      </w:r>
    </w:p>
    <w:p w14:paraId="395025A9">
      <w:pPr>
        <w:pStyle w:val="5"/>
        <w:keepNext w:val="0"/>
        <w:keepLines w:val="0"/>
        <w:pageBreakBefore w:val="0"/>
        <w:widowControl/>
        <w:kinsoku w:val="0"/>
        <w:wordWrap/>
        <w:overflowPunct/>
        <w:topLinePunct w:val="0"/>
        <w:autoSpaceDE w:val="0"/>
        <w:autoSpaceDN w:val="0"/>
        <w:bidi w:val="0"/>
        <w:adjustRightInd w:val="0"/>
        <w:snapToGrid w:val="0"/>
        <w:spacing w:before="172" w:line="360" w:lineRule="auto"/>
        <w:ind w:left="240" w:right="989" w:hanging="240" w:hangingChars="100"/>
        <w:textAlignment w:val="baseline"/>
        <w:rPr>
          <w:rFonts w:hint="eastAsia" w:ascii="仿宋" w:hAnsi="仿宋" w:eastAsia="仿宋" w:cs="仿宋"/>
          <w:snapToGrid/>
          <w:color w:val="FF0000"/>
          <w:kern w:val="2"/>
          <w:sz w:val="24"/>
          <w:szCs w:val="24"/>
          <w:highlight w:val="none"/>
          <w:shd w:val="clear" w:color="auto" w:fill="auto"/>
          <w:lang w:val="en-US" w:eastAsia="zh-CN" w:bidi="ar-SA"/>
        </w:rPr>
      </w:pPr>
      <w:r>
        <w:rPr>
          <w:rFonts w:hint="eastAsia" w:ascii="仿宋" w:hAnsi="仿宋" w:eastAsia="仿宋" w:cs="仿宋"/>
          <w:snapToGrid/>
          <w:color w:val="auto"/>
          <w:kern w:val="2"/>
          <w:sz w:val="24"/>
          <w:szCs w:val="24"/>
          <w:highlight w:val="none"/>
          <w:shd w:val="clear" w:color="auto" w:fill="auto"/>
          <w:lang w:val="en-US" w:eastAsia="en-US" w:bidi="ar-SA"/>
        </w:rPr>
        <w:t>4.</w:t>
      </w:r>
      <w:r>
        <w:rPr>
          <w:rFonts w:hint="eastAsia" w:ascii="仿宋" w:hAnsi="仿宋" w:eastAsia="仿宋" w:cs="仿宋"/>
          <w:snapToGrid/>
          <w:color w:val="auto"/>
          <w:kern w:val="2"/>
          <w:sz w:val="24"/>
          <w:szCs w:val="24"/>
          <w:highlight w:val="none"/>
          <w:shd w:val="clear" w:color="auto" w:fill="auto"/>
          <w:lang w:val="en-US" w:eastAsia="zh-CN" w:bidi="ar-SA"/>
        </w:rPr>
        <w:t xml:space="preserve">8 </w:t>
      </w:r>
      <w:r>
        <w:rPr>
          <w:rFonts w:hint="eastAsia" w:ascii="仿宋" w:hAnsi="仿宋" w:eastAsia="仿宋" w:cs="仿宋"/>
          <w:snapToGrid/>
          <w:color w:val="auto"/>
          <w:kern w:val="2"/>
          <w:sz w:val="24"/>
          <w:szCs w:val="24"/>
          <w:highlight w:val="none"/>
          <w:shd w:val="clear" w:color="auto" w:fill="auto"/>
          <w:lang w:val="en-US" w:eastAsia="en-US" w:bidi="ar-SA"/>
        </w:rPr>
        <w:t>维保期内必须确保液氦无限量供应</w:t>
      </w:r>
      <w:r>
        <w:rPr>
          <w:rFonts w:hint="eastAsia" w:ascii="仿宋" w:hAnsi="仿宋" w:eastAsia="仿宋" w:cs="仿宋"/>
          <w:snapToGrid/>
          <w:color w:val="auto"/>
          <w:kern w:val="2"/>
          <w:sz w:val="24"/>
          <w:szCs w:val="24"/>
          <w:highlight w:val="none"/>
          <w:shd w:val="clear" w:color="auto" w:fill="auto"/>
          <w:lang w:val="en-US" w:eastAsia="zh-CN" w:bidi="ar-SA"/>
        </w:rPr>
        <w:t>，</w:t>
      </w:r>
      <w:r>
        <w:rPr>
          <w:rFonts w:hint="eastAsia" w:ascii="仿宋" w:hAnsi="仿宋" w:eastAsia="仿宋" w:cs="仿宋"/>
          <w:snapToGrid/>
          <w:color w:val="auto"/>
          <w:kern w:val="2"/>
          <w:sz w:val="24"/>
          <w:szCs w:val="24"/>
          <w:highlight w:val="none"/>
          <w:shd w:val="clear" w:color="auto" w:fill="auto"/>
          <w:lang w:val="en-US" w:eastAsia="en-US" w:bidi="ar-SA"/>
        </w:rPr>
        <w:t>保修到期液氦</w:t>
      </w:r>
      <w:r>
        <w:rPr>
          <w:rFonts w:hint="eastAsia" w:ascii="仿宋" w:hAnsi="仿宋" w:eastAsia="仿宋" w:cs="仿宋"/>
          <w:snapToGrid/>
          <w:color w:val="FF0000"/>
          <w:kern w:val="2"/>
          <w:sz w:val="24"/>
          <w:szCs w:val="24"/>
          <w:highlight w:val="none"/>
          <w:shd w:val="clear" w:color="auto" w:fill="auto"/>
          <w:lang w:val="en-US" w:eastAsia="zh-CN" w:bidi="ar-SA"/>
        </w:rPr>
        <w:t>需</w:t>
      </w:r>
      <w:r>
        <w:rPr>
          <w:rFonts w:hint="eastAsia" w:ascii="仿宋" w:hAnsi="仿宋" w:eastAsia="仿宋" w:cs="仿宋"/>
          <w:snapToGrid/>
          <w:color w:val="auto"/>
          <w:kern w:val="2"/>
          <w:sz w:val="24"/>
          <w:szCs w:val="24"/>
          <w:highlight w:val="none"/>
          <w:shd w:val="clear" w:color="auto" w:fill="auto"/>
          <w:lang w:val="en-US" w:eastAsia="en-US" w:bidi="ar-SA"/>
        </w:rPr>
        <w:t>加到90%。</w:t>
      </w:r>
      <w:r>
        <w:rPr>
          <w:rFonts w:hint="eastAsia" w:ascii="仿宋" w:hAnsi="仿宋" w:eastAsia="仿宋" w:cs="仿宋"/>
          <w:snapToGrid/>
          <w:color w:val="auto"/>
          <w:kern w:val="2"/>
          <w:sz w:val="24"/>
          <w:szCs w:val="24"/>
          <w:highlight w:val="none"/>
          <w:shd w:val="clear" w:color="auto" w:fill="auto"/>
          <w:lang w:val="en-US" w:eastAsia="zh-CN" w:bidi="ar-SA"/>
        </w:rPr>
        <w:t>提供</w:t>
      </w:r>
      <w:r>
        <w:rPr>
          <w:rFonts w:hint="eastAsia" w:ascii="仿宋" w:hAnsi="仿宋" w:eastAsia="仿宋" w:cs="仿宋"/>
          <w:snapToGrid/>
          <w:color w:val="FF0000"/>
          <w:kern w:val="2"/>
          <w:sz w:val="24"/>
          <w:szCs w:val="24"/>
          <w:highlight w:val="none"/>
          <w:shd w:val="clear" w:color="auto" w:fill="auto"/>
          <w:lang w:val="en-US" w:eastAsia="zh-CN" w:bidi="ar-SA"/>
        </w:rPr>
        <w:t>与液氦供应商签有稳定供应的合同。</w:t>
      </w:r>
      <w:bookmarkStart w:id="0" w:name="_GoBack"/>
      <w:bookmarkEnd w:id="0"/>
    </w:p>
    <w:p w14:paraId="3BD03508">
      <w:pPr>
        <w:pStyle w:val="5"/>
        <w:keepNext w:val="0"/>
        <w:keepLines w:val="0"/>
        <w:pageBreakBefore w:val="0"/>
        <w:widowControl/>
        <w:kinsoku w:val="0"/>
        <w:wordWrap/>
        <w:overflowPunct/>
        <w:topLinePunct w:val="0"/>
        <w:autoSpaceDE w:val="0"/>
        <w:autoSpaceDN w:val="0"/>
        <w:bidi w:val="0"/>
        <w:adjustRightInd w:val="0"/>
        <w:snapToGrid w:val="0"/>
        <w:spacing w:before="172" w:line="360" w:lineRule="auto"/>
        <w:ind w:left="240" w:right="989" w:hanging="240" w:hangingChars="100"/>
        <w:textAlignment w:val="baseline"/>
        <w:rPr>
          <w:rFonts w:hint="eastAsia" w:ascii="仿宋" w:hAnsi="仿宋" w:eastAsia="仿宋" w:cs="仿宋"/>
          <w:snapToGrid w:val="0"/>
          <w:color w:val="FF0000"/>
          <w:spacing w:val="12"/>
          <w:kern w:val="0"/>
          <w:sz w:val="24"/>
          <w:szCs w:val="24"/>
          <w:highlight w:val="none"/>
          <w:lang w:val="en-US" w:eastAsia="zh-CN" w:bidi="ar-SA"/>
        </w:rPr>
      </w:pPr>
      <w:r>
        <w:rPr>
          <w:rFonts w:hint="eastAsia" w:ascii="仿宋" w:hAnsi="仿宋" w:eastAsia="仿宋" w:cs="仿宋"/>
          <w:snapToGrid/>
          <w:color w:val="auto"/>
          <w:kern w:val="2"/>
          <w:sz w:val="24"/>
          <w:szCs w:val="24"/>
          <w:highlight w:val="none"/>
          <w:shd w:val="clear" w:color="auto" w:fill="auto"/>
          <w:lang w:val="en-US" w:eastAsia="en-US" w:bidi="ar-SA"/>
        </w:rPr>
        <w:t>4.</w:t>
      </w:r>
      <w:r>
        <w:rPr>
          <w:rFonts w:hint="eastAsia" w:ascii="仿宋" w:hAnsi="仿宋" w:eastAsia="仿宋" w:cs="仿宋"/>
          <w:snapToGrid/>
          <w:color w:val="auto"/>
          <w:kern w:val="2"/>
          <w:sz w:val="24"/>
          <w:szCs w:val="24"/>
          <w:highlight w:val="none"/>
          <w:shd w:val="clear" w:color="auto" w:fill="auto"/>
          <w:lang w:val="en-US" w:eastAsia="zh-CN" w:bidi="ar-SA"/>
        </w:rPr>
        <w:t>9 定期保养：</w:t>
      </w:r>
      <w:r>
        <w:rPr>
          <w:rFonts w:hint="eastAsia" w:ascii="仿宋" w:hAnsi="仿宋" w:eastAsia="仿宋" w:cs="仿宋"/>
          <w:snapToGrid/>
          <w:color w:val="auto"/>
          <w:kern w:val="2"/>
          <w:sz w:val="24"/>
          <w:szCs w:val="24"/>
          <w:highlight w:val="none"/>
          <w:shd w:val="clear" w:color="auto" w:fill="auto"/>
          <w:lang w:val="en-US" w:eastAsia="en-US" w:bidi="ar-SA"/>
        </w:rPr>
        <w:t>每年提供MRI设备保养≥4次，使之保持原厂</w:t>
      </w:r>
      <w:r>
        <w:rPr>
          <w:rFonts w:hint="eastAsia" w:ascii="仿宋" w:hAnsi="仿宋" w:eastAsia="仿宋" w:cs="仿宋"/>
          <w:snapToGrid/>
          <w:color w:val="auto"/>
          <w:kern w:val="2"/>
          <w:sz w:val="24"/>
          <w:szCs w:val="24"/>
          <w:highlight w:val="none"/>
          <w:shd w:val="clear" w:color="auto" w:fill="auto"/>
          <w:lang w:val="en-US" w:eastAsia="zh-CN" w:bidi="ar-SA"/>
        </w:rPr>
        <w:t>质量</w:t>
      </w:r>
      <w:r>
        <w:rPr>
          <w:rFonts w:hint="eastAsia" w:ascii="仿宋" w:hAnsi="仿宋" w:eastAsia="仿宋" w:cs="仿宋"/>
          <w:snapToGrid/>
          <w:color w:val="auto"/>
          <w:kern w:val="2"/>
          <w:sz w:val="24"/>
          <w:szCs w:val="24"/>
          <w:highlight w:val="none"/>
          <w:shd w:val="clear" w:color="auto" w:fill="auto"/>
          <w:lang w:val="en-US" w:eastAsia="en-US" w:bidi="ar-SA"/>
        </w:rPr>
        <w:t>标</w:t>
      </w:r>
      <w:r>
        <w:rPr>
          <w:rFonts w:hint="eastAsia" w:ascii="仿宋" w:hAnsi="仿宋" w:eastAsia="仿宋" w:cs="仿宋"/>
          <w:snapToGrid w:val="0"/>
          <w:color w:val="auto"/>
          <w:spacing w:val="12"/>
          <w:kern w:val="0"/>
          <w:sz w:val="24"/>
          <w:szCs w:val="24"/>
          <w:highlight w:val="none"/>
          <w:lang w:val="en-US" w:eastAsia="en-US" w:bidi="ar-SA"/>
        </w:rPr>
        <w:t>准或国家质量技术监督部门之标准，并能提供合格的保养报告。包含但不限于如下项目：①机器清洁；②性能测试及校准</w:t>
      </w:r>
      <w:r>
        <w:rPr>
          <w:rFonts w:hint="eastAsia" w:ascii="仿宋" w:hAnsi="仿宋" w:eastAsia="仿宋" w:cs="仿宋"/>
          <w:snapToGrid w:val="0"/>
          <w:color w:val="auto"/>
          <w:spacing w:val="12"/>
          <w:kern w:val="0"/>
          <w:sz w:val="24"/>
          <w:szCs w:val="24"/>
          <w:highlight w:val="none"/>
          <w:lang w:val="en-US" w:eastAsia="zh-CN" w:bidi="ar-SA"/>
        </w:rPr>
        <w:t>：</w:t>
      </w:r>
      <w:r>
        <w:rPr>
          <w:rFonts w:hint="eastAsia" w:ascii="仿宋" w:hAnsi="仿宋" w:eastAsia="仿宋" w:cs="仿宋"/>
          <w:snapToGrid w:val="0"/>
          <w:color w:val="FF0000"/>
          <w:spacing w:val="12"/>
          <w:kern w:val="0"/>
          <w:sz w:val="24"/>
          <w:szCs w:val="24"/>
          <w:highlight w:val="none"/>
          <w:lang w:val="en-US" w:eastAsia="zh-CN" w:bidi="ar-SA"/>
        </w:rPr>
        <w:t>梯度性能诊断、相干噪声测试、头部体部线圈信噪比测试及校准</w:t>
      </w:r>
      <w:r>
        <w:rPr>
          <w:rFonts w:hint="eastAsia" w:ascii="仿宋" w:hAnsi="仿宋" w:eastAsia="仿宋" w:cs="仿宋"/>
          <w:snapToGrid w:val="0"/>
          <w:color w:val="FF0000"/>
          <w:spacing w:val="12"/>
          <w:kern w:val="0"/>
          <w:sz w:val="24"/>
          <w:szCs w:val="24"/>
          <w:highlight w:val="none"/>
          <w:lang w:val="en-US" w:eastAsia="en-US" w:bidi="ar-SA"/>
        </w:rPr>
        <w:t>；</w:t>
      </w:r>
      <w:r>
        <w:rPr>
          <w:rFonts w:hint="eastAsia" w:ascii="仿宋" w:hAnsi="仿宋" w:eastAsia="仿宋" w:cs="仿宋"/>
          <w:snapToGrid w:val="0"/>
          <w:color w:val="auto"/>
          <w:spacing w:val="12"/>
          <w:kern w:val="0"/>
          <w:sz w:val="24"/>
          <w:szCs w:val="24"/>
          <w:highlight w:val="none"/>
          <w:lang w:val="en-US" w:eastAsia="en-US" w:bidi="ar-SA"/>
        </w:rPr>
        <w:t>③必要的机械或电气环境检查；④设备的安全检查和运行状态检查；⑤影像质量检查；⑥提供计划性的定期维护报告，且经原厂审核合格；⑦</w:t>
      </w:r>
      <w:r>
        <w:rPr>
          <w:rFonts w:hint="eastAsia" w:ascii="仿宋" w:hAnsi="仿宋" w:eastAsia="仿宋" w:cs="仿宋"/>
          <w:snapToGrid w:val="0"/>
          <w:color w:val="FF0000"/>
          <w:spacing w:val="12"/>
          <w:kern w:val="0"/>
          <w:sz w:val="24"/>
          <w:szCs w:val="24"/>
          <w:highlight w:val="none"/>
          <w:lang w:val="en-US" w:eastAsia="en-US" w:bidi="ar-SA"/>
        </w:rPr>
        <w:t>磁体状态检查</w:t>
      </w:r>
      <w:r>
        <w:rPr>
          <w:rFonts w:hint="eastAsia" w:ascii="仿宋" w:hAnsi="仿宋" w:eastAsia="仿宋" w:cs="仿宋"/>
          <w:snapToGrid w:val="0"/>
          <w:color w:val="FF0000"/>
          <w:spacing w:val="12"/>
          <w:kern w:val="0"/>
          <w:sz w:val="24"/>
          <w:szCs w:val="24"/>
          <w:highlight w:val="none"/>
          <w:lang w:val="en-US" w:eastAsia="zh-CN" w:bidi="ar-SA"/>
        </w:rPr>
        <w:t>：</w:t>
      </w:r>
      <w:r>
        <w:rPr>
          <w:rFonts w:hint="eastAsia" w:ascii="仿宋" w:hAnsi="仿宋" w:eastAsia="仿宋" w:cs="仿宋"/>
          <w:snapToGrid w:val="0"/>
          <w:color w:val="auto"/>
          <w:spacing w:val="12"/>
          <w:kern w:val="0"/>
          <w:sz w:val="24"/>
          <w:szCs w:val="24"/>
          <w:highlight w:val="none"/>
          <w:lang w:val="en-US" w:eastAsia="en-US" w:bidi="ar-SA"/>
        </w:rPr>
        <w:t>MRI设备每次保养进行小匀场，并达到原厂要求保养标准，不合格时，进行大匀场。</w:t>
      </w:r>
      <w:r>
        <w:rPr>
          <w:rFonts w:hint="eastAsia" w:ascii="仿宋" w:hAnsi="仿宋" w:eastAsia="仿宋" w:cs="仿宋"/>
          <w:snapToGrid w:val="0"/>
          <w:color w:val="FF0000"/>
          <w:spacing w:val="12"/>
          <w:kern w:val="0"/>
          <w:sz w:val="24"/>
          <w:szCs w:val="24"/>
          <w:highlight w:val="none"/>
          <w:lang w:val="en-US" w:eastAsia="en-US" w:bidi="ar-SA"/>
        </w:rPr>
        <w:t>⑧白噪声测试及校准</w:t>
      </w:r>
      <w:r>
        <w:rPr>
          <w:rFonts w:hint="eastAsia" w:ascii="仿宋" w:hAnsi="仿宋" w:eastAsia="仿宋" w:cs="仿宋"/>
          <w:snapToGrid w:val="0"/>
          <w:color w:val="FF0000"/>
          <w:spacing w:val="12"/>
          <w:kern w:val="0"/>
          <w:sz w:val="24"/>
          <w:szCs w:val="24"/>
          <w:highlight w:val="none"/>
          <w:lang w:val="en-US" w:eastAsia="zh-CN" w:bidi="ar-SA"/>
        </w:rPr>
        <w:t>；</w:t>
      </w:r>
      <w:r>
        <w:rPr>
          <w:rFonts w:hint="eastAsia" w:ascii="仿宋" w:hAnsi="仿宋" w:eastAsia="仿宋" w:cs="仿宋"/>
          <w:snapToGrid w:val="0"/>
          <w:color w:val="FF0000"/>
          <w:spacing w:val="12"/>
          <w:kern w:val="0"/>
          <w:sz w:val="24"/>
          <w:szCs w:val="24"/>
          <w:highlight w:val="none"/>
          <w:lang w:val="en-US" w:eastAsia="en-US" w:bidi="ar-SA"/>
        </w:rPr>
        <w:t>⑨水冷系统清洁、更换冷却液</w:t>
      </w:r>
      <w:r>
        <w:rPr>
          <w:rFonts w:hint="eastAsia" w:ascii="仿宋" w:hAnsi="仿宋" w:eastAsia="仿宋" w:cs="仿宋"/>
          <w:snapToGrid w:val="0"/>
          <w:color w:val="FF0000"/>
          <w:spacing w:val="12"/>
          <w:kern w:val="0"/>
          <w:sz w:val="24"/>
          <w:szCs w:val="24"/>
          <w:highlight w:val="none"/>
          <w:lang w:val="en-US" w:eastAsia="zh-CN" w:bidi="ar-SA"/>
        </w:rPr>
        <w:t>。</w:t>
      </w:r>
    </w:p>
    <w:p w14:paraId="2602D9C7">
      <w:pPr>
        <w:pStyle w:val="5"/>
        <w:keepNext w:val="0"/>
        <w:keepLines w:val="0"/>
        <w:pageBreakBefore w:val="0"/>
        <w:widowControl/>
        <w:kinsoku w:val="0"/>
        <w:wordWrap/>
        <w:overflowPunct/>
        <w:topLinePunct w:val="0"/>
        <w:autoSpaceDE w:val="0"/>
        <w:autoSpaceDN w:val="0"/>
        <w:bidi w:val="0"/>
        <w:adjustRightInd w:val="0"/>
        <w:snapToGrid w:val="0"/>
        <w:spacing w:before="172" w:line="360" w:lineRule="auto"/>
        <w:ind w:right="989"/>
        <w:textAlignment w:val="baseline"/>
        <w:rPr>
          <w:rFonts w:hint="eastAsia" w:ascii="仿宋" w:hAnsi="仿宋" w:eastAsia="仿宋" w:cs="仿宋"/>
          <w:snapToGrid w:val="0"/>
          <w:color w:val="auto"/>
          <w:spacing w:val="6"/>
          <w:kern w:val="0"/>
          <w:sz w:val="24"/>
          <w:szCs w:val="24"/>
          <w:highlight w:val="none"/>
          <w:lang w:val="en-US" w:eastAsia="en-US" w:bidi="ar-SA"/>
        </w:rPr>
      </w:pPr>
      <w:r>
        <w:rPr>
          <w:rFonts w:hint="eastAsia" w:ascii="仿宋" w:hAnsi="仿宋" w:eastAsia="仿宋" w:cs="仿宋"/>
          <w:snapToGrid w:val="0"/>
          <w:color w:val="auto"/>
          <w:spacing w:val="12"/>
          <w:kern w:val="0"/>
          <w:sz w:val="24"/>
          <w:szCs w:val="24"/>
          <w:highlight w:val="none"/>
          <w:lang w:val="en-US" w:eastAsia="en-US" w:bidi="ar-SA"/>
        </w:rPr>
        <w:t>4.</w:t>
      </w:r>
      <w:r>
        <w:rPr>
          <w:rFonts w:hint="eastAsia" w:ascii="仿宋" w:hAnsi="仿宋" w:eastAsia="仿宋" w:cs="仿宋"/>
          <w:snapToGrid w:val="0"/>
          <w:color w:val="auto"/>
          <w:spacing w:val="12"/>
          <w:kern w:val="0"/>
          <w:sz w:val="24"/>
          <w:szCs w:val="24"/>
          <w:highlight w:val="none"/>
          <w:lang w:val="en-US" w:eastAsia="zh-CN" w:bidi="ar-SA"/>
        </w:rPr>
        <w:t xml:space="preserve">10 </w:t>
      </w:r>
      <w:r>
        <w:rPr>
          <w:rFonts w:hint="eastAsia" w:ascii="仿宋" w:hAnsi="仿宋" w:eastAsia="仿宋" w:cs="仿宋"/>
          <w:snapToGrid w:val="0"/>
          <w:color w:val="auto"/>
          <w:spacing w:val="12"/>
          <w:kern w:val="0"/>
          <w:sz w:val="24"/>
          <w:szCs w:val="24"/>
          <w:highlight w:val="none"/>
          <w:lang w:val="en-US" w:eastAsia="en-US" w:bidi="ar-SA"/>
        </w:rPr>
        <w:t>现场维护保养：中标人的工程师应</w:t>
      </w:r>
      <w:r>
        <w:rPr>
          <w:rFonts w:hint="eastAsia" w:ascii="仿宋" w:hAnsi="仿宋" w:eastAsia="仿宋" w:cs="仿宋"/>
          <w:snapToGrid w:val="0"/>
          <w:color w:val="auto"/>
          <w:spacing w:val="6"/>
          <w:kern w:val="0"/>
          <w:sz w:val="24"/>
          <w:szCs w:val="24"/>
          <w:highlight w:val="none"/>
          <w:lang w:val="en-US" w:eastAsia="en-US" w:bidi="ar-SA"/>
        </w:rPr>
        <w:t>配合保养计划，针对产品的外部环境、主要参数与性能做质量评估，为机器潜在的问题预测提示，以减少机器非正常停机的风险，提高医疗设备的正常使用率，帮助医院实现高质量、低风险的医疗服务。中标人在接到医院计划外维护保养或报修申请电话后，中标人评估必要性后派遣工程师前往维护保养或检修设备。工程师最多不超过 24小时到达现场。</w:t>
      </w:r>
    </w:p>
    <w:p w14:paraId="134671F1">
      <w:pPr>
        <w:pStyle w:val="5"/>
        <w:keepNext w:val="0"/>
        <w:keepLines w:val="0"/>
        <w:pageBreakBefore w:val="0"/>
        <w:widowControl/>
        <w:kinsoku w:val="0"/>
        <w:wordWrap/>
        <w:overflowPunct/>
        <w:topLinePunct w:val="0"/>
        <w:autoSpaceDE w:val="0"/>
        <w:autoSpaceDN w:val="0"/>
        <w:bidi w:val="0"/>
        <w:adjustRightInd w:val="0"/>
        <w:snapToGrid w:val="0"/>
        <w:spacing w:before="172" w:line="360" w:lineRule="auto"/>
        <w:ind w:right="989"/>
        <w:textAlignment w:val="baseline"/>
        <w:rPr>
          <w:rFonts w:hint="eastAsia" w:ascii="仿宋" w:hAnsi="仿宋" w:eastAsia="仿宋" w:cs="仿宋"/>
          <w:snapToGrid w:val="0"/>
          <w:color w:val="auto"/>
          <w:spacing w:val="6"/>
          <w:kern w:val="0"/>
          <w:sz w:val="24"/>
          <w:szCs w:val="24"/>
          <w:highlight w:val="none"/>
          <w:lang w:val="en-US" w:eastAsia="en-US" w:bidi="ar-SA"/>
        </w:rPr>
      </w:pPr>
      <w:r>
        <w:rPr>
          <w:rFonts w:hint="eastAsia" w:ascii="仿宋" w:hAnsi="仿宋" w:eastAsia="仿宋" w:cs="仿宋"/>
          <w:snapToGrid w:val="0"/>
          <w:color w:val="auto"/>
          <w:spacing w:val="6"/>
          <w:kern w:val="0"/>
          <w:sz w:val="24"/>
          <w:szCs w:val="24"/>
          <w:highlight w:val="none"/>
          <w:lang w:val="en-US" w:eastAsia="en-US" w:bidi="ar-SA"/>
        </w:rPr>
        <w:t>4.1</w:t>
      </w:r>
      <w:r>
        <w:rPr>
          <w:rFonts w:hint="eastAsia" w:ascii="仿宋" w:hAnsi="仿宋" w:eastAsia="仿宋" w:cs="仿宋"/>
          <w:snapToGrid w:val="0"/>
          <w:color w:val="auto"/>
          <w:spacing w:val="6"/>
          <w:kern w:val="0"/>
          <w:sz w:val="24"/>
          <w:szCs w:val="24"/>
          <w:highlight w:val="none"/>
          <w:lang w:val="en-US" w:eastAsia="zh-CN" w:bidi="ar-SA"/>
        </w:rPr>
        <w:t>1</w:t>
      </w:r>
      <w:r>
        <w:rPr>
          <w:rFonts w:hint="eastAsia" w:ascii="仿宋" w:hAnsi="仿宋" w:eastAsia="仿宋" w:cs="仿宋"/>
          <w:snapToGrid w:val="0"/>
          <w:color w:val="auto"/>
          <w:spacing w:val="6"/>
          <w:kern w:val="0"/>
          <w:sz w:val="24"/>
          <w:szCs w:val="24"/>
          <w:highlight w:val="none"/>
          <w:lang w:val="en-US" w:eastAsia="en-US" w:bidi="ar-SA"/>
        </w:rPr>
        <w:t>开机保证时间：开机保证率承诺为9</w:t>
      </w:r>
      <w:r>
        <w:rPr>
          <w:rFonts w:hint="eastAsia" w:ascii="仿宋" w:hAnsi="仿宋" w:eastAsia="仿宋" w:cs="仿宋"/>
          <w:snapToGrid w:val="0"/>
          <w:color w:val="auto"/>
          <w:spacing w:val="6"/>
          <w:kern w:val="0"/>
          <w:sz w:val="24"/>
          <w:szCs w:val="24"/>
          <w:highlight w:val="none"/>
          <w:lang w:val="en-US" w:eastAsia="zh-CN" w:bidi="ar-SA"/>
        </w:rPr>
        <w:t>6</w:t>
      </w:r>
      <w:r>
        <w:rPr>
          <w:rFonts w:hint="eastAsia" w:ascii="仿宋" w:hAnsi="仿宋" w:eastAsia="仿宋" w:cs="仿宋"/>
          <w:snapToGrid w:val="0"/>
          <w:color w:val="auto"/>
          <w:spacing w:val="6"/>
          <w:kern w:val="0"/>
          <w:sz w:val="24"/>
          <w:szCs w:val="24"/>
          <w:highlight w:val="none"/>
          <w:lang w:val="en-US" w:eastAsia="en-US" w:bidi="ar-SA"/>
        </w:rPr>
        <w:t>%,计算公式如下：开机保证率=365天×9</w:t>
      </w:r>
      <w:r>
        <w:rPr>
          <w:rFonts w:hint="eastAsia" w:ascii="仿宋" w:hAnsi="仿宋" w:eastAsia="仿宋" w:cs="仿宋"/>
          <w:snapToGrid w:val="0"/>
          <w:color w:val="auto"/>
          <w:spacing w:val="6"/>
          <w:kern w:val="0"/>
          <w:sz w:val="24"/>
          <w:szCs w:val="24"/>
          <w:highlight w:val="none"/>
          <w:lang w:val="en-US" w:eastAsia="zh-CN" w:bidi="ar-SA"/>
        </w:rPr>
        <w:t>6</w:t>
      </w:r>
      <w:r>
        <w:rPr>
          <w:rFonts w:hint="eastAsia" w:ascii="仿宋" w:hAnsi="仿宋" w:eastAsia="仿宋" w:cs="仿宋"/>
          <w:snapToGrid w:val="0"/>
          <w:color w:val="auto"/>
          <w:spacing w:val="6"/>
          <w:kern w:val="0"/>
          <w:sz w:val="24"/>
          <w:szCs w:val="24"/>
          <w:highlight w:val="none"/>
          <w:lang w:val="en-US" w:eastAsia="en-US" w:bidi="ar-SA"/>
        </w:rPr>
        <w:t>%,达不到开机保证率的情况下停机</w:t>
      </w:r>
      <w:r>
        <w:rPr>
          <w:rFonts w:hint="eastAsia" w:ascii="仿宋" w:hAnsi="仿宋" w:eastAsia="仿宋" w:cs="仿宋"/>
          <w:snapToGrid w:val="0"/>
          <w:color w:val="auto"/>
          <w:spacing w:val="6"/>
          <w:kern w:val="0"/>
          <w:sz w:val="24"/>
          <w:szCs w:val="24"/>
          <w:highlight w:val="none"/>
          <w:lang w:val="en-US" w:eastAsia="zh-CN" w:bidi="ar-SA"/>
        </w:rPr>
        <w:t>1</w:t>
      </w:r>
      <w:r>
        <w:rPr>
          <w:rFonts w:hint="eastAsia" w:ascii="仿宋" w:hAnsi="仿宋" w:eastAsia="仿宋" w:cs="仿宋"/>
          <w:snapToGrid w:val="0"/>
          <w:color w:val="auto"/>
          <w:spacing w:val="6"/>
          <w:kern w:val="0"/>
          <w:sz w:val="24"/>
          <w:szCs w:val="24"/>
          <w:highlight w:val="none"/>
          <w:lang w:val="en-US" w:eastAsia="en-US" w:bidi="ar-SA"/>
        </w:rPr>
        <w:t>天</w:t>
      </w:r>
      <w:r>
        <w:rPr>
          <w:rFonts w:hint="eastAsia" w:ascii="仿宋" w:hAnsi="仿宋" w:eastAsia="仿宋" w:cs="仿宋"/>
          <w:snapToGrid w:val="0"/>
          <w:color w:val="auto"/>
          <w:spacing w:val="6"/>
          <w:kern w:val="0"/>
          <w:sz w:val="24"/>
          <w:szCs w:val="24"/>
          <w:highlight w:val="none"/>
          <w:lang w:val="en-US" w:eastAsia="zh-CN" w:bidi="ar-SA"/>
        </w:rPr>
        <w:t>，维保时间</w:t>
      </w:r>
      <w:r>
        <w:rPr>
          <w:rFonts w:hint="eastAsia" w:ascii="仿宋" w:hAnsi="仿宋" w:eastAsia="仿宋" w:cs="仿宋"/>
          <w:snapToGrid w:val="0"/>
          <w:color w:val="auto"/>
          <w:spacing w:val="6"/>
          <w:kern w:val="0"/>
          <w:sz w:val="24"/>
          <w:szCs w:val="24"/>
          <w:highlight w:val="none"/>
          <w:lang w:val="en-US" w:eastAsia="en-US" w:bidi="ar-SA"/>
        </w:rPr>
        <w:t>顺延</w:t>
      </w:r>
      <w:r>
        <w:rPr>
          <w:rFonts w:hint="eastAsia" w:ascii="仿宋" w:hAnsi="仿宋" w:eastAsia="仿宋" w:cs="仿宋"/>
          <w:snapToGrid w:val="0"/>
          <w:color w:val="auto"/>
          <w:spacing w:val="6"/>
          <w:kern w:val="0"/>
          <w:sz w:val="24"/>
          <w:szCs w:val="24"/>
          <w:highlight w:val="none"/>
          <w:lang w:val="en-US" w:eastAsia="zh-CN" w:bidi="ar-SA"/>
        </w:rPr>
        <w:t>7</w:t>
      </w:r>
      <w:r>
        <w:rPr>
          <w:rFonts w:hint="eastAsia" w:ascii="仿宋" w:hAnsi="仿宋" w:eastAsia="仿宋" w:cs="仿宋"/>
          <w:snapToGrid w:val="0"/>
          <w:color w:val="auto"/>
          <w:spacing w:val="6"/>
          <w:kern w:val="0"/>
          <w:sz w:val="24"/>
          <w:szCs w:val="24"/>
          <w:highlight w:val="none"/>
          <w:lang w:val="en-US" w:eastAsia="en-US" w:bidi="ar-SA"/>
        </w:rPr>
        <w:t>天。</w:t>
      </w:r>
    </w:p>
    <w:p w14:paraId="0230EDAC">
      <w:pPr>
        <w:pStyle w:val="5"/>
        <w:keepNext w:val="0"/>
        <w:keepLines w:val="0"/>
        <w:pageBreakBefore w:val="0"/>
        <w:widowControl/>
        <w:kinsoku w:val="0"/>
        <w:wordWrap/>
        <w:overflowPunct/>
        <w:topLinePunct w:val="0"/>
        <w:autoSpaceDE w:val="0"/>
        <w:autoSpaceDN w:val="0"/>
        <w:bidi w:val="0"/>
        <w:adjustRightInd w:val="0"/>
        <w:snapToGrid w:val="0"/>
        <w:spacing w:before="172" w:line="360" w:lineRule="auto"/>
        <w:ind w:left="92" w:right="989" w:firstLine="19"/>
        <w:textAlignment w:val="baseline"/>
        <w:rPr>
          <w:rFonts w:hint="eastAsia" w:ascii="仿宋" w:hAnsi="仿宋" w:eastAsia="仿宋" w:cs="仿宋"/>
          <w:snapToGrid w:val="0"/>
          <w:color w:val="auto"/>
          <w:spacing w:val="6"/>
          <w:kern w:val="0"/>
          <w:sz w:val="24"/>
          <w:szCs w:val="24"/>
          <w:highlight w:val="none"/>
          <w:lang w:val="en-US" w:eastAsia="en-US" w:bidi="ar-SA"/>
        </w:rPr>
      </w:pPr>
      <w:r>
        <w:rPr>
          <w:rFonts w:hint="eastAsia" w:ascii="仿宋" w:hAnsi="仿宋" w:eastAsia="仿宋" w:cs="仿宋"/>
          <w:snapToGrid w:val="0"/>
          <w:color w:val="auto"/>
          <w:spacing w:val="6"/>
          <w:kern w:val="0"/>
          <w:sz w:val="24"/>
          <w:szCs w:val="24"/>
          <w:highlight w:val="none"/>
          <w:lang w:val="en-US" w:eastAsia="en-US" w:bidi="ar-SA"/>
        </w:rPr>
        <w:t>4.1</w:t>
      </w:r>
      <w:r>
        <w:rPr>
          <w:rFonts w:hint="eastAsia" w:ascii="仿宋" w:hAnsi="仿宋" w:eastAsia="仿宋" w:cs="仿宋"/>
          <w:snapToGrid w:val="0"/>
          <w:color w:val="auto"/>
          <w:spacing w:val="6"/>
          <w:kern w:val="0"/>
          <w:sz w:val="24"/>
          <w:szCs w:val="24"/>
          <w:highlight w:val="none"/>
          <w:lang w:val="en-US" w:eastAsia="zh-CN" w:bidi="ar-SA"/>
        </w:rPr>
        <w:t>2</w:t>
      </w:r>
      <w:r>
        <w:rPr>
          <w:rFonts w:hint="eastAsia" w:ascii="仿宋" w:hAnsi="仿宋" w:eastAsia="仿宋" w:cs="仿宋"/>
          <w:snapToGrid w:val="0"/>
          <w:color w:val="auto"/>
          <w:spacing w:val="6"/>
          <w:kern w:val="0"/>
          <w:sz w:val="24"/>
          <w:szCs w:val="24"/>
          <w:highlight w:val="none"/>
          <w:lang w:val="en-US" w:eastAsia="en-US" w:bidi="ar-SA"/>
        </w:rPr>
        <w:t>服务报告：</w:t>
      </w:r>
    </w:p>
    <w:p w14:paraId="3AFD9187">
      <w:pPr>
        <w:pStyle w:val="5"/>
        <w:keepNext w:val="0"/>
        <w:keepLines w:val="0"/>
        <w:pageBreakBefore w:val="0"/>
        <w:widowControl/>
        <w:kinsoku w:val="0"/>
        <w:wordWrap/>
        <w:overflowPunct/>
        <w:topLinePunct w:val="0"/>
        <w:autoSpaceDE w:val="0"/>
        <w:autoSpaceDN w:val="0"/>
        <w:bidi w:val="0"/>
        <w:adjustRightInd w:val="0"/>
        <w:snapToGrid w:val="0"/>
        <w:spacing w:before="172" w:line="360" w:lineRule="auto"/>
        <w:ind w:left="92" w:right="989" w:firstLine="19"/>
        <w:textAlignment w:val="baseline"/>
        <w:rPr>
          <w:rFonts w:hint="eastAsia" w:ascii="仿宋" w:hAnsi="仿宋" w:eastAsia="仿宋" w:cs="仿宋"/>
          <w:snapToGrid w:val="0"/>
          <w:color w:val="auto"/>
          <w:spacing w:val="6"/>
          <w:kern w:val="0"/>
          <w:sz w:val="24"/>
          <w:szCs w:val="24"/>
          <w:highlight w:val="none"/>
          <w:lang w:val="en-US" w:eastAsia="en-US" w:bidi="ar-SA"/>
        </w:rPr>
      </w:pPr>
      <w:r>
        <w:rPr>
          <w:rFonts w:hint="eastAsia" w:ascii="仿宋" w:hAnsi="仿宋" w:eastAsia="仿宋" w:cs="仿宋"/>
          <w:snapToGrid w:val="0"/>
          <w:color w:val="auto"/>
          <w:spacing w:val="6"/>
          <w:kern w:val="0"/>
          <w:sz w:val="24"/>
          <w:szCs w:val="24"/>
          <w:highlight w:val="none"/>
          <w:lang w:val="en-US" w:eastAsia="en-US" w:bidi="ar-SA"/>
        </w:rPr>
        <w:t>(1)每次保养、维修后，中标人指定的工程师应以邮件或现场汇报的形式为采购人提供服务报告，并提供纸质书面维保报告(加盖公章)。</w:t>
      </w:r>
    </w:p>
    <w:p w14:paraId="3A9FC965">
      <w:pPr>
        <w:pStyle w:val="5"/>
        <w:keepNext w:val="0"/>
        <w:keepLines w:val="0"/>
        <w:pageBreakBefore w:val="0"/>
        <w:widowControl/>
        <w:kinsoku w:val="0"/>
        <w:wordWrap/>
        <w:overflowPunct/>
        <w:topLinePunct w:val="0"/>
        <w:autoSpaceDE w:val="0"/>
        <w:autoSpaceDN w:val="0"/>
        <w:bidi w:val="0"/>
        <w:adjustRightInd w:val="0"/>
        <w:snapToGrid w:val="0"/>
        <w:spacing w:before="172" w:line="360" w:lineRule="auto"/>
        <w:ind w:left="92" w:right="989" w:firstLine="19"/>
        <w:textAlignment w:val="baseline"/>
        <w:rPr>
          <w:rFonts w:hint="eastAsia" w:ascii="仿宋" w:hAnsi="仿宋" w:eastAsia="仿宋" w:cs="仿宋"/>
          <w:snapToGrid w:val="0"/>
          <w:color w:val="auto"/>
          <w:spacing w:val="6"/>
          <w:kern w:val="0"/>
          <w:sz w:val="24"/>
          <w:szCs w:val="24"/>
          <w:highlight w:val="none"/>
          <w:lang w:val="en-US" w:eastAsia="en-US" w:bidi="ar-SA"/>
        </w:rPr>
      </w:pPr>
      <w:r>
        <w:rPr>
          <w:rFonts w:hint="eastAsia" w:ascii="仿宋" w:hAnsi="仿宋" w:eastAsia="仿宋" w:cs="仿宋"/>
          <w:snapToGrid w:val="0"/>
          <w:color w:val="auto"/>
          <w:spacing w:val="6"/>
          <w:kern w:val="0"/>
          <w:sz w:val="24"/>
          <w:szCs w:val="24"/>
          <w:highlight w:val="none"/>
          <w:lang w:val="en-US" w:eastAsia="en-US" w:bidi="ar-SA"/>
        </w:rPr>
        <w:t>(2)年度维保报告书：按医院“三甲”要求，每维保年度结束后一个月内提交该设备的“年度维保报告书”(一式两份、加盖公章),内容包括：年度内维修记录，保养记录，维修保养发现问题的分析、工作方法改进和安排，下一年度的维保工作计划 (按持续质量改进(PDCA)制定)等。</w:t>
      </w:r>
    </w:p>
    <w:p w14:paraId="4E249089">
      <w:pPr>
        <w:pStyle w:val="5"/>
        <w:keepNext w:val="0"/>
        <w:keepLines w:val="0"/>
        <w:pageBreakBefore w:val="0"/>
        <w:widowControl/>
        <w:kinsoku w:val="0"/>
        <w:wordWrap/>
        <w:overflowPunct/>
        <w:topLinePunct w:val="0"/>
        <w:autoSpaceDE w:val="0"/>
        <w:autoSpaceDN w:val="0"/>
        <w:bidi w:val="0"/>
        <w:adjustRightInd w:val="0"/>
        <w:snapToGrid w:val="0"/>
        <w:spacing w:before="172" w:line="360" w:lineRule="auto"/>
        <w:ind w:left="92" w:right="989" w:firstLine="19"/>
        <w:textAlignment w:val="baseline"/>
        <w:rPr>
          <w:rFonts w:hint="eastAsia" w:ascii="仿宋" w:hAnsi="仿宋" w:eastAsia="仿宋" w:cs="仿宋"/>
          <w:snapToGrid w:val="0"/>
          <w:color w:val="auto"/>
          <w:spacing w:val="6"/>
          <w:kern w:val="0"/>
          <w:sz w:val="24"/>
          <w:szCs w:val="24"/>
          <w:highlight w:val="none"/>
          <w:lang w:val="en-US" w:eastAsia="en-US" w:bidi="ar-SA"/>
        </w:rPr>
      </w:pPr>
      <w:r>
        <w:rPr>
          <w:rFonts w:hint="eastAsia" w:ascii="仿宋" w:hAnsi="仿宋" w:eastAsia="仿宋" w:cs="仿宋"/>
          <w:snapToGrid w:val="0"/>
          <w:color w:val="auto"/>
          <w:spacing w:val="6"/>
          <w:kern w:val="0"/>
          <w:sz w:val="24"/>
          <w:szCs w:val="24"/>
          <w:highlight w:val="none"/>
          <w:lang w:val="en-US" w:eastAsia="zh-CN" w:bidi="ar-SA"/>
        </w:rPr>
        <w:t>4.13</w:t>
      </w:r>
      <w:r>
        <w:rPr>
          <w:rFonts w:hint="eastAsia" w:ascii="仿宋" w:hAnsi="仿宋" w:eastAsia="仿宋" w:cs="仿宋"/>
          <w:snapToGrid w:val="0"/>
          <w:color w:val="auto"/>
          <w:spacing w:val="6"/>
          <w:kern w:val="0"/>
          <w:sz w:val="24"/>
          <w:szCs w:val="24"/>
          <w:highlight w:val="none"/>
          <w:lang w:val="en-US" w:eastAsia="en-US" w:bidi="ar-SA"/>
        </w:rPr>
        <w:t>免费提供远程数字化服务</w:t>
      </w:r>
    </w:p>
    <w:p w14:paraId="575BA029">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before="172" w:line="360" w:lineRule="auto"/>
        <w:ind w:left="92" w:right="989" w:firstLine="19"/>
        <w:textAlignment w:val="baseline"/>
        <w:rPr>
          <w:rFonts w:hint="eastAsia" w:ascii="仿宋" w:hAnsi="仿宋" w:eastAsia="仿宋" w:cs="仿宋"/>
          <w:snapToGrid w:val="0"/>
          <w:color w:val="auto"/>
          <w:spacing w:val="6"/>
          <w:kern w:val="0"/>
          <w:sz w:val="24"/>
          <w:szCs w:val="24"/>
          <w:highlight w:val="none"/>
          <w:lang w:val="en-US" w:eastAsia="en-US" w:bidi="ar-SA"/>
        </w:rPr>
      </w:pPr>
      <w:r>
        <w:rPr>
          <w:rFonts w:hint="eastAsia" w:ascii="仿宋" w:hAnsi="仿宋" w:eastAsia="仿宋" w:cs="仿宋"/>
          <w:snapToGrid w:val="0"/>
          <w:color w:val="auto"/>
          <w:spacing w:val="6"/>
          <w:kern w:val="0"/>
          <w:sz w:val="24"/>
          <w:szCs w:val="24"/>
          <w:highlight w:val="none"/>
          <w:lang w:val="en-US" w:eastAsia="en-US" w:bidi="ar-SA"/>
        </w:rPr>
        <w:t>提供完善的远程数字化服务以提高设备使用效率</w:t>
      </w:r>
      <w:r>
        <w:rPr>
          <w:rFonts w:hint="eastAsia" w:ascii="仿宋" w:hAnsi="仿宋" w:eastAsia="仿宋" w:cs="仿宋"/>
          <w:snapToGrid w:val="0"/>
          <w:color w:val="auto"/>
          <w:spacing w:val="6"/>
          <w:kern w:val="0"/>
          <w:sz w:val="24"/>
          <w:szCs w:val="24"/>
          <w:highlight w:val="none"/>
          <w:lang w:val="en-US" w:eastAsia="zh-CN" w:bidi="ar-SA"/>
        </w:rPr>
        <w:t>；</w:t>
      </w:r>
    </w:p>
    <w:p w14:paraId="30667FFB">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before="172" w:line="360" w:lineRule="auto"/>
        <w:ind w:left="92" w:right="989" w:firstLine="19"/>
        <w:textAlignment w:val="baseline"/>
        <w:rPr>
          <w:rFonts w:hint="eastAsia" w:ascii="仿宋" w:hAnsi="仿宋" w:eastAsia="仿宋" w:cs="仿宋"/>
          <w:snapToGrid w:val="0"/>
          <w:color w:val="auto"/>
          <w:spacing w:val="6"/>
          <w:kern w:val="0"/>
          <w:sz w:val="24"/>
          <w:szCs w:val="24"/>
          <w:highlight w:val="none"/>
          <w:lang w:val="en-US" w:eastAsia="en-US" w:bidi="ar-SA"/>
        </w:rPr>
      </w:pPr>
      <w:r>
        <w:rPr>
          <w:rFonts w:hint="eastAsia" w:ascii="仿宋" w:hAnsi="仿宋" w:eastAsia="仿宋" w:cs="仿宋"/>
          <w:snapToGrid w:val="0"/>
          <w:color w:val="auto"/>
          <w:spacing w:val="6"/>
          <w:kern w:val="0"/>
          <w:sz w:val="24"/>
          <w:szCs w:val="24"/>
          <w:highlight w:val="none"/>
          <w:lang w:val="en-US" w:eastAsia="en-US" w:bidi="ar-SA"/>
        </w:rPr>
        <w:t>每年提供3次远程预防性保养，并且提供接入设备相关网络的租赁</w:t>
      </w:r>
      <w:r>
        <w:rPr>
          <w:rFonts w:hint="eastAsia" w:ascii="仿宋" w:hAnsi="仿宋" w:eastAsia="仿宋" w:cs="仿宋"/>
          <w:snapToGrid w:val="0"/>
          <w:color w:val="auto"/>
          <w:spacing w:val="6"/>
          <w:kern w:val="0"/>
          <w:sz w:val="24"/>
          <w:szCs w:val="24"/>
          <w:highlight w:val="none"/>
          <w:lang w:val="en-US" w:eastAsia="zh-CN" w:bidi="ar-SA"/>
        </w:rPr>
        <w:t>；</w:t>
      </w:r>
    </w:p>
    <w:p w14:paraId="23F41ED7">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before="172" w:line="360" w:lineRule="auto"/>
        <w:ind w:left="92" w:right="989" w:firstLine="19"/>
        <w:textAlignment w:val="baseline"/>
        <w:rPr>
          <w:rFonts w:hint="eastAsia" w:ascii="仿宋" w:hAnsi="仿宋" w:eastAsia="仿宋" w:cs="仿宋"/>
          <w:snapToGrid w:val="0"/>
          <w:color w:val="auto"/>
          <w:spacing w:val="6"/>
          <w:kern w:val="0"/>
          <w:sz w:val="24"/>
          <w:szCs w:val="24"/>
          <w:highlight w:val="none"/>
          <w:lang w:val="en-US" w:eastAsia="zh-CN" w:bidi="ar-SA"/>
        </w:rPr>
      </w:pPr>
      <w:r>
        <w:rPr>
          <w:rFonts w:hint="eastAsia" w:ascii="仿宋" w:hAnsi="仿宋" w:eastAsia="仿宋" w:cs="仿宋"/>
          <w:snapToGrid w:val="0"/>
          <w:color w:val="auto"/>
          <w:spacing w:val="6"/>
          <w:kern w:val="0"/>
          <w:sz w:val="24"/>
          <w:szCs w:val="24"/>
          <w:highlight w:val="none"/>
          <w:lang w:val="en-US" w:eastAsia="en-US" w:bidi="ar-SA"/>
        </w:rPr>
        <w:t>为提供设备提供24小时远程检测；更新全球智能设备诊断系统；提高监测灵敏度并扩大智能知识库；提供人工不定期远程监测服务</w:t>
      </w:r>
      <w:r>
        <w:rPr>
          <w:rFonts w:hint="eastAsia" w:ascii="仿宋" w:hAnsi="仿宋" w:eastAsia="仿宋" w:cs="仿宋"/>
          <w:snapToGrid w:val="0"/>
          <w:color w:val="auto"/>
          <w:spacing w:val="6"/>
          <w:kern w:val="0"/>
          <w:sz w:val="24"/>
          <w:szCs w:val="24"/>
          <w:highlight w:val="none"/>
          <w:lang w:val="en-US" w:eastAsia="zh-CN" w:bidi="ar-SA"/>
        </w:rPr>
        <w:t>；</w:t>
      </w:r>
    </w:p>
    <w:p w14:paraId="26EF9964">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before="172" w:line="360" w:lineRule="auto"/>
        <w:ind w:left="92" w:right="989" w:firstLine="19"/>
        <w:textAlignment w:val="baseline"/>
        <w:rPr>
          <w:rFonts w:hint="eastAsia" w:ascii="仿宋" w:hAnsi="仿宋" w:eastAsia="仿宋" w:cs="仿宋"/>
          <w:snapToGrid w:val="0"/>
          <w:color w:val="auto"/>
          <w:spacing w:val="6"/>
          <w:kern w:val="0"/>
          <w:sz w:val="24"/>
          <w:szCs w:val="24"/>
          <w:highlight w:val="none"/>
          <w:lang w:val="en-US" w:eastAsia="zh-CN" w:bidi="ar-SA"/>
        </w:rPr>
      </w:pPr>
      <w:r>
        <w:rPr>
          <w:rFonts w:hint="eastAsia" w:ascii="仿宋" w:hAnsi="仿宋" w:eastAsia="仿宋" w:cs="仿宋"/>
          <w:snapToGrid w:val="0"/>
          <w:color w:val="auto"/>
          <w:spacing w:val="6"/>
          <w:kern w:val="0"/>
          <w:sz w:val="24"/>
          <w:szCs w:val="24"/>
          <w:highlight w:val="none"/>
          <w:lang w:val="en-US" w:eastAsia="en-US" w:bidi="ar-SA"/>
        </w:rPr>
        <w:t>在远程监测的基础上，为设备提供预知型故障报警，并进行故障远程服务。</w:t>
      </w:r>
    </w:p>
    <w:p w14:paraId="5EE2024D">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A1C8B6"/>
    <w:multiLevelType w:val="singleLevel"/>
    <w:tmpl w:val="C2A1C8B6"/>
    <w:lvl w:ilvl="0" w:tentative="0">
      <w:start w:val="4"/>
      <w:numFmt w:val="decimal"/>
      <w:suff w:val="nothing"/>
      <w:lvlText w:val="%1、"/>
      <w:lvlJc w:val="left"/>
      <w:pPr>
        <w:ind w:left="108"/>
      </w:pPr>
    </w:lvl>
  </w:abstractNum>
  <w:abstractNum w:abstractNumId="1">
    <w:nsid w:val="D4A9656C"/>
    <w:multiLevelType w:val="singleLevel"/>
    <w:tmpl w:val="D4A9656C"/>
    <w:lvl w:ilvl="0" w:tentative="0">
      <w:start w:val="1"/>
      <w:numFmt w:val="decimal"/>
      <w:suff w:val="nothing"/>
      <w:lvlText w:val="%1、"/>
      <w:lvlJc w:val="left"/>
    </w:lvl>
  </w:abstractNum>
  <w:abstractNum w:abstractNumId="2">
    <w:nsid w:val="7BEF5387"/>
    <w:multiLevelType w:val="singleLevel"/>
    <w:tmpl w:val="7BEF5387"/>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3673AB"/>
    <w:rsid w:val="72367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3"/>
      <w:szCs w:val="23"/>
      <w:lang w:val="en-US" w:eastAsia="en-US" w:bidi="ar-SA"/>
    </w:rPr>
  </w:style>
  <w:style w:type="paragraph" w:customStyle="1" w:styleId="5">
    <w:name w:val="Table Text"/>
    <w:basedOn w:val="1"/>
    <w:semiHidden/>
    <w:qFormat/>
    <w:uiPriority w:val="0"/>
    <w:rPr>
      <w:rFonts w:ascii="宋体" w:hAnsi="宋体" w:eastAsia="宋体" w:cs="宋体"/>
      <w:sz w:val="25"/>
      <w:szCs w:val="25"/>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2026-01-06T02:02:00Z</dcterms:created>
  <dc:creator>ye</dc:creator>
  <cp:lastModifiedBy>ye</cp:lastModifiedBy>
  <dcterms:modified xsi:type="dcterms:W3CDTF">2026-01-06T02:10:24Z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1ACB615B32B74982827AC09530D72C9C_11</vt:lpwstr>
  </property>
  <property fmtid="{D5CDD505-2E9C-101B-9397-08002B2CF9AE}" pid="4" name="KSOTemplateDocerSaveRecord">
    <vt:lpwstr>eyJoZGlkIjoiMmMwZWM1NTIxZjZkMTFkYmM1ZDhjYWQ1ZjllOTYzZjUiLCJ1c2VySWQiOiIyODM3Mjg4OTkifQ==</vt:lpwstr>
  </property>
</Properties>
</file>