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3E3CB">
      <w:pPr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t>1.临床诊断精度要求，该设备搭载创新光子计数探测器与一体化球管，可实现0.010g/cm²骨密度测量精度，结合TBS骨小梁评分系统，能精准分析骨微结构变化，解决传统设备50%脆性骨折漏诊问题</w:t>
      </w:r>
      <w:bookmarkStart w:id="0" w:name="_GoBack"/>
      <w:bookmarkEnd w:id="0"/>
      <w:r>
        <w:rPr>
          <w:rFonts w:hint="eastAsia"/>
          <w:kern w:val="2"/>
          <w:sz w:val="21"/>
          <w:szCs w:val="24"/>
          <w:lang w:val="en-US" w:eastAsia="zh-CN" w:bidi="ar-SA"/>
        </w:rPr>
        <w:t>。</w:t>
      </w:r>
    </w:p>
    <w:p w14:paraId="2EC2F491">
      <w:pPr>
        <w:numPr>
          <w:ilvl w:val="0"/>
          <w:numId w:val="0"/>
        </w:numPr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t>2.多功能临床应用需求，其encoRE平台整合全身骨密度、体成分分析、内脏脂肪评估等12项功能模块，可同时服务骨科、内分泌科、老年科等8个临床科室，覆盖130万服务人口、年5000+例检测量的骨质疏松、肥胖症及肌少症一体化诊断需求。</w:t>
      </w:r>
    </w:p>
    <w:p w14:paraId="611B1342">
      <w:pPr>
        <w:numPr>
          <w:ilvl w:val="0"/>
          <w:numId w:val="0"/>
        </w:numPr>
        <w:rPr>
          <w:rFonts w:hint="default"/>
          <w:kern w:val="2"/>
          <w:sz w:val="21"/>
          <w:szCs w:val="24"/>
          <w:lang w:val="en-US" w:eastAsia="zh-CN" w:bidi="ar-SA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t>3.科研教学支撑需求，设备配备小动物扫描软件与开放API接口，支持骨代谢机制研究及大型队列数据采集，满足科学研究与人才培养需求。</w:t>
      </w:r>
    </w:p>
    <w:p w14:paraId="4AE7E14B">
      <w:pPr>
        <w:numPr>
          <w:ilvl w:val="0"/>
          <w:numId w:val="0"/>
        </w:numPr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t>4.区域医疗引领需求，作为本地区首台高端骨密度仪，其0.01mm椎体高度测量精度与ASMI肌少症分析功能，可填补区域技术空白，推动建立标准化骨密度检测中心，符合三级甲等医院区域医疗高地定位。</w:t>
      </w:r>
    </w:p>
    <w:p w14:paraId="401BC8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31144"/>
    <w:rsid w:val="1A23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2025-11-04T01:17:00Z</dcterms:created>
  <dc:creator>ye</dc:creator>
  <cp:lastModifiedBy>ye</cp:lastModifiedBy>
  <dcterms:modified xsi:type="dcterms:W3CDTF">2025-11-04T01:17:55Z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424EA7E08AA241DDAAB598D3209A9EEA_11</vt:lpwstr>
  </property>
  <property fmtid="{D5CDD505-2E9C-101B-9397-08002B2CF9AE}" pid="4" name="KSOTemplateDocerSaveRecord">
    <vt:lpwstr>eyJoZGlkIjoiMmMwZWM1NTIxZjZkMTFkYmM1ZDhjYWQ1ZjllOTYzZjUiLCJ1c2VySWQiOiIyODM3Mjg4OTkifQ==</vt:lpwstr>
  </property>
</Properties>
</file>