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4C6D54C8">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4566C9BC">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B35941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08F2A08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3BC7DC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946CC9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01D64A8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98F9770">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1833"/>
        <w:gridCol w:w="2131"/>
      </w:tblGrid>
      <w:tr w14:paraId="3F97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9253A2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7E9C711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7BDD838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093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vMerge w:val="restart"/>
          </w:tcPr>
          <w:p w14:paraId="50D8CCC7">
            <w:pPr>
              <w:jc w:val="center"/>
              <w:rPr>
                <w:rFonts w:hint="eastAsia" w:ascii="楷体" w:hAnsi="楷体" w:eastAsia="楷体"/>
                <w:sz w:val="24"/>
                <w:szCs w:val="24"/>
              </w:rPr>
            </w:pPr>
          </w:p>
          <w:p w14:paraId="3BA0F723">
            <w:pPr>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智能便携式短波</w:t>
            </w:r>
          </w:p>
          <w:p w14:paraId="2189476A">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治疗仪</w:t>
            </w:r>
          </w:p>
        </w:tc>
        <w:tc>
          <w:tcPr>
            <w:tcW w:w="1833" w:type="dxa"/>
          </w:tcPr>
          <w:p w14:paraId="407B055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康复科门诊</w:t>
            </w:r>
          </w:p>
        </w:tc>
        <w:tc>
          <w:tcPr>
            <w:tcW w:w="2131" w:type="dxa"/>
          </w:tcPr>
          <w:p w14:paraId="43CD1D4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r w14:paraId="69E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98" w:type="dxa"/>
            <w:vMerge w:val="continue"/>
          </w:tcPr>
          <w:p w14:paraId="144F1C04">
            <w:pPr>
              <w:spacing w:line="440" w:lineRule="exact"/>
              <w:rPr>
                <w:rFonts w:ascii="仿宋" w:hAnsi="仿宋" w:eastAsia="仿宋" w:cs="仿宋"/>
                <w:color w:val="000000" w:themeColor="text1"/>
                <w:sz w:val="24"/>
                <w14:textFill>
                  <w14:solidFill>
                    <w14:schemeClr w14:val="tx1"/>
                  </w14:solidFill>
                </w14:textFill>
              </w:rPr>
            </w:pPr>
          </w:p>
        </w:tc>
        <w:tc>
          <w:tcPr>
            <w:tcW w:w="1833" w:type="dxa"/>
          </w:tcPr>
          <w:p w14:paraId="1E20A496">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眩晕中心</w:t>
            </w:r>
          </w:p>
        </w:tc>
        <w:tc>
          <w:tcPr>
            <w:tcW w:w="2131" w:type="dxa"/>
          </w:tcPr>
          <w:p w14:paraId="11802FA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05F57CC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智能便携短波治疗仪</w:t>
      </w:r>
    </w:p>
    <w:p w14:paraId="6874AA6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lang w:val="en-US" w:eastAsia="zh-CN"/>
        </w:rPr>
        <w:t>改善深部组织血液循环，利于炎症吸收及消散，促进淋巴回流，增强巨噬细胞吞噬功能，促进病理代谢产物的吸收,消炎止痛消肿的作用。</w:t>
      </w:r>
    </w:p>
    <w:p w14:paraId="0057079D">
      <w:pPr>
        <w:spacing w:line="440" w:lineRule="exact"/>
        <w:rPr>
          <w:rFonts w:ascii="仿宋" w:hAnsi="仿宋" w:eastAsia="仿宋" w:cs="仿宋"/>
          <w:b/>
          <w:color w:val="000000" w:themeColor="text1"/>
          <w:sz w:val="24"/>
          <w14:textFill>
            <w14:solidFill>
              <w14:schemeClr w14:val="tx1"/>
            </w14:solidFill>
          </w14:textFill>
        </w:rPr>
      </w:pPr>
    </w:p>
    <w:p w14:paraId="11D4FD6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0AFC8EB">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设备使用年限不低于5年</w:t>
      </w:r>
    </w:p>
    <w:p w14:paraId="721BB02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采用先进微电脑控制和晶体管技术，彩色触摸屏配合快捷键设计，简单易用。</w:t>
      </w:r>
    </w:p>
    <w:p w14:paraId="5BA59331">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▲内置不同部位的临床治疗处方，具有连续，脉冲两种模式，输出精准。脉冲模式可调制频率和脉宽，可储存用户的自定义方案。</w:t>
      </w:r>
    </w:p>
    <w:p w14:paraId="3E0ED091">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自动调谐：与人体匹配度高，热感快，温热效果好，自动调谐，达到最优输出。自动补正室温：根据季节室温变化，自动识别外界温度，调节输出功率，保持温热感恒定。</w:t>
      </w:r>
    </w:p>
    <w:p w14:paraId="0AF8A4A6">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采用高级屏蔽技术，整机采用全金属屏蔽材料，无辐射干扰及危害。</w:t>
      </w:r>
    </w:p>
    <w:p w14:paraId="120922D7">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▲振动频率：27.12MHz ± 0.6%，输出功率</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：0-50W可调，5W/档。具有连续，脉冲</w:t>
      </w:r>
      <w:r>
        <w:rPr>
          <w:rFonts w:hint="eastAsia" w:ascii="仿宋" w:hAnsi="仿宋" w:eastAsia="仿宋" w:cs="仿宋"/>
          <w:color w:val="000000" w:themeColor="text1"/>
          <w:sz w:val="24"/>
          <w:lang w:val="en-US" w:eastAsia="zh-CN"/>
          <w14:textFill>
            <w14:solidFill>
              <w14:schemeClr w14:val="tx1"/>
            </w14:solidFill>
          </w14:textFill>
        </w:rPr>
        <w:t>等不少于</w:t>
      </w:r>
      <w:r>
        <w:rPr>
          <w:rFonts w:hint="eastAsia" w:ascii="仿宋" w:hAnsi="仿宋" w:eastAsia="仿宋" w:cs="仿宋"/>
          <w:color w:val="000000" w:themeColor="text1"/>
          <w:sz w:val="24"/>
          <w14:textFill>
            <w14:solidFill>
              <w14:schemeClr w14:val="tx1"/>
            </w14:solidFill>
          </w14:textFill>
        </w:rPr>
        <w:t>两种模式，输出精准。脉冲模式可调制频率和脉宽，调制频率</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：10-800hz可调，步长10hz，调剂脉宽</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：20-400us可调，步长20us（需提供技术文件）</w:t>
      </w:r>
    </w:p>
    <w:p w14:paraId="4471E2AF">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时间设定</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：1-30min，步长1min</w:t>
      </w:r>
    </w:p>
    <w:p w14:paraId="4A0B4A27">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输出波形：正弦波</w:t>
      </w:r>
    </w:p>
    <w:p w14:paraId="042C82C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不少于</w:t>
      </w:r>
      <w:r>
        <w:rPr>
          <w:rFonts w:hint="eastAsia" w:ascii="仿宋" w:hAnsi="仿宋" w:eastAsia="仿宋" w:cs="仿宋"/>
          <w:color w:val="000000" w:themeColor="text1"/>
          <w:sz w:val="24"/>
          <w14:textFill>
            <w14:solidFill>
              <w14:schemeClr w14:val="tx1"/>
            </w14:solidFill>
          </w14:textFill>
        </w:rPr>
        <w:t>四种治疗剂量：无热，微热，温热，热量</w:t>
      </w:r>
    </w:p>
    <w:p w14:paraId="2C5A9C2B">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▲彩色电阻屏显示解剖学和病理，可显示</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36个专家处方电极放置方式，记录</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99个自定义处方等。常用肺炎、急性扭损伤参考数据处方</w:t>
      </w:r>
    </w:p>
    <w:p w14:paraId="282EDE35">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▲采用便携式设计，体积与同类产品相比要轻巧得多，可在任何场合轻松使用。主机规格：285 x 197 x 280mm便携式设计，主机重量：约7kg。可选配推车</w:t>
      </w:r>
    </w:p>
    <w:p w14:paraId="428032ED">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输出电极：标准型号输出电极对</w:t>
      </w:r>
    </w:p>
    <w:p w14:paraId="477CF9B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压：100-240V，最大输出电流：6.5A</w:t>
      </w:r>
    </w:p>
    <w:p w14:paraId="441381D6">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系统可升级更新至最新专家处方</w:t>
      </w:r>
    </w:p>
    <w:p w14:paraId="2F4F0100">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23"/>
        <w:gridCol w:w="4206"/>
        <w:gridCol w:w="1004"/>
        <w:gridCol w:w="953"/>
      </w:tblGrid>
      <w:tr w14:paraId="1194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73BA0F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23" w:type="dxa"/>
          </w:tcPr>
          <w:p w14:paraId="48AA13A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206" w:type="dxa"/>
          </w:tcPr>
          <w:p w14:paraId="7233CF5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1004" w:type="dxa"/>
          </w:tcPr>
          <w:p w14:paraId="13EA8A8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53" w:type="dxa"/>
          </w:tcPr>
          <w:p w14:paraId="712D94C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FE9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BE812A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23" w:type="dxa"/>
          </w:tcPr>
          <w:p w14:paraId="6AE6CB9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主机</w:t>
            </w:r>
          </w:p>
        </w:tc>
        <w:tc>
          <w:tcPr>
            <w:tcW w:w="4206" w:type="dxa"/>
          </w:tcPr>
          <w:p w14:paraId="33003838">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049E894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59A4B74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5089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F5FD59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23" w:type="dxa"/>
          </w:tcPr>
          <w:p w14:paraId="37771B5B">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输出线</w:t>
            </w:r>
          </w:p>
        </w:tc>
        <w:tc>
          <w:tcPr>
            <w:tcW w:w="4206" w:type="dxa"/>
          </w:tcPr>
          <w:p w14:paraId="4ECC2FBB">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3D965A4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53" w:type="dxa"/>
          </w:tcPr>
          <w:p w14:paraId="0996D046">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条</w:t>
            </w:r>
          </w:p>
        </w:tc>
      </w:tr>
      <w:tr w14:paraId="7373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433FF1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23" w:type="dxa"/>
          </w:tcPr>
          <w:p w14:paraId="37420943">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标准电极</w:t>
            </w:r>
          </w:p>
        </w:tc>
        <w:tc>
          <w:tcPr>
            <w:tcW w:w="4206" w:type="dxa"/>
          </w:tcPr>
          <w:p w14:paraId="2D8F5C97">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22AADA8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748AF3E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7FD7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6795D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623" w:type="dxa"/>
          </w:tcPr>
          <w:p w14:paraId="7D3CE54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固定绑带</w:t>
            </w:r>
          </w:p>
        </w:tc>
        <w:tc>
          <w:tcPr>
            <w:tcW w:w="4206" w:type="dxa"/>
          </w:tcPr>
          <w:p w14:paraId="0237FF1B">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759C38C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6</w:t>
            </w:r>
          </w:p>
        </w:tc>
        <w:tc>
          <w:tcPr>
            <w:tcW w:w="953" w:type="dxa"/>
          </w:tcPr>
          <w:p w14:paraId="47DB1AB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279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C6DC53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623" w:type="dxa"/>
          </w:tcPr>
          <w:p w14:paraId="117FCD0A">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大号电极</w:t>
            </w:r>
          </w:p>
        </w:tc>
        <w:tc>
          <w:tcPr>
            <w:tcW w:w="4206" w:type="dxa"/>
          </w:tcPr>
          <w:p w14:paraId="54EDFD2E">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DC8BAEE">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432D5A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7165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62CF3E6">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623" w:type="dxa"/>
          </w:tcPr>
          <w:p w14:paraId="4CBCD970">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轮式台车</w:t>
            </w:r>
          </w:p>
        </w:tc>
        <w:tc>
          <w:tcPr>
            <w:tcW w:w="4206" w:type="dxa"/>
          </w:tcPr>
          <w:p w14:paraId="293983AF">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3767BC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4737D3C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04F6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57DE669">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623" w:type="dxa"/>
          </w:tcPr>
          <w:p w14:paraId="415FF096">
            <w:pPr>
              <w:spacing w:line="440" w:lineRule="exact"/>
              <w:rPr>
                <w:rFonts w:hint="eastAsia" w:ascii="楷体" w:hAnsi="楷体" w:eastAsia="楷体"/>
                <w:sz w:val="32"/>
                <w:szCs w:val="32"/>
              </w:rPr>
            </w:pPr>
            <w:r>
              <w:rPr>
                <w:rFonts w:hint="eastAsia" w:ascii="楷体" w:hAnsi="楷体" w:eastAsia="楷体"/>
                <w:sz w:val="32"/>
                <w:szCs w:val="32"/>
              </w:rPr>
              <w:t>电源线</w:t>
            </w:r>
          </w:p>
        </w:tc>
        <w:tc>
          <w:tcPr>
            <w:tcW w:w="4206" w:type="dxa"/>
          </w:tcPr>
          <w:p w14:paraId="05E576B7">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6EB19D1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65770B9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4CAA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C9BA837">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623" w:type="dxa"/>
          </w:tcPr>
          <w:p w14:paraId="58540E93">
            <w:pPr>
              <w:spacing w:line="440" w:lineRule="exact"/>
              <w:rPr>
                <w:rFonts w:hint="eastAsia" w:ascii="楷体" w:hAnsi="楷体" w:eastAsia="楷体"/>
                <w:sz w:val="32"/>
                <w:szCs w:val="32"/>
              </w:rPr>
            </w:pPr>
            <w:r>
              <w:rPr>
                <w:rFonts w:hint="eastAsia" w:ascii="楷体" w:hAnsi="楷体" w:eastAsia="楷体"/>
                <w:sz w:val="32"/>
                <w:szCs w:val="32"/>
              </w:rPr>
              <w:t>说明书</w:t>
            </w:r>
          </w:p>
        </w:tc>
        <w:tc>
          <w:tcPr>
            <w:tcW w:w="4206" w:type="dxa"/>
          </w:tcPr>
          <w:p w14:paraId="09DD372B">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6F52FA0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8822A3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01DA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3B239B9">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1623" w:type="dxa"/>
          </w:tcPr>
          <w:p w14:paraId="300DFBEB">
            <w:pPr>
              <w:spacing w:line="440" w:lineRule="exact"/>
              <w:rPr>
                <w:rFonts w:hint="default" w:ascii="楷体" w:hAnsi="楷体" w:eastAsia="楷体"/>
                <w:sz w:val="32"/>
                <w:szCs w:val="32"/>
                <w:lang w:val="en-US" w:eastAsia="zh-CN"/>
              </w:rPr>
            </w:pPr>
            <w:r>
              <w:rPr>
                <w:rFonts w:hint="eastAsia" w:ascii="楷体" w:hAnsi="楷体" w:eastAsia="楷体"/>
                <w:sz w:val="32"/>
                <w:szCs w:val="32"/>
                <w:lang w:val="en-US" w:eastAsia="zh-CN"/>
              </w:rPr>
              <w:t>保修卡</w:t>
            </w:r>
          </w:p>
        </w:tc>
        <w:tc>
          <w:tcPr>
            <w:tcW w:w="4206" w:type="dxa"/>
          </w:tcPr>
          <w:p w14:paraId="799EFBF2">
            <w:pPr>
              <w:spacing w:line="440" w:lineRule="exact"/>
              <w:rPr>
                <w:rFonts w:ascii="仿宋" w:hAnsi="仿宋" w:eastAsia="仿宋" w:cs="仿宋"/>
                <w:b/>
                <w:color w:val="000000" w:themeColor="text1"/>
                <w:sz w:val="24"/>
                <w14:textFill>
                  <w14:solidFill>
                    <w14:schemeClr w14:val="tx1"/>
                  </w14:solidFill>
                </w14:textFill>
              </w:rPr>
            </w:pPr>
          </w:p>
        </w:tc>
        <w:tc>
          <w:tcPr>
            <w:tcW w:w="1004" w:type="dxa"/>
            <w:vAlign w:val="top"/>
          </w:tcPr>
          <w:p w14:paraId="3E0A9DD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vAlign w:val="top"/>
          </w:tcPr>
          <w:p w14:paraId="7F723F51">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5526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0958022">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p>
        </w:tc>
        <w:tc>
          <w:tcPr>
            <w:tcW w:w="1623" w:type="dxa"/>
          </w:tcPr>
          <w:p w14:paraId="79AE7A13">
            <w:pPr>
              <w:spacing w:line="440" w:lineRule="exact"/>
              <w:rPr>
                <w:rFonts w:hint="eastAsia" w:ascii="楷体" w:hAnsi="楷体" w:eastAsia="楷体"/>
                <w:sz w:val="32"/>
                <w:szCs w:val="32"/>
                <w:lang w:val="en-US" w:eastAsia="zh-CN"/>
              </w:rPr>
            </w:pPr>
            <w:r>
              <w:rPr>
                <w:rFonts w:hint="eastAsia" w:ascii="楷体" w:hAnsi="楷体" w:eastAsia="楷体"/>
                <w:sz w:val="32"/>
                <w:szCs w:val="32"/>
                <w:lang w:val="en-US" w:eastAsia="zh-CN"/>
              </w:rPr>
              <w:t>合格证</w:t>
            </w:r>
          </w:p>
        </w:tc>
        <w:tc>
          <w:tcPr>
            <w:tcW w:w="4206" w:type="dxa"/>
          </w:tcPr>
          <w:p w14:paraId="1CAF6AE9">
            <w:pPr>
              <w:spacing w:line="440" w:lineRule="exact"/>
              <w:rPr>
                <w:rFonts w:ascii="仿宋" w:hAnsi="仿宋" w:eastAsia="仿宋" w:cs="仿宋"/>
                <w:b/>
                <w:color w:val="000000" w:themeColor="text1"/>
                <w:sz w:val="24"/>
                <w14:textFill>
                  <w14:solidFill>
                    <w14:schemeClr w14:val="tx1"/>
                  </w14:solidFill>
                </w14:textFill>
              </w:rPr>
            </w:pPr>
          </w:p>
        </w:tc>
        <w:tc>
          <w:tcPr>
            <w:tcW w:w="1004" w:type="dxa"/>
            <w:shd w:val="clear" w:color="auto" w:fill="auto"/>
            <w:vAlign w:val="top"/>
          </w:tcPr>
          <w:p w14:paraId="66007EC2">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shd w:val="clear" w:color="auto" w:fill="auto"/>
            <w:vAlign w:val="top"/>
          </w:tcPr>
          <w:p w14:paraId="36031222">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3818FD9F">
      <w:pPr>
        <w:numPr>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656415D3">
      <w:pP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p>
    <w:p w14:paraId="038D4490">
      <w:pPr>
        <w:numPr>
          <w:ilvl w:val="0"/>
          <w:numId w:val="4"/>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AA92D1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668575D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30962F8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58DF2AA3">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r>
        <w:rPr>
          <w:rFonts w:hint="eastAsia" w:ascii="仿宋" w:hAnsi="仿宋" w:eastAsia="仿宋" w:cs="仿宋"/>
          <w:color w:val="000000" w:themeColor="text1"/>
          <w:sz w:val="24"/>
          <w:highlight w:val="none"/>
          <w14:textFill>
            <w14:solidFill>
              <w14:schemeClr w14:val="tx1"/>
            </w14:solidFill>
          </w14:textFill>
        </w:rPr>
        <w:t>。</w:t>
      </w:r>
    </w:p>
    <w:p w14:paraId="6DF5E1D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7E02AD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805E97A">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824CE99">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70A3BD4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B2C38DA">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1F0405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b/>
          <w:bCs/>
          <w:color w:val="FF0000"/>
          <w:sz w:val="24"/>
          <w:highlight w:val="yellow"/>
        </w:rPr>
        <w:t>为</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u w:val="single"/>
          <w:lang w:val="en-US" w:eastAsia="zh-CN"/>
        </w:rPr>
        <w:t>2</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rPr>
        <w:t>年</w:t>
      </w:r>
      <w:r>
        <w:rPr>
          <w:rFonts w:hint="eastAsia" w:ascii="仿宋" w:hAnsi="仿宋" w:eastAsia="仿宋" w:cs="仿宋"/>
          <w:color w:val="FF0000"/>
          <w:sz w:val="24"/>
          <w:highlight w:val="yellow"/>
        </w:rPr>
        <w:t>。</w:t>
      </w:r>
    </w:p>
    <w:p w14:paraId="18E5181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688F9B9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w:t>
      </w:r>
      <w:bookmarkStart w:id="0" w:name="_GoBack"/>
      <w:r>
        <w:rPr>
          <w:rFonts w:hint="eastAsia" w:ascii="仿宋" w:hAnsi="仿宋" w:eastAsia="仿宋" w:cs="仿宋"/>
          <w:color w:val="000000" w:themeColor="text1"/>
          <w:sz w:val="24"/>
          <w14:textFill>
            <w14:solidFill>
              <w14:schemeClr w14:val="tx1"/>
            </w14:solidFill>
          </w14:textFill>
        </w:rPr>
        <w:t>不低于故障产品规格型号档次的备用产品供采购人使用，直至故障产品修复。</w:t>
      </w:r>
    </w:p>
    <w:bookmarkEnd w:id="0"/>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16306150">
      <w:pPr>
        <w:spacing w:line="440" w:lineRule="exact"/>
        <w:rPr>
          <w:rFonts w:hint="default"/>
          <w:lang w:val="en-US"/>
        </w:rPr>
      </w:pPr>
      <w:r>
        <w:rPr>
          <w:rFonts w:hint="eastAsia" w:ascii="仿宋" w:hAnsi="仿宋" w:eastAsia="仿宋" w:cs="仿宋"/>
          <w:color w:val="auto"/>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rPr>
        <w:t>支付合同总金额的</w:t>
      </w:r>
      <w:r>
        <w:rPr>
          <w:rFonts w:hint="eastAsia" w:ascii="仿宋" w:hAnsi="仿宋" w:eastAsia="仿宋" w:cs="仿宋"/>
          <w:color w:val="auto"/>
          <w:sz w:val="24"/>
          <w:lang w:val="en-US" w:eastAsia="zh-CN"/>
        </w:rPr>
        <w:t>9</w:t>
      </w:r>
      <w:r>
        <w:rPr>
          <w:rFonts w:hint="eastAsia" w:ascii="仿宋" w:hAnsi="仿宋" w:eastAsia="仿宋" w:cs="仿宋"/>
          <w:color w:val="auto"/>
          <w:sz w:val="24"/>
        </w:rPr>
        <w:t>5%；合同总金额的5%</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作为第二期款项，</w:t>
      </w:r>
      <w:r>
        <w:rPr>
          <w:rFonts w:hint="eastAsia" w:ascii="仿宋" w:hAnsi="仿宋" w:eastAsia="仿宋" w:cs="仿宋"/>
          <w:color w:val="auto"/>
          <w:sz w:val="24"/>
        </w:rPr>
        <w:t>在</w:t>
      </w:r>
      <w:r>
        <w:rPr>
          <w:rFonts w:hint="eastAsia" w:ascii="仿宋" w:hAnsi="仿宋" w:eastAsia="仿宋" w:cs="仿宋"/>
          <w:color w:val="auto"/>
          <w:sz w:val="24"/>
          <w:highlight w:val="yellow"/>
          <w:u w:val="single"/>
          <w:lang w:val="en-US" w:eastAsia="zh-CN"/>
        </w:rPr>
        <w:t xml:space="preserve"> 质保期满</w:t>
      </w:r>
      <w:r>
        <w:rPr>
          <w:rFonts w:hint="eastAsia" w:ascii="仿宋" w:hAnsi="仿宋" w:eastAsia="仿宋" w:cs="仿宋"/>
          <w:color w:val="auto"/>
          <w:sz w:val="24"/>
        </w:rPr>
        <w:t>后一次性无息</w:t>
      </w:r>
      <w:r>
        <w:rPr>
          <w:rFonts w:hint="eastAsia" w:ascii="仿宋" w:hAnsi="仿宋" w:eastAsia="仿宋" w:cs="仿宋"/>
          <w:color w:val="auto"/>
          <w:sz w:val="24"/>
          <w:lang w:val="en-US" w:eastAsia="zh-CN"/>
        </w:rPr>
        <w:t>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1F601E45"/>
    <w:rsid w:val="20372DFC"/>
    <w:rsid w:val="206831B1"/>
    <w:rsid w:val="22D309D5"/>
    <w:rsid w:val="23683A18"/>
    <w:rsid w:val="23E7584F"/>
    <w:rsid w:val="258D2337"/>
    <w:rsid w:val="268A1BB3"/>
    <w:rsid w:val="28BF1285"/>
    <w:rsid w:val="28E70654"/>
    <w:rsid w:val="2A885D27"/>
    <w:rsid w:val="2AA33888"/>
    <w:rsid w:val="2CAA0DDE"/>
    <w:rsid w:val="2D4469D6"/>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9E77F4"/>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3B81E05"/>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3310</Words>
  <Characters>3449</Characters>
  <Lines>5</Lines>
  <Paragraphs>1</Paragraphs>
  <TotalTime>3</TotalTime>
  <ScaleCrop>false</ScaleCrop>
  <LinksUpToDate>false</LinksUpToDate>
  <CharactersWithSpaces>3509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2025-10-28T08:53:12Z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9BB7BD580E0B411ABDDB39BF72218C93_13</vt:lpwstr>
  </property>
  <property fmtid="{D5CDD505-2E9C-101B-9397-08002B2CF9AE}" pid="4" name="KSOTemplateDocerSaveRecord">
    <vt:lpwstr>eyJoZGlkIjoiZDc1MmY4YzI5NTIxMTQwOWZhYWU0N2QxZThiZjg5ZTEiLCJ1c2VySWQiOiIzNjk5OTM4OTgifQ==</vt:lpwstr>
  </property>
</Properties>
</file>