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4C6D54C8">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4566C9BC">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2B35941D">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08F2A08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3BC7DC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1946CC9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3.★投标供应商应该符合《医疗器械经营质量管理规范》和《医疗器械监督管理条例》规定，并结合本项目特性提供有效的医疗器械产品注册/备案证明材料和投标供应商的经营许可/备案证明材料。</w:t>
      </w:r>
    </w:p>
    <w:p w14:paraId="01D64A8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098F9770">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8"/>
        <w:gridCol w:w="1833"/>
        <w:gridCol w:w="2131"/>
      </w:tblGrid>
      <w:tr w14:paraId="3F97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49253A2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7E9C711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7BDD838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093E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vMerge w:val="restart"/>
          </w:tcPr>
          <w:p w14:paraId="50D8CCC7">
            <w:pPr>
              <w:jc w:val="center"/>
              <w:rPr>
                <w:rFonts w:hint="eastAsia" w:ascii="楷体" w:hAnsi="楷体" w:eastAsia="楷体"/>
                <w:sz w:val="24"/>
                <w:szCs w:val="24"/>
              </w:rPr>
            </w:pPr>
          </w:p>
          <w:p w14:paraId="3BA0F723">
            <w:pPr>
              <w:jc w:val="center"/>
              <w:rPr>
                <w:rFonts w:hint="eastAsia" w:ascii="仿宋" w:hAnsi="仿宋" w:eastAsia="仿宋" w:cs="仿宋"/>
                <w:color w:val="000000" w:themeColor="text1"/>
                <w:sz w:val="24"/>
                <w:lang w:val="en-US" w:eastAsia="zh-CN"/>
                <w14:textFill>
                  <w14:solidFill>
                    <w14:schemeClr w14:val="tx1"/>
                  </w14:solidFill>
                </w14:textFill>
              </w:rPr>
            </w:pPr>
            <w:bookmarkStart w:id="0" w:name="_GoBack"/>
            <w:bookmarkEnd w:id="0"/>
            <w:r>
              <w:rPr>
                <w:rFonts w:hint="eastAsia" w:ascii="仿宋" w:hAnsi="仿宋" w:eastAsia="仿宋" w:cs="仿宋"/>
                <w:color w:val="000000" w:themeColor="text1"/>
                <w:sz w:val="24"/>
                <w:lang w:val="en-US" w:eastAsia="zh-CN"/>
                <w14:textFill>
                  <w14:solidFill>
                    <w14:schemeClr w14:val="tx1"/>
                  </w14:solidFill>
                </w14:textFill>
              </w:rPr>
              <w:t>智能便携式短波</w:t>
            </w:r>
          </w:p>
          <w:p w14:paraId="2189476A">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治疗仪</w:t>
            </w:r>
          </w:p>
        </w:tc>
        <w:tc>
          <w:tcPr>
            <w:tcW w:w="1833" w:type="dxa"/>
          </w:tcPr>
          <w:p w14:paraId="407B055B">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康复科门诊</w:t>
            </w:r>
          </w:p>
        </w:tc>
        <w:tc>
          <w:tcPr>
            <w:tcW w:w="2131" w:type="dxa"/>
          </w:tcPr>
          <w:p w14:paraId="43CD1D4B">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p>
        </w:tc>
      </w:tr>
      <w:tr w14:paraId="69E7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98" w:type="dxa"/>
            <w:vMerge w:val="continue"/>
          </w:tcPr>
          <w:p w14:paraId="144F1C04">
            <w:pPr>
              <w:spacing w:line="440" w:lineRule="exact"/>
              <w:rPr>
                <w:rFonts w:ascii="仿宋" w:hAnsi="仿宋" w:eastAsia="仿宋" w:cs="仿宋"/>
                <w:color w:val="000000" w:themeColor="text1"/>
                <w:sz w:val="24"/>
                <w14:textFill>
                  <w14:solidFill>
                    <w14:schemeClr w14:val="tx1"/>
                  </w14:solidFill>
                </w14:textFill>
              </w:rPr>
            </w:pPr>
          </w:p>
        </w:tc>
        <w:tc>
          <w:tcPr>
            <w:tcW w:w="1833" w:type="dxa"/>
          </w:tcPr>
          <w:p w14:paraId="1E20A496">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眩晕中心</w:t>
            </w:r>
          </w:p>
        </w:tc>
        <w:tc>
          <w:tcPr>
            <w:tcW w:w="2131" w:type="dxa"/>
          </w:tcPr>
          <w:p w14:paraId="11802FAE">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r>
    </w:tbl>
    <w:p w14:paraId="05F57CC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r>
        <w:rPr>
          <w:rFonts w:hint="eastAsia" w:ascii="仿宋" w:hAnsi="仿宋" w:eastAsia="仿宋" w:cs="仿宋"/>
          <w:color w:val="000000" w:themeColor="text1"/>
          <w:sz w:val="24"/>
          <w:lang w:val="en-US" w:eastAsia="zh-CN"/>
          <w14:textFill>
            <w14:solidFill>
              <w14:schemeClr w14:val="tx1"/>
            </w14:solidFill>
          </w14:textFill>
        </w:rPr>
        <w:t>智能便携短波治疗仪</w:t>
      </w:r>
    </w:p>
    <w:p w14:paraId="6874AA6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r>
        <w:rPr>
          <w:rFonts w:hint="eastAsia"/>
          <w:lang w:val="en-US" w:eastAsia="zh-CN"/>
        </w:rPr>
        <w:t>改善深部组织血液循环，利于炎症吸收及消散，促进淋巴回流，增强巨噬细胞吞噬功能，促进病理代谢产物的吸收,消炎止痛消肿的作用。</w:t>
      </w:r>
    </w:p>
    <w:p w14:paraId="0057079D">
      <w:pPr>
        <w:spacing w:line="440" w:lineRule="exact"/>
        <w:rPr>
          <w:rFonts w:ascii="仿宋" w:hAnsi="仿宋" w:eastAsia="仿宋" w:cs="仿宋"/>
          <w:b/>
          <w:color w:val="000000" w:themeColor="text1"/>
          <w:sz w:val="24"/>
          <w14:textFill>
            <w14:solidFill>
              <w14:schemeClr w14:val="tx1"/>
            </w14:solidFill>
          </w14:textFill>
        </w:rPr>
      </w:pPr>
    </w:p>
    <w:p w14:paraId="11D4FD6A">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6C826158">
      <w:pPr>
        <w:numPr>
          <w:ilvl w:val="0"/>
          <w:numId w:val="5"/>
        </w:numPr>
        <w:spacing w:line="440" w:lineRule="exact"/>
        <w:ind w:left="0" w:leftChars="0" w:firstLine="0" w:firstLineChars="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设备如有接入我院系统的需求</w:t>
      </w:r>
      <w:r>
        <w:rPr>
          <w:rFonts w:hint="eastAsia" w:ascii="仿宋" w:hAnsi="仿宋" w:eastAsia="仿宋" w:cs="仿宋"/>
          <w:color w:val="000000" w:themeColor="text1"/>
          <w:sz w:val="24"/>
          <w:lang w:eastAsia="zh-CN"/>
          <w14:textFill>
            <w14:solidFill>
              <w14:schemeClr w14:val="tx1"/>
            </w14:solidFill>
          </w14:textFill>
        </w:rPr>
        <w:t>：</w:t>
      </w:r>
    </w:p>
    <w:p w14:paraId="3956916B">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★设备需支持与医院信息系统的数据互通，对接费用包含在本项目预算中</w:t>
      </w:r>
    </w:p>
    <w:p w14:paraId="50AFC8EB">
      <w:pPr>
        <w:numPr>
          <w:ilvl w:val="0"/>
          <w:numId w:val="5"/>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设备使用年限不低于5年</w:t>
      </w:r>
    </w:p>
    <w:p w14:paraId="721BB023">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采用先进微电脑控制和晶体管技术，彩色触摸屏配合快捷键设计，简单易用。</w:t>
      </w:r>
    </w:p>
    <w:p w14:paraId="5BA59331">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▲内置不同部位的临床治疗处方，具有连续，脉冲两种模式，输出精准。脉冲模式可调制频率和脉宽，可储存用户的自定义方案。</w:t>
      </w:r>
    </w:p>
    <w:p w14:paraId="3E0ED091">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自动调谐：与人体匹配度高，热感快，温热效果好，自动调谐，达到最优输出。自动补正室温：根据季节室温变化，自动识别外界温度，调节输出功率，保持温热感恒定。</w:t>
      </w:r>
    </w:p>
    <w:p w14:paraId="0AF8A4A6">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采用高级屏蔽技术，整机采用全金属屏蔽材料，无辐射干扰及危害。</w:t>
      </w:r>
    </w:p>
    <w:p w14:paraId="120922D7">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▲振动频率：27.12MHz ± 0.6%，输出功率</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：0-50W可调，5W/档。具有连续，脉冲</w:t>
      </w:r>
      <w:r>
        <w:rPr>
          <w:rFonts w:hint="eastAsia" w:ascii="仿宋" w:hAnsi="仿宋" w:eastAsia="仿宋" w:cs="仿宋"/>
          <w:color w:val="000000" w:themeColor="text1"/>
          <w:sz w:val="24"/>
          <w:lang w:val="en-US" w:eastAsia="zh-CN"/>
          <w14:textFill>
            <w14:solidFill>
              <w14:schemeClr w14:val="tx1"/>
            </w14:solidFill>
          </w14:textFill>
        </w:rPr>
        <w:t>等不少于</w:t>
      </w:r>
      <w:r>
        <w:rPr>
          <w:rFonts w:hint="eastAsia" w:ascii="仿宋" w:hAnsi="仿宋" w:eastAsia="仿宋" w:cs="仿宋"/>
          <w:color w:val="000000" w:themeColor="text1"/>
          <w:sz w:val="24"/>
          <w14:textFill>
            <w14:solidFill>
              <w14:schemeClr w14:val="tx1"/>
            </w14:solidFill>
          </w14:textFill>
        </w:rPr>
        <w:t>两种模式，输出精准。脉冲模式可调制频率和脉宽，调制频率</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：10-800hz可调，步长10hz，调剂脉宽</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：20-400us可调，步长20us（需提供技术文件）</w:t>
      </w:r>
    </w:p>
    <w:p w14:paraId="4471E2AF">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时间设定</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：1-30min，步长1min</w:t>
      </w:r>
    </w:p>
    <w:p w14:paraId="4A0B4A27">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输出波形：正弦波</w:t>
      </w:r>
    </w:p>
    <w:p w14:paraId="042C82C3">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不少于</w:t>
      </w:r>
      <w:r>
        <w:rPr>
          <w:rFonts w:hint="eastAsia" w:ascii="仿宋" w:hAnsi="仿宋" w:eastAsia="仿宋" w:cs="仿宋"/>
          <w:color w:val="000000" w:themeColor="text1"/>
          <w:sz w:val="24"/>
          <w14:textFill>
            <w14:solidFill>
              <w14:schemeClr w14:val="tx1"/>
            </w14:solidFill>
          </w14:textFill>
        </w:rPr>
        <w:t>四种治疗剂量：无热，微热，温热，热量</w:t>
      </w:r>
    </w:p>
    <w:p w14:paraId="2C5A9C2B">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▲彩色电阻屏显示解剖学和病理，可显示</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36个专家处方电极放置方式，记录</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99个自定义处方等。常用肺炎、急性扭损伤参考数据处方</w:t>
      </w:r>
    </w:p>
    <w:p w14:paraId="282EDE35">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▲采用便携式设计，体积与同类产品相比要轻巧得多，可在任何场合轻松使用。主机规格：285 x 197 x 280mm便携式设计，主机重量：约7kg。可选配推车</w:t>
      </w:r>
    </w:p>
    <w:p w14:paraId="428032ED">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输出电极：标准型号输出电极对</w:t>
      </w:r>
    </w:p>
    <w:p w14:paraId="477CF9B3">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    压：100-240V，最大输出电流：6.5A</w:t>
      </w:r>
    </w:p>
    <w:p w14:paraId="441381D6">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系统可升级更新至最新专家处方</w:t>
      </w:r>
    </w:p>
    <w:p w14:paraId="7A9EA31B">
      <w:pPr>
        <w:spacing w:line="440" w:lineRule="exact"/>
        <w:rPr>
          <w:rFonts w:ascii="仿宋" w:hAnsi="仿宋" w:eastAsia="仿宋" w:cs="仿宋"/>
          <w:b/>
          <w:color w:val="000000" w:themeColor="text1"/>
          <w:sz w:val="24"/>
          <w14:textFill>
            <w14:solidFill>
              <w14:schemeClr w14:val="tx1"/>
            </w14:solidFill>
          </w14:textFill>
        </w:rPr>
      </w:pPr>
    </w:p>
    <w:p w14:paraId="43CFC8DB">
      <w:pPr>
        <w:spacing w:line="440" w:lineRule="exact"/>
        <w:rPr>
          <w:rFonts w:ascii="仿宋" w:hAnsi="仿宋" w:eastAsia="仿宋" w:cs="仿宋"/>
          <w:b/>
          <w:color w:val="000000" w:themeColor="text1"/>
          <w:sz w:val="24"/>
          <w14:textFill>
            <w14:solidFill>
              <w14:schemeClr w14:val="tx1"/>
            </w14:solidFill>
          </w14:textFill>
        </w:rPr>
      </w:pPr>
    </w:p>
    <w:p w14:paraId="2F4F0100">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623"/>
        <w:gridCol w:w="4206"/>
        <w:gridCol w:w="1004"/>
        <w:gridCol w:w="953"/>
      </w:tblGrid>
      <w:tr w14:paraId="1194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473BA0F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623" w:type="dxa"/>
          </w:tcPr>
          <w:p w14:paraId="48AA13A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4206" w:type="dxa"/>
          </w:tcPr>
          <w:p w14:paraId="7233CF5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1004" w:type="dxa"/>
          </w:tcPr>
          <w:p w14:paraId="13EA8A8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53" w:type="dxa"/>
          </w:tcPr>
          <w:p w14:paraId="712D94C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7FE9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2BE812A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623" w:type="dxa"/>
          </w:tcPr>
          <w:p w14:paraId="6AE6CB9E">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主机</w:t>
            </w:r>
          </w:p>
        </w:tc>
        <w:tc>
          <w:tcPr>
            <w:tcW w:w="4206" w:type="dxa"/>
          </w:tcPr>
          <w:p w14:paraId="33003838">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049E8947">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59A4B74D">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5089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7F5FD59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623" w:type="dxa"/>
          </w:tcPr>
          <w:p w14:paraId="37771B5B">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输出线</w:t>
            </w:r>
          </w:p>
        </w:tc>
        <w:tc>
          <w:tcPr>
            <w:tcW w:w="4206" w:type="dxa"/>
          </w:tcPr>
          <w:p w14:paraId="4ECC2FBB">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3D965A43">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2</w:t>
            </w:r>
          </w:p>
        </w:tc>
        <w:tc>
          <w:tcPr>
            <w:tcW w:w="953" w:type="dxa"/>
          </w:tcPr>
          <w:p w14:paraId="0996D046">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条</w:t>
            </w:r>
          </w:p>
        </w:tc>
      </w:tr>
      <w:tr w14:paraId="7373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6433FF1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623" w:type="dxa"/>
          </w:tcPr>
          <w:p w14:paraId="37420943">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标准电极</w:t>
            </w:r>
          </w:p>
        </w:tc>
        <w:tc>
          <w:tcPr>
            <w:tcW w:w="4206" w:type="dxa"/>
          </w:tcPr>
          <w:p w14:paraId="2D8F5C97">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22AADA8C">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748AF3E5">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对</w:t>
            </w:r>
          </w:p>
        </w:tc>
      </w:tr>
      <w:tr w14:paraId="7FD7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56795D26">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1623" w:type="dxa"/>
          </w:tcPr>
          <w:p w14:paraId="7D3CE54E">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固定绑带</w:t>
            </w:r>
          </w:p>
        </w:tc>
        <w:tc>
          <w:tcPr>
            <w:tcW w:w="4206" w:type="dxa"/>
          </w:tcPr>
          <w:p w14:paraId="0237FF1B">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759C38CC">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6</w:t>
            </w:r>
          </w:p>
        </w:tc>
        <w:tc>
          <w:tcPr>
            <w:tcW w:w="953" w:type="dxa"/>
          </w:tcPr>
          <w:p w14:paraId="47DB1AB3">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条</w:t>
            </w:r>
          </w:p>
        </w:tc>
      </w:tr>
      <w:tr w14:paraId="279B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7C6DC53B">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1623" w:type="dxa"/>
          </w:tcPr>
          <w:p w14:paraId="117FCD0A">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大号电极</w:t>
            </w:r>
          </w:p>
        </w:tc>
        <w:tc>
          <w:tcPr>
            <w:tcW w:w="4206" w:type="dxa"/>
          </w:tcPr>
          <w:p w14:paraId="54EDFD2E">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4DC8BAEE">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2432D5A8">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对</w:t>
            </w:r>
          </w:p>
        </w:tc>
      </w:tr>
      <w:tr w14:paraId="7165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562CF3E6">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c>
          <w:tcPr>
            <w:tcW w:w="1623" w:type="dxa"/>
          </w:tcPr>
          <w:p w14:paraId="4CBCD970">
            <w:pPr>
              <w:spacing w:line="440" w:lineRule="exact"/>
              <w:rPr>
                <w:rFonts w:ascii="仿宋" w:hAnsi="仿宋" w:eastAsia="仿宋" w:cs="仿宋"/>
                <w:b/>
                <w:color w:val="000000" w:themeColor="text1"/>
                <w:sz w:val="24"/>
                <w14:textFill>
                  <w14:solidFill>
                    <w14:schemeClr w14:val="tx1"/>
                  </w14:solidFill>
                </w14:textFill>
              </w:rPr>
            </w:pPr>
            <w:r>
              <w:rPr>
                <w:rFonts w:hint="eastAsia" w:ascii="楷体" w:hAnsi="楷体" w:eastAsia="楷体"/>
                <w:sz w:val="32"/>
                <w:szCs w:val="32"/>
              </w:rPr>
              <w:t>轮式台车</w:t>
            </w:r>
          </w:p>
        </w:tc>
        <w:tc>
          <w:tcPr>
            <w:tcW w:w="4206" w:type="dxa"/>
          </w:tcPr>
          <w:p w14:paraId="293983AF">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43767BCF">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4737D3C5">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04F6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657DE669">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1623" w:type="dxa"/>
          </w:tcPr>
          <w:p w14:paraId="415FF096">
            <w:pPr>
              <w:spacing w:line="440" w:lineRule="exact"/>
              <w:rPr>
                <w:rFonts w:hint="eastAsia" w:ascii="楷体" w:hAnsi="楷体" w:eastAsia="楷体"/>
                <w:sz w:val="32"/>
                <w:szCs w:val="32"/>
              </w:rPr>
            </w:pPr>
            <w:r>
              <w:rPr>
                <w:rFonts w:hint="eastAsia" w:ascii="楷体" w:hAnsi="楷体" w:eastAsia="楷体"/>
                <w:sz w:val="32"/>
                <w:szCs w:val="32"/>
              </w:rPr>
              <w:t>电源线</w:t>
            </w:r>
          </w:p>
        </w:tc>
        <w:tc>
          <w:tcPr>
            <w:tcW w:w="4206" w:type="dxa"/>
          </w:tcPr>
          <w:p w14:paraId="05E576B7">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6EB19D1A">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65770B90">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条</w:t>
            </w:r>
          </w:p>
        </w:tc>
      </w:tr>
      <w:tr w14:paraId="4CAA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5C9BA837">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w:t>
            </w:r>
          </w:p>
        </w:tc>
        <w:tc>
          <w:tcPr>
            <w:tcW w:w="1623" w:type="dxa"/>
          </w:tcPr>
          <w:p w14:paraId="58540E93">
            <w:pPr>
              <w:spacing w:line="440" w:lineRule="exact"/>
              <w:rPr>
                <w:rFonts w:hint="eastAsia" w:ascii="楷体" w:hAnsi="楷体" w:eastAsia="楷体"/>
                <w:sz w:val="32"/>
                <w:szCs w:val="32"/>
              </w:rPr>
            </w:pPr>
            <w:r>
              <w:rPr>
                <w:rFonts w:hint="eastAsia" w:ascii="楷体" w:hAnsi="楷体" w:eastAsia="楷体"/>
                <w:sz w:val="32"/>
                <w:szCs w:val="32"/>
              </w:rPr>
              <w:t>说明书</w:t>
            </w:r>
          </w:p>
        </w:tc>
        <w:tc>
          <w:tcPr>
            <w:tcW w:w="4206" w:type="dxa"/>
          </w:tcPr>
          <w:p w14:paraId="09DD372B">
            <w:pPr>
              <w:spacing w:line="440" w:lineRule="exact"/>
              <w:rPr>
                <w:rFonts w:ascii="仿宋" w:hAnsi="仿宋" w:eastAsia="仿宋" w:cs="仿宋"/>
                <w:b/>
                <w:color w:val="000000" w:themeColor="text1"/>
                <w:sz w:val="24"/>
                <w14:textFill>
                  <w14:solidFill>
                    <w14:schemeClr w14:val="tx1"/>
                  </w14:solidFill>
                </w14:textFill>
              </w:rPr>
            </w:pPr>
          </w:p>
        </w:tc>
        <w:tc>
          <w:tcPr>
            <w:tcW w:w="1004" w:type="dxa"/>
          </w:tcPr>
          <w:p w14:paraId="6F52FA0B">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tcPr>
          <w:p w14:paraId="28822A3D">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本</w:t>
            </w:r>
          </w:p>
        </w:tc>
      </w:tr>
      <w:tr w14:paraId="01DA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73B239B9">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9</w:t>
            </w:r>
          </w:p>
        </w:tc>
        <w:tc>
          <w:tcPr>
            <w:tcW w:w="1623" w:type="dxa"/>
          </w:tcPr>
          <w:p w14:paraId="300DFBEB">
            <w:pPr>
              <w:spacing w:line="440" w:lineRule="exact"/>
              <w:rPr>
                <w:rFonts w:hint="default" w:ascii="楷体" w:hAnsi="楷体" w:eastAsia="楷体"/>
                <w:sz w:val="32"/>
                <w:szCs w:val="32"/>
                <w:lang w:val="en-US" w:eastAsia="zh-CN"/>
              </w:rPr>
            </w:pPr>
            <w:r>
              <w:rPr>
                <w:rFonts w:hint="eastAsia" w:ascii="楷体" w:hAnsi="楷体" w:eastAsia="楷体"/>
                <w:sz w:val="32"/>
                <w:szCs w:val="32"/>
                <w:lang w:val="en-US" w:eastAsia="zh-CN"/>
              </w:rPr>
              <w:t>保修卡</w:t>
            </w:r>
          </w:p>
        </w:tc>
        <w:tc>
          <w:tcPr>
            <w:tcW w:w="4206" w:type="dxa"/>
          </w:tcPr>
          <w:p w14:paraId="799EFBF2">
            <w:pPr>
              <w:spacing w:line="440" w:lineRule="exact"/>
              <w:rPr>
                <w:rFonts w:ascii="仿宋" w:hAnsi="仿宋" w:eastAsia="仿宋" w:cs="仿宋"/>
                <w:b/>
                <w:color w:val="000000" w:themeColor="text1"/>
                <w:sz w:val="24"/>
                <w14:textFill>
                  <w14:solidFill>
                    <w14:schemeClr w14:val="tx1"/>
                  </w14:solidFill>
                </w14:textFill>
              </w:rPr>
            </w:pPr>
          </w:p>
        </w:tc>
        <w:tc>
          <w:tcPr>
            <w:tcW w:w="1004" w:type="dxa"/>
            <w:vAlign w:val="top"/>
          </w:tcPr>
          <w:p w14:paraId="3E0A9DD7">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vAlign w:val="top"/>
          </w:tcPr>
          <w:p w14:paraId="7F723F51">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r w14:paraId="5526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70958022">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10</w:t>
            </w:r>
          </w:p>
        </w:tc>
        <w:tc>
          <w:tcPr>
            <w:tcW w:w="1623" w:type="dxa"/>
          </w:tcPr>
          <w:p w14:paraId="79AE7A13">
            <w:pPr>
              <w:spacing w:line="440" w:lineRule="exact"/>
              <w:rPr>
                <w:rFonts w:hint="eastAsia" w:ascii="楷体" w:hAnsi="楷体" w:eastAsia="楷体"/>
                <w:sz w:val="32"/>
                <w:szCs w:val="32"/>
                <w:lang w:val="en-US" w:eastAsia="zh-CN"/>
              </w:rPr>
            </w:pPr>
            <w:r>
              <w:rPr>
                <w:rFonts w:hint="eastAsia" w:ascii="楷体" w:hAnsi="楷体" w:eastAsia="楷体"/>
                <w:sz w:val="32"/>
                <w:szCs w:val="32"/>
                <w:lang w:val="en-US" w:eastAsia="zh-CN"/>
              </w:rPr>
              <w:t>合格证</w:t>
            </w:r>
          </w:p>
        </w:tc>
        <w:tc>
          <w:tcPr>
            <w:tcW w:w="4206" w:type="dxa"/>
          </w:tcPr>
          <w:p w14:paraId="1CAF6AE9">
            <w:pPr>
              <w:spacing w:line="440" w:lineRule="exact"/>
              <w:rPr>
                <w:rFonts w:ascii="仿宋" w:hAnsi="仿宋" w:eastAsia="仿宋" w:cs="仿宋"/>
                <w:b/>
                <w:color w:val="000000" w:themeColor="text1"/>
                <w:sz w:val="24"/>
                <w14:textFill>
                  <w14:solidFill>
                    <w14:schemeClr w14:val="tx1"/>
                  </w14:solidFill>
                </w14:textFill>
              </w:rPr>
            </w:pPr>
          </w:p>
        </w:tc>
        <w:tc>
          <w:tcPr>
            <w:tcW w:w="1004" w:type="dxa"/>
            <w:shd w:val="clear" w:color="auto" w:fill="auto"/>
            <w:vAlign w:val="top"/>
          </w:tcPr>
          <w:p w14:paraId="66007EC2">
            <w:pPr>
              <w:spacing w:line="440" w:lineRule="exact"/>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53" w:type="dxa"/>
            <w:shd w:val="clear" w:color="auto" w:fill="auto"/>
            <w:vAlign w:val="top"/>
          </w:tcPr>
          <w:p w14:paraId="36031222">
            <w:pPr>
              <w:spacing w:line="440" w:lineRule="exact"/>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bl>
    <w:p w14:paraId="038D4490">
      <w:pPr>
        <w:numPr>
          <w:ilvl w:val="0"/>
          <w:numId w:val="4"/>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7AA92D18">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668575D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30962F8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14:paraId="58DF2AA3">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none"/>
          <w14:textFill>
            <w14:solidFill>
              <w14:schemeClr w14:val="tx1"/>
            </w14:solidFill>
          </w14:textFill>
        </w:rPr>
        <w:t>；且原装进口产品生产日期与交货日期差值</w:t>
      </w:r>
      <w:r>
        <w:rPr>
          <w:rFonts w:hint="eastAsia" w:ascii="仿宋" w:hAnsi="仿宋" w:eastAsia="仿宋" w:cs="仿宋"/>
          <w:b/>
          <w:bCs/>
          <w:color w:val="FF0000"/>
          <w:sz w:val="24"/>
          <w:highlight w:val="none"/>
        </w:rPr>
        <w:t>≤6个月</w:t>
      </w:r>
      <w:r>
        <w:rPr>
          <w:rFonts w:hint="eastAsia" w:ascii="仿宋" w:hAnsi="仿宋" w:eastAsia="仿宋" w:cs="仿宋"/>
          <w:color w:val="000000" w:themeColor="text1"/>
          <w:sz w:val="24"/>
          <w:highlight w:val="none"/>
          <w14:textFill>
            <w14:solidFill>
              <w14:schemeClr w14:val="tx1"/>
            </w14:solidFill>
          </w14:textFill>
        </w:rPr>
        <w:t>；国产产品生产日期与交货日期差值</w:t>
      </w:r>
      <w:r>
        <w:rPr>
          <w:rFonts w:hint="eastAsia" w:ascii="仿宋" w:hAnsi="仿宋" w:eastAsia="仿宋" w:cs="仿宋"/>
          <w:b/>
          <w:bCs/>
          <w:color w:val="FF0000"/>
          <w:sz w:val="24"/>
          <w:highlight w:val="none"/>
        </w:rPr>
        <w:t>≤3个月</w:t>
      </w:r>
      <w:r>
        <w:rPr>
          <w:rFonts w:hint="eastAsia" w:ascii="仿宋" w:hAnsi="仿宋" w:eastAsia="仿宋" w:cs="仿宋"/>
          <w:color w:val="000000" w:themeColor="text1"/>
          <w:sz w:val="24"/>
          <w:highlight w:val="none"/>
          <w14:textFill>
            <w14:solidFill>
              <w14:schemeClr w14:val="tx1"/>
            </w14:solidFill>
          </w14:textFill>
        </w:rPr>
        <w:t>。</w:t>
      </w:r>
    </w:p>
    <w:p w14:paraId="6DF5E1D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67E02AD2">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7805E97A">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4824CE99">
      <w:pPr>
        <w:spacing w:line="44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1.7</w:t>
      </w:r>
      <w:r>
        <w:rPr>
          <w:rFonts w:hint="eastAsia" w:ascii="仿宋" w:hAnsi="仿宋" w:eastAsia="仿宋" w:cs="仿宋"/>
          <w:sz w:val="24"/>
        </w:rPr>
        <w:t>乙方所投设备属于计量仪器的，需通过具有国家部门颁发专业检测资质证书的第三方计量检测单位检测并提供合格报告。</w:t>
      </w:r>
    </w:p>
    <w:p w14:paraId="70A3BD4E">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1B2C38DA">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1F0405D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w:t>
      </w:r>
      <w:r>
        <w:rPr>
          <w:rFonts w:hint="eastAsia" w:ascii="仿宋" w:hAnsi="仿宋" w:eastAsia="仿宋" w:cs="仿宋"/>
          <w:b/>
          <w:bCs/>
          <w:color w:val="FF0000"/>
          <w:sz w:val="24"/>
          <w:highlight w:val="yellow"/>
        </w:rPr>
        <w:t>为</w:t>
      </w:r>
      <w:r>
        <w:rPr>
          <w:rFonts w:hint="eastAsia" w:ascii="仿宋" w:hAnsi="仿宋" w:eastAsia="仿宋" w:cs="仿宋"/>
          <w:b/>
          <w:bCs/>
          <w:color w:val="FF0000"/>
          <w:sz w:val="24"/>
          <w:highlight w:val="yellow"/>
          <w:u w:val="single"/>
        </w:rPr>
        <w:t xml:space="preserve">  </w:t>
      </w:r>
      <w:r>
        <w:rPr>
          <w:rFonts w:hint="eastAsia" w:ascii="仿宋" w:hAnsi="仿宋" w:eastAsia="仿宋" w:cs="仿宋"/>
          <w:b/>
          <w:bCs/>
          <w:color w:val="FF0000"/>
          <w:sz w:val="24"/>
          <w:highlight w:val="yellow"/>
          <w:u w:val="single"/>
          <w:lang w:val="en-US" w:eastAsia="zh-CN"/>
        </w:rPr>
        <w:t>2</w:t>
      </w:r>
      <w:r>
        <w:rPr>
          <w:rFonts w:hint="eastAsia" w:ascii="仿宋" w:hAnsi="仿宋" w:eastAsia="仿宋" w:cs="仿宋"/>
          <w:b/>
          <w:bCs/>
          <w:color w:val="FF0000"/>
          <w:sz w:val="24"/>
          <w:highlight w:val="yellow"/>
          <w:u w:val="single"/>
        </w:rPr>
        <w:t xml:space="preserve">  </w:t>
      </w:r>
      <w:r>
        <w:rPr>
          <w:rFonts w:hint="eastAsia" w:ascii="仿宋" w:hAnsi="仿宋" w:eastAsia="仿宋" w:cs="仿宋"/>
          <w:b/>
          <w:bCs/>
          <w:color w:val="FF0000"/>
          <w:sz w:val="24"/>
          <w:highlight w:val="yellow"/>
        </w:rPr>
        <w:t>年</w:t>
      </w:r>
      <w:r>
        <w:rPr>
          <w:rFonts w:hint="eastAsia" w:ascii="仿宋" w:hAnsi="仿宋" w:eastAsia="仿宋" w:cs="仿宋"/>
          <w:color w:val="FF0000"/>
          <w:sz w:val="24"/>
          <w:highlight w:val="yellow"/>
        </w:rPr>
        <w:t>。</w:t>
      </w:r>
    </w:p>
    <w:p w14:paraId="18E5181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4C93CE0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4A7EB9BC">
      <w:pPr>
        <w:spacing w:line="440" w:lineRule="exact"/>
        <w:rPr>
          <w:rFonts w:ascii="仿宋" w:hAnsi="仿宋" w:eastAsia="仿宋" w:cs="仿宋"/>
          <w:color w:val="000000" w:themeColor="text1"/>
          <w:sz w:val="24"/>
          <w14:textFill>
            <w14:solidFill>
              <w14:schemeClr w14:val="tx1"/>
            </w14:solidFill>
          </w14:textFill>
        </w:rPr>
      </w:pPr>
    </w:p>
    <w:p w14:paraId="688F9B99">
      <w:pPr>
        <w:spacing w:line="440" w:lineRule="exact"/>
        <w:rPr>
          <w:rFonts w:ascii="仿宋" w:hAnsi="仿宋" w:eastAsia="仿宋" w:cs="仿宋"/>
          <w:b/>
          <w:color w:val="000000" w:themeColor="text1"/>
          <w:sz w:val="24"/>
          <w14:textFill>
            <w14:solidFill>
              <w14:schemeClr w14:val="tx1"/>
            </w14:solidFill>
          </w14:textFill>
        </w:rPr>
      </w:pPr>
    </w:p>
    <w:p w14:paraId="2C27996B">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14:paraId="3E5B77E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14:paraId="4FF4348C">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14:paraId="599CA9E8">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14:paraId="61EE3240">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14:paraId="29C1A5F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yellow"/>
          <w:u w:val="single"/>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后一次性无息支付。</w:t>
      </w:r>
    </w:p>
    <w:p w14:paraId="7372A0AB">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14EF30A4">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24BE3EBC">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77AE3628">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23B7FF46">
      <w:pPr>
        <w:spacing w:line="440" w:lineRule="exact"/>
        <w:jc w:val="center"/>
        <w:rPr>
          <w:rFonts w:ascii="仿宋" w:hAnsi="仿宋" w:eastAsia="仿宋" w:cs="仿宋"/>
          <w:b/>
          <w:bCs/>
          <w:color w:val="000000" w:themeColor="text1"/>
          <w:sz w:val="24"/>
          <w14:textFill>
            <w14:solidFill>
              <w14:schemeClr w14:val="tx1"/>
            </w14:solidFill>
          </w14:textFill>
        </w:rPr>
      </w:pPr>
    </w:p>
    <w:p w14:paraId="6B119124">
      <w:pPr>
        <w:spacing w:line="440" w:lineRule="exact"/>
        <w:jc w:val="center"/>
        <w:rPr>
          <w:rFonts w:ascii="仿宋" w:hAnsi="仿宋" w:eastAsia="仿宋" w:cs="仿宋"/>
          <w:b/>
          <w:bCs/>
          <w:color w:val="000000" w:themeColor="text1"/>
          <w:sz w:val="24"/>
          <w14:textFill>
            <w14:solidFill>
              <w14:schemeClr w14:val="tx1"/>
            </w14:solidFill>
          </w14:textFill>
        </w:rPr>
      </w:pPr>
    </w:p>
    <w:p w14:paraId="00E18E51">
      <w:pPr>
        <w:spacing w:line="440" w:lineRule="exact"/>
        <w:jc w:val="center"/>
        <w:rPr>
          <w:rFonts w:ascii="仿宋" w:hAnsi="仿宋" w:eastAsia="仿宋" w:cs="仿宋"/>
          <w:b/>
          <w:bCs/>
          <w:color w:val="000000" w:themeColor="text1"/>
          <w:sz w:val="24"/>
          <w14:textFill>
            <w14:solidFill>
              <w14:schemeClr w14:val="tx1"/>
            </w14:solidFill>
          </w14:textFill>
        </w:rPr>
      </w:pPr>
    </w:p>
    <w:p w14:paraId="69133A41">
      <w:pPr>
        <w:spacing w:line="440" w:lineRule="exact"/>
        <w:jc w:val="center"/>
        <w:rPr>
          <w:rFonts w:ascii="仿宋" w:hAnsi="仿宋" w:eastAsia="仿宋" w:cs="仿宋"/>
          <w:b/>
          <w:bCs/>
          <w:color w:val="000000" w:themeColor="text1"/>
          <w:sz w:val="24"/>
          <w14:textFill>
            <w14:solidFill>
              <w14:schemeClr w14:val="tx1"/>
            </w14:solidFill>
          </w14:textFill>
        </w:rPr>
      </w:pPr>
    </w:p>
    <w:p w14:paraId="4B0F04C5">
      <w:pPr>
        <w:spacing w:line="440" w:lineRule="exact"/>
        <w:jc w:val="center"/>
        <w:rPr>
          <w:rFonts w:ascii="仿宋" w:hAnsi="仿宋" w:eastAsia="仿宋" w:cs="仿宋"/>
          <w:b/>
          <w:bCs/>
          <w:color w:val="000000" w:themeColor="text1"/>
          <w:sz w:val="24"/>
          <w14:textFill>
            <w14:solidFill>
              <w14:schemeClr w14:val="tx1"/>
            </w14:solidFill>
          </w14:textFill>
        </w:rPr>
      </w:pPr>
    </w:p>
    <w:p w14:paraId="486974E1">
      <w:pPr>
        <w:spacing w:line="440" w:lineRule="exact"/>
        <w:jc w:val="center"/>
        <w:rPr>
          <w:rFonts w:ascii="仿宋" w:hAnsi="仿宋" w:eastAsia="仿宋" w:cs="仿宋"/>
          <w:b/>
          <w:bCs/>
          <w:color w:val="000000" w:themeColor="text1"/>
          <w:sz w:val="24"/>
          <w14:textFill>
            <w14:solidFill>
              <w14:schemeClr w14:val="tx1"/>
            </w14:solidFill>
          </w14:textFill>
        </w:rPr>
      </w:pPr>
    </w:p>
    <w:p w14:paraId="415DB542">
      <w:pPr>
        <w:spacing w:line="440" w:lineRule="exact"/>
        <w:jc w:val="center"/>
        <w:rPr>
          <w:rFonts w:ascii="仿宋" w:hAnsi="仿宋" w:eastAsia="仿宋" w:cs="仿宋"/>
          <w:b/>
          <w:bCs/>
          <w:color w:val="000000" w:themeColor="text1"/>
          <w:sz w:val="24"/>
          <w14:textFill>
            <w14:solidFill>
              <w14:schemeClr w14:val="tx1"/>
            </w14:solidFill>
          </w14:textFill>
        </w:rPr>
      </w:pPr>
    </w:p>
    <w:p w14:paraId="01CCD205">
      <w:pPr>
        <w:spacing w:line="440" w:lineRule="exact"/>
        <w:jc w:val="center"/>
        <w:rPr>
          <w:rFonts w:ascii="仿宋" w:hAnsi="仿宋" w:eastAsia="仿宋" w:cs="仿宋"/>
          <w:b/>
          <w:bCs/>
          <w:color w:val="000000" w:themeColor="text1"/>
          <w:sz w:val="24"/>
          <w14:textFill>
            <w14:solidFill>
              <w14:schemeClr w14:val="tx1"/>
            </w14:solidFill>
          </w14:textFill>
        </w:rPr>
      </w:pPr>
    </w:p>
    <w:p w14:paraId="3362B8F2">
      <w:pPr>
        <w:rPr>
          <w:rFonts w:ascii="仿宋" w:hAnsi="仿宋" w:eastAsia="仿宋" w:cs="仿宋"/>
          <w:color w:val="000000" w:themeColor="text1"/>
          <w:sz w:val="24"/>
          <w:highlight w:val="cyan"/>
          <w:lang w:val="zh-CN"/>
          <w14:textFill>
            <w14:solidFill>
              <w14:schemeClr w14:val="tx1"/>
            </w14:solidFill>
          </w14:textFill>
        </w:rPr>
      </w:pPr>
    </w:p>
    <w:p w14:paraId="16306150">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E7F5C4A8"/>
    <w:multiLevelType w:val="singleLevel"/>
    <w:tmpl w:val="E7F5C4A8"/>
    <w:lvl w:ilvl="0" w:tentative="0">
      <w:start w:val="1"/>
      <w:numFmt w:val="decimal"/>
      <w:suff w:val="nothing"/>
      <w:lvlText w:val="%1．"/>
      <w:lvlJc w:val="left"/>
      <w:pPr>
        <w:ind w:left="0" w:firstLine="400"/>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4469D6"/>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9E77F4"/>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3B81E05"/>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3299</Words>
  <Characters>3438</Characters>
  <Lines>5</Lines>
  <Paragraphs>1</Paragraphs>
  <TotalTime>0</TotalTime>
  <ScaleCrop>false</ScaleCrop>
  <LinksUpToDate>false</LinksUpToDate>
  <CharactersWithSpaces>3498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2025-08-28T03:54:55Z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9BB7BD580E0B411ABDDB39BF72218C93_13</vt:lpwstr>
  </property>
  <property fmtid="{D5CDD505-2E9C-101B-9397-08002B2CF9AE}" pid="4" name="KSOTemplateDocerSaveRecord">
    <vt:lpwstr>eyJoZGlkIjoiOWYxZDQzYjgzYjkzNTUwYWVmYTAyNDM3MGRjMjQ1NWYiLCJ1c2VySWQiOiI2Nzc2MTcxNDIifQ==</vt:lpwstr>
  </property>
</Properties>
</file>