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4D14305F">
      <w:pPr>
        <w:jc w:val="center"/>
        <w:rPr>
          <w:rFonts w:hint="eastAsia"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A9095CA">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总则：</w:t>
      </w:r>
    </w:p>
    <w:p w14:paraId="37CF21B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04DB10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F8CB52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340D823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0548450E">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64B1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08DE6D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EDE1EF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4A561D61">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208A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18337305">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脑电意识深度监测仪</w:t>
            </w:r>
          </w:p>
        </w:tc>
        <w:tc>
          <w:tcPr>
            <w:tcW w:w="2268" w:type="dxa"/>
          </w:tcPr>
          <w:p w14:paraId="08D03BB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麻醉科</w:t>
            </w:r>
          </w:p>
        </w:tc>
        <w:tc>
          <w:tcPr>
            <w:tcW w:w="2508" w:type="dxa"/>
          </w:tcPr>
          <w:p w14:paraId="378FBE76">
            <w:pPr>
              <w:spacing w:line="440" w:lineRule="exact"/>
              <w:jc w:val="center"/>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val="en-US" w:eastAsia="zh-CN"/>
              </w:rPr>
              <w:t>2</w:t>
            </w:r>
          </w:p>
        </w:tc>
      </w:tr>
    </w:tbl>
    <w:p w14:paraId="7E43EAE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核心产品：脑电意识深度监测仪</w:t>
      </w:r>
    </w:p>
    <w:p w14:paraId="0E980EF1">
      <w:pPr>
        <w:spacing w:line="440" w:lineRule="exact"/>
        <w:rPr>
          <w:rFonts w:hint="eastAsia" w:ascii="仿宋" w:hAnsi="仿宋" w:eastAsia="仿宋" w:cs="仿宋"/>
          <w:color w:val="000000" w:themeColor="text1"/>
          <w:sz w:val="24"/>
        </w:rPr>
      </w:pPr>
    </w:p>
    <w:p w14:paraId="7A81F7CF">
      <w:pPr>
        <w:spacing w:line="440" w:lineRule="exact"/>
        <w:rPr>
          <w:rFonts w:hint="eastAsia" w:ascii="仿宋" w:hAnsi="仿宋" w:eastAsia="仿宋" w:cs="仿宋"/>
          <w:color w:val="000000" w:themeColor="text1"/>
          <w:sz w:val="24"/>
          <w:highlight w:val="yellow"/>
        </w:rPr>
      </w:pPr>
      <w:r>
        <w:rPr>
          <w:rFonts w:hint="eastAsia" w:ascii="仿宋" w:hAnsi="仿宋" w:eastAsia="仿宋" w:cs="仿宋"/>
          <w:color w:val="000000" w:themeColor="text1"/>
          <w:sz w:val="24"/>
        </w:rPr>
        <w:t>用途：</w:t>
      </w:r>
      <w:r>
        <w:rPr>
          <w:rFonts w:hint="eastAsia" w:ascii="仿宋" w:hAnsi="仿宋" w:eastAsia="仿宋" w:cs="仿宋"/>
          <w:color w:val="000000"/>
          <w:sz w:val="24"/>
        </w:rPr>
        <w:t>对围术期患者实施精准的麻醉/脑电意识深度智能监测和评估，预防癫痫发作，保障患者安全，改善患者预后；有助于提高医院手术效率和科室麻醉质量、减轻医生工作强度；节省麻醉用药、缩短患者复苏时间等。</w:t>
      </w:r>
    </w:p>
    <w:p w14:paraId="670CAC3E">
      <w:pPr>
        <w:spacing w:line="440" w:lineRule="exact"/>
        <w:rPr>
          <w:rFonts w:hint="eastAsia" w:ascii="仿宋" w:hAnsi="仿宋" w:eastAsia="仿宋" w:cs="仿宋"/>
          <w:b/>
          <w:color w:val="000000" w:themeColor="text1"/>
          <w:sz w:val="24"/>
        </w:rPr>
      </w:pPr>
    </w:p>
    <w:p w14:paraId="58C523E6">
      <w:pPr>
        <w:numPr>
          <w:ilvl w:val="0"/>
          <w:numId w:val="4"/>
        </w:numPr>
        <w:spacing w:line="440" w:lineRule="exact"/>
        <w:rPr>
          <w:rFonts w:hint="eastAsia" w:ascii="仿宋" w:hAnsi="仿宋" w:eastAsia="仿宋" w:cs="仿宋"/>
          <w:color w:val="000000"/>
          <w:sz w:val="24"/>
        </w:rPr>
      </w:pPr>
      <w:r>
        <w:rPr>
          <w:rFonts w:hint="eastAsia" w:ascii="仿宋" w:hAnsi="仿宋" w:eastAsia="仿宋" w:cs="仿宋"/>
          <w:b/>
          <w:color w:val="000000" w:themeColor="text1"/>
          <w:sz w:val="24"/>
        </w:rPr>
        <w:t>技术参数：</w:t>
      </w:r>
    </w:p>
    <w:p w14:paraId="3506180F">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适用手术种类：适于全科手术监测，包括开颅、烧伤、眼科、听力障碍等各类手术。</w:t>
      </w:r>
    </w:p>
    <w:p w14:paraId="6E6C3B67">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适用病人范围：0-150 岁之间各年龄段均适用，系统对病人年龄判断精确到日(须输入患者的出生日期),适用于新生儿、婴幼儿、儿童、老年人等各年龄组。</w:t>
      </w:r>
    </w:p>
    <w:p w14:paraId="5BF4174D">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适用监测范围：具备准确的原始脑电波分析功能，提供脑电功率谱分析α、β、θ、δ波的活度、边缘频谱（SEF）、中间频谱（MF），自动评估癫痫电波发作，自动分析对比左右两个半脑球功率差异，因此除了可用于术中麻醉/脑电意识深度的监测外，还可用于辅助监测复苏过程中的脑部供氧状态、癫痫、脑复苏、脑死亡等。</w:t>
      </w:r>
    </w:p>
    <w:p w14:paraId="6E1B312B">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根据原始脑电信号对脑电意识/麻醉深度进行自动分级，指数范围 0-100，分为 6 个阶段 15 个亚级，用于监测麻醉/脑电意识深度。</w:t>
      </w:r>
    </w:p>
    <w:p w14:paraId="4B98AC79">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监护参数：实时原始脑电波形，麻醉深度趋势指数，麻醉深度等级，STI(棘波瞬态强度)、振幅积分脑电图（aEEG）、自动 EEG 分级（包括婴儿 EEG 分级）、爆发抑制比（BSR）、DSA（密度谱阵列）、RPAB(α+β波功率降低百分比)、EMG 指数、电极阻抗，脑电功率谱，边缘频谱，中间频谱等。可选双通道版本供选择对比左右大脑的脑电监测。</w:t>
      </w:r>
    </w:p>
    <w:p w14:paraId="125178F0">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电极要求：</w:t>
      </w:r>
      <w:r>
        <w:rPr>
          <w:rFonts w:hint="eastAsia" w:ascii="仿宋" w:hAnsi="仿宋" w:eastAsia="仿宋" w:cs="仿宋"/>
          <w:color w:val="000000"/>
          <w:sz w:val="24"/>
          <w:highlight w:val="yellow"/>
        </w:rPr>
        <w:t>使用一次性</w:t>
      </w:r>
      <w:r>
        <w:rPr>
          <w:rFonts w:hint="eastAsia" w:ascii="仿宋" w:hAnsi="仿宋" w:eastAsia="仿宋" w:cs="仿宋"/>
          <w:color w:val="000000"/>
          <w:sz w:val="24"/>
          <w:highlight w:val="yellow"/>
          <w:lang w:val="en-US" w:eastAsia="zh-CN"/>
        </w:rPr>
        <w:t>通用</w:t>
      </w:r>
      <w:r>
        <w:rPr>
          <w:rFonts w:hint="eastAsia" w:ascii="仿宋" w:hAnsi="仿宋" w:eastAsia="仿宋" w:cs="仿宋"/>
          <w:color w:val="000000"/>
          <w:sz w:val="24"/>
          <w:highlight w:val="yellow"/>
        </w:rPr>
        <w:t>心电电极片</w:t>
      </w:r>
      <w:r>
        <w:rPr>
          <w:rFonts w:hint="eastAsia" w:ascii="仿宋" w:hAnsi="仿宋" w:eastAsia="仿宋" w:cs="仿宋"/>
          <w:color w:val="000000"/>
          <w:sz w:val="24"/>
        </w:rPr>
        <w:t>。</w:t>
      </w:r>
    </w:p>
    <w:p w14:paraId="0B2FDEFE">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 电极位置要求：可在大脑任意位置采集脑电信号，如前额、耳后、前部、顶部等。</w:t>
      </w:r>
    </w:p>
    <w:p w14:paraId="468A663A">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适用于高精尖手术：如深低温停循环手术、术中唤醒手术、颈动脉内膜剥脱术等。</w:t>
      </w:r>
    </w:p>
    <w:p w14:paraId="4680A280">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屏幕≧8.4 英寸，TFT 彩色触摸屏；自带截屏功能，用于保存屏幕图形。</w:t>
      </w:r>
    </w:p>
    <w:p w14:paraId="4FE6E3C3">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▲电极导联线为单通道无创导联，可选配双通道无创导联。</w:t>
      </w:r>
    </w:p>
    <w:p w14:paraId="67BC92D1">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输入信号：输入阻抗&gt;10MΩ采集通道。</w:t>
      </w:r>
    </w:p>
    <w:p w14:paraId="48595A1B">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仪器接口：EMA 连接口（EEG 测量信号接收单元），1 个 RS-232 串口，1 个 USB 接口。</w:t>
      </w:r>
    </w:p>
    <w:p w14:paraId="26E29327">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数据储存：可储存 4000 小时以上病人原始脑电资料，并可导入电脑储存统计。</w:t>
      </w:r>
    </w:p>
    <w:p w14:paraId="5D3414BC">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电池能力：内置可充电电池，可以保证仪器在紧急断电情况下继续使用。</w:t>
      </w:r>
    </w:p>
    <w:p w14:paraId="320C5AC5">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安全标准：病人漏电流&lt;50μA，病人输入电路全悬浮和隔离，有除颤保护。</w:t>
      </w:r>
    </w:p>
    <w:p w14:paraId="1F0315AE">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在中国具有国家级医学会认可的专业培训中心，可提供由专业医师授课的相关临床培训。</w:t>
      </w:r>
      <w:bookmarkStart w:id="0" w:name="_GoBack"/>
      <w:bookmarkEnd w:id="0"/>
    </w:p>
    <w:p w14:paraId="54636D15">
      <w:pPr>
        <w:numPr>
          <w:ilvl w:val="0"/>
          <w:numId w:val="5"/>
        </w:numPr>
        <w:spacing w:line="440" w:lineRule="exact"/>
        <w:ind w:left="425" w:leftChars="0" w:hanging="425" w:firstLineChars="0"/>
        <w:rPr>
          <w:rFonts w:hint="eastAsia" w:ascii="仿宋" w:hAnsi="仿宋" w:eastAsia="仿宋" w:cs="仿宋"/>
          <w:color w:val="000000"/>
          <w:sz w:val="24"/>
        </w:rPr>
      </w:pPr>
      <w:r>
        <w:rPr>
          <w:rFonts w:hint="eastAsia" w:ascii="仿宋" w:hAnsi="仿宋" w:eastAsia="仿宋" w:cs="仿宋"/>
          <w:color w:val="000000"/>
          <w:sz w:val="24"/>
        </w:rPr>
        <w:t>★每台主机随机附带不小于 1200 个</w:t>
      </w:r>
      <w:r>
        <w:rPr>
          <w:rFonts w:hint="eastAsia" w:ascii="仿宋" w:hAnsi="仿宋" w:eastAsia="仿宋" w:cs="仿宋"/>
          <w:color w:val="000000"/>
          <w:sz w:val="24"/>
          <w:lang w:val="en-US" w:eastAsia="zh-CN"/>
        </w:rPr>
        <w:t>适配</w:t>
      </w:r>
      <w:r>
        <w:rPr>
          <w:rFonts w:hint="eastAsia" w:ascii="仿宋" w:hAnsi="仿宋" w:eastAsia="仿宋" w:cs="仿宋"/>
          <w:color w:val="000000"/>
          <w:sz w:val="24"/>
          <w:highlight w:val="yellow"/>
        </w:rPr>
        <w:t>电极片</w:t>
      </w:r>
      <w:r>
        <w:rPr>
          <w:rFonts w:hint="eastAsia" w:ascii="仿宋" w:hAnsi="仿宋" w:eastAsia="仿宋" w:cs="仿宋"/>
          <w:color w:val="000000"/>
          <w:sz w:val="24"/>
        </w:rPr>
        <w:t>。</w:t>
      </w:r>
    </w:p>
    <w:p w14:paraId="24EF82DF">
      <w:pPr>
        <w:numPr>
          <w:ilvl w:val="0"/>
          <w:numId w:val="5"/>
        </w:numPr>
        <w:spacing w:line="440" w:lineRule="exact"/>
        <w:ind w:left="425" w:leftChars="0" w:hanging="425" w:firstLineChars="0"/>
        <w:rPr>
          <w:rFonts w:hint="default" w:ascii="仿宋" w:hAnsi="仿宋" w:eastAsia="仿宋" w:cs="仿宋"/>
          <w:b w:val="0"/>
          <w:bCs/>
          <w:color w:val="0000FF"/>
          <w:sz w:val="24"/>
          <w:lang w:val="en-US" w:eastAsia="zh-CN"/>
        </w:rPr>
      </w:pPr>
      <w:r>
        <w:rPr>
          <w:rFonts w:hint="eastAsia" w:ascii="仿宋" w:hAnsi="仿宋" w:eastAsia="仿宋" w:cs="仿宋"/>
          <w:b w:val="0"/>
          <w:bCs/>
          <w:color w:val="0000FF"/>
          <w:sz w:val="24"/>
          <w:lang w:val="en-US" w:eastAsia="zh-CN"/>
        </w:rPr>
        <w:t>设备使用年限≥5年</w:t>
      </w:r>
    </w:p>
    <w:p w14:paraId="055C934D">
      <w:pPr>
        <w:spacing w:line="440" w:lineRule="exact"/>
        <w:rPr>
          <w:rFonts w:hint="eastAsia" w:ascii="仿宋" w:hAnsi="仿宋" w:eastAsia="仿宋" w:cs="仿宋"/>
          <w:b/>
          <w:color w:val="000000" w:themeColor="text1"/>
          <w:sz w:val="24"/>
        </w:rPr>
      </w:pPr>
    </w:p>
    <w:p w14:paraId="4B8BAE30">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32"/>
        <w:gridCol w:w="3192"/>
        <w:gridCol w:w="969"/>
        <w:gridCol w:w="920"/>
      </w:tblGrid>
      <w:tr w14:paraId="165C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A650A3">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432" w:type="dxa"/>
          </w:tcPr>
          <w:p w14:paraId="2F7057F4">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192" w:type="dxa"/>
          </w:tcPr>
          <w:p w14:paraId="03EB0436">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6A0D338D">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177FA14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D11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99F7D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2432" w:type="dxa"/>
            <w:vAlign w:val="center"/>
          </w:tcPr>
          <w:p w14:paraId="3BC5EA78">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主机</w:t>
            </w:r>
          </w:p>
        </w:tc>
        <w:tc>
          <w:tcPr>
            <w:tcW w:w="3192" w:type="dxa"/>
          </w:tcPr>
          <w:p w14:paraId="32C0BEA2">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该脑电意识深度监测仪，为一体设计，原装单体机。</w:t>
            </w:r>
          </w:p>
        </w:tc>
        <w:tc>
          <w:tcPr>
            <w:tcW w:w="969" w:type="dxa"/>
          </w:tcPr>
          <w:p w14:paraId="275E19CE">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6010BC37">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台</w:t>
            </w:r>
          </w:p>
        </w:tc>
      </w:tr>
      <w:tr w14:paraId="0191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1DB622F">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2432" w:type="dxa"/>
            <w:vAlign w:val="center"/>
          </w:tcPr>
          <w:p w14:paraId="785268BB">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单通道导联线</w:t>
            </w:r>
          </w:p>
        </w:tc>
        <w:tc>
          <w:tcPr>
            <w:tcW w:w="3192" w:type="dxa"/>
          </w:tcPr>
          <w:p w14:paraId="0C88CEF7">
            <w:pPr>
              <w:spacing w:line="440" w:lineRule="exact"/>
              <w:rPr>
                <w:rFonts w:hint="eastAsia" w:ascii="仿宋" w:hAnsi="仿宋" w:eastAsia="仿宋" w:cs="仿宋"/>
                <w:bCs/>
                <w:color w:val="000000" w:themeColor="text1"/>
                <w:sz w:val="24"/>
              </w:rPr>
            </w:pPr>
          </w:p>
        </w:tc>
        <w:tc>
          <w:tcPr>
            <w:tcW w:w="969" w:type="dxa"/>
          </w:tcPr>
          <w:p w14:paraId="7778851C">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659789E4">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条</w:t>
            </w:r>
          </w:p>
        </w:tc>
      </w:tr>
      <w:tr w14:paraId="6048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45C4F7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2432" w:type="dxa"/>
            <w:vAlign w:val="center"/>
          </w:tcPr>
          <w:p w14:paraId="7461E1E5">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磨砂膏</w:t>
            </w:r>
          </w:p>
        </w:tc>
        <w:tc>
          <w:tcPr>
            <w:tcW w:w="3192" w:type="dxa"/>
          </w:tcPr>
          <w:p w14:paraId="6A240D0B">
            <w:pPr>
              <w:spacing w:line="440" w:lineRule="exact"/>
              <w:rPr>
                <w:rFonts w:hint="eastAsia" w:ascii="仿宋" w:hAnsi="仿宋" w:eastAsia="仿宋" w:cs="仿宋"/>
                <w:bCs/>
                <w:color w:val="000000" w:themeColor="text1"/>
                <w:sz w:val="24"/>
              </w:rPr>
            </w:pPr>
          </w:p>
        </w:tc>
        <w:tc>
          <w:tcPr>
            <w:tcW w:w="969" w:type="dxa"/>
          </w:tcPr>
          <w:p w14:paraId="04154CC5">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402ED903">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瓶</w:t>
            </w:r>
          </w:p>
        </w:tc>
      </w:tr>
      <w:tr w14:paraId="6447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CABDDB7">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2432" w:type="dxa"/>
            <w:vAlign w:val="center"/>
          </w:tcPr>
          <w:p w14:paraId="7865978F">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标准电源线</w:t>
            </w:r>
          </w:p>
        </w:tc>
        <w:tc>
          <w:tcPr>
            <w:tcW w:w="3192" w:type="dxa"/>
          </w:tcPr>
          <w:p w14:paraId="6C74403C">
            <w:pPr>
              <w:spacing w:line="440" w:lineRule="exact"/>
              <w:rPr>
                <w:rFonts w:hint="eastAsia" w:ascii="仿宋" w:hAnsi="仿宋" w:eastAsia="仿宋" w:cs="仿宋"/>
                <w:bCs/>
                <w:color w:val="000000" w:themeColor="text1"/>
                <w:sz w:val="24"/>
              </w:rPr>
            </w:pPr>
          </w:p>
        </w:tc>
        <w:tc>
          <w:tcPr>
            <w:tcW w:w="969" w:type="dxa"/>
          </w:tcPr>
          <w:p w14:paraId="42D11E3B">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6B818E94">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条</w:t>
            </w:r>
          </w:p>
        </w:tc>
      </w:tr>
      <w:tr w14:paraId="0FF2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E9505AB">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5</w:t>
            </w:r>
          </w:p>
        </w:tc>
        <w:tc>
          <w:tcPr>
            <w:tcW w:w="2432" w:type="dxa"/>
            <w:vAlign w:val="center"/>
          </w:tcPr>
          <w:p w14:paraId="26074831">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电极片（50片/包）</w:t>
            </w:r>
          </w:p>
        </w:tc>
        <w:tc>
          <w:tcPr>
            <w:tcW w:w="3192" w:type="dxa"/>
          </w:tcPr>
          <w:p w14:paraId="006935D4">
            <w:pPr>
              <w:spacing w:line="440" w:lineRule="exact"/>
              <w:rPr>
                <w:rFonts w:hint="default" w:ascii="仿宋" w:hAnsi="仿宋" w:eastAsia="仿宋" w:cs="仿宋"/>
                <w:bCs/>
                <w:color w:val="0000FF"/>
                <w:sz w:val="24"/>
                <w:lang w:val="en-US" w:eastAsia="zh-CN"/>
              </w:rPr>
            </w:pPr>
            <w:r>
              <w:rPr>
                <w:rFonts w:hint="eastAsia" w:ascii="仿宋" w:hAnsi="仿宋" w:eastAsia="仿宋" w:cs="仿宋"/>
                <w:bCs/>
                <w:color w:val="0000FF"/>
                <w:sz w:val="24"/>
                <w:lang w:val="en-US" w:eastAsia="zh-CN"/>
              </w:rPr>
              <w:t>按采购人需求时分批供货</w:t>
            </w:r>
          </w:p>
        </w:tc>
        <w:tc>
          <w:tcPr>
            <w:tcW w:w="969" w:type="dxa"/>
          </w:tcPr>
          <w:p w14:paraId="5F42B811">
            <w:pPr>
              <w:spacing w:line="440" w:lineRule="exact"/>
              <w:jc w:val="center"/>
              <w:rPr>
                <w:rFonts w:hint="default" w:ascii="仿宋" w:hAnsi="仿宋" w:eastAsia="仿宋" w:cs="仿宋"/>
                <w:bCs/>
                <w:color w:val="0000FF"/>
                <w:sz w:val="24"/>
                <w:lang w:val="en-US" w:eastAsia="zh-CN"/>
              </w:rPr>
            </w:pPr>
            <w:r>
              <w:rPr>
                <w:rFonts w:hint="eastAsia" w:ascii="仿宋" w:hAnsi="仿宋" w:eastAsia="仿宋" w:cs="仿宋"/>
                <w:bCs/>
                <w:color w:val="0000FF"/>
                <w:sz w:val="24"/>
                <w:lang w:val="en-US" w:eastAsia="zh-CN"/>
              </w:rPr>
              <w:t>1200</w:t>
            </w:r>
          </w:p>
        </w:tc>
        <w:tc>
          <w:tcPr>
            <w:tcW w:w="920" w:type="dxa"/>
          </w:tcPr>
          <w:p w14:paraId="1D9C4AE8">
            <w:pPr>
              <w:spacing w:line="440" w:lineRule="exact"/>
              <w:jc w:val="center"/>
              <w:rPr>
                <w:rFonts w:hint="default" w:ascii="仿宋" w:hAnsi="仿宋" w:eastAsia="仿宋" w:cs="仿宋"/>
                <w:bCs/>
                <w:color w:val="000000" w:themeColor="text1"/>
                <w:sz w:val="24"/>
                <w:lang w:val="en-US" w:eastAsia="zh-CN"/>
              </w:rPr>
            </w:pPr>
            <w:r>
              <w:rPr>
                <w:rFonts w:hint="eastAsia" w:ascii="仿宋" w:hAnsi="仿宋" w:eastAsia="仿宋" w:cs="仿宋"/>
                <w:bCs/>
                <w:color w:val="000000" w:themeColor="text1"/>
                <w:sz w:val="24"/>
                <w:lang w:val="en-US" w:eastAsia="zh-CN"/>
              </w:rPr>
              <w:t>片</w:t>
            </w:r>
          </w:p>
        </w:tc>
      </w:tr>
      <w:tr w14:paraId="62FC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1BD3E60">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6</w:t>
            </w:r>
          </w:p>
        </w:tc>
        <w:tc>
          <w:tcPr>
            <w:tcW w:w="2432" w:type="dxa"/>
            <w:vAlign w:val="center"/>
          </w:tcPr>
          <w:p w14:paraId="340EDF90">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中文使用说明书</w:t>
            </w:r>
          </w:p>
        </w:tc>
        <w:tc>
          <w:tcPr>
            <w:tcW w:w="3192" w:type="dxa"/>
          </w:tcPr>
          <w:p w14:paraId="39A3665D">
            <w:pPr>
              <w:spacing w:line="440" w:lineRule="exact"/>
              <w:rPr>
                <w:rFonts w:hint="eastAsia" w:ascii="仿宋" w:hAnsi="仿宋" w:eastAsia="仿宋" w:cs="仿宋"/>
                <w:bCs/>
                <w:color w:val="000000" w:themeColor="text1"/>
                <w:sz w:val="24"/>
              </w:rPr>
            </w:pPr>
          </w:p>
        </w:tc>
        <w:tc>
          <w:tcPr>
            <w:tcW w:w="969" w:type="dxa"/>
          </w:tcPr>
          <w:p w14:paraId="4C9AC976">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692F9F3D">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本</w:t>
            </w:r>
          </w:p>
        </w:tc>
      </w:tr>
      <w:tr w14:paraId="1B65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7313B68">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7</w:t>
            </w:r>
          </w:p>
        </w:tc>
        <w:tc>
          <w:tcPr>
            <w:tcW w:w="2432" w:type="dxa"/>
            <w:vAlign w:val="center"/>
          </w:tcPr>
          <w:p w14:paraId="56C0B795">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快速操作卡</w:t>
            </w:r>
          </w:p>
        </w:tc>
        <w:tc>
          <w:tcPr>
            <w:tcW w:w="3192" w:type="dxa"/>
          </w:tcPr>
          <w:p w14:paraId="3A4FAED0">
            <w:pPr>
              <w:spacing w:line="440" w:lineRule="exact"/>
              <w:rPr>
                <w:rFonts w:hint="eastAsia" w:ascii="仿宋" w:hAnsi="仿宋" w:eastAsia="仿宋" w:cs="仿宋"/>
                <w:bCs/>
                <w:color w:val="000000" w:themeColor="text1"/>
                <w:sz w:val="24"/>
              </w:rPr>
            </w:pPr>
          </w:p>
        </w:tc>
        <w:tc>
          <w:tcPr>
            <w:tcW w:w="969" w:type="dxa"/>
          </w:tcPr>
          <w:p w14:paraId="1DF239AE">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709B9310">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个</w:t>
            </w:r>
          </w:p>
        </w:tc>
      </w:tr>
      <w:tr w14:paraId="25C3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85AA81A">
            <w:pPr>
              <w:spacing w:line="440" w:lineRule="exact"/>
              <w:jc w:val="center"/>
              <w:rPr>
                <w:rFonts w:hint="eastAsia" w:ascii="仿宋" w:hAnsi="仿宋" w:eastAsia="仿宋" w:cs="仿宋"/>
                <w:color w:val="000000" w:themeColor="text1"/>
                <w:sz w:val="24"/>
              </w:rPr>
            </w:pPr>
            <w:r>
              <w:rPr>
                <w:rFonts w:hint="eastAsia" w:ascii="仿宋" w:hAnsi="仿宋" w:eastAsia="仿宋" w:cs="仿宋"/>
                <w:color w:val="000000" w:themeColor="text1"/>
                <w:sz w:val="24"/>
              </w:rPr>
              <w:t>8</w:t>
            </w:r>
          </w:p>
        </w:tc>
        <w:tc>
          <w:tcPr>
            <w:tcW w:w="2432" w:type="dxa"/>
            <w:vAlign w:val="center"/>
          </w:tcPr>
          <w:p w14:paraId="38EFA50B">
            <w:pPr>
              <w:spacing w:line="440" w:lineRule="exact"/>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固定挂钩</w:t>
            </w:r>
          </w:p>
        </w:tc>
        <w:tc>
          <w:tcPr>
            <w:tcW w:w="3192" w:type="dxa"/>
          </w:tcPr>
          <w:p w14:paraId="5C9B684B">
            <w:pPr>
              <w:spacing w:line="440" w:lineRule="exact"/>
              <w:rPr>
                <w:rFonts w:hint="eastAsia" w:ascii="仿宋" w:hAnsi="仿宋" w:eastAsia="仿宋" w:cs="仿宋"/>
                <w:bCs/>
                <w:color w:val="000000" w:themeColor="text1"/>
                <w:sz w:val="24"/>
              </w:rPr>
            </w:pPr>
          </w:p>
        </w:tc>
        <w:tc>
          <w:tcPr>
            <w:tcW w:w="969" w:type="dxa"/>
          </w:tcPr>
          <w:p w14:paraId="50FCE228">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1</w:t>
            </w:r>
          </w:p>
        </w:tc>
        <w:tc>
          <w:tcPr>
            <w:tcW w:w="920" w:type="dxa"/>
          </w:tcPr>
          <w:p w14:paraId="107CFB5D">
            <w:pPr>
              <w:spacing w:line="440" w:lineRule="exact"/>
              <w:jc w:val="center"/>
              <w:rPr>
                <w:rFonts w:hint="eastAsia" w:ascii="仿宋" w:hAnsi="仿宋" w:eastAsia="仿宋" w:cs="仿宋"/>
                <w:bCs/>
                <w:color w:val="000000" w:themeColor="text1"/>
                <w:sz w:val="24"/>
              </w:rPr>
            </w:pPr>
            <w:r>
              <w:rPr>
                <w:rFonts w:hint="eastAsia" w:ascii="仿宋" w:hAnsi="仿宋" w:eastAsia="仿宋" w:cs="仿宋"/>
                <w:bCs/>
                <w:color w:val="000000" w:themeColor="text1"/>
                <w:sz w:val="24"/>
              </w:rPr>
              <w:t>个</w:t>
            </w:r>
          </w:p>
        </w:tc>
      </w:tr>
    </w:tbl>
    <w:p w14:paraId="67C19F57">
      <w:pPr>
        <w:spacing w:line="440" w:lineRule="exact"/>
        <w:rPr>
          <w:rFonts w:hint="eastAsia" w:ascii="仿宋" w:hAnsi="仿宋" w:eastAsia="仿宋" w:cs="仿宋"/>
          <w:b/>
          <w:color w:val="000000" w:themeColor="text1"/>
          <w:sz w:val="24"/>
        </w:rPr>
      </w:pPr>
    </w:p>
    <w:p w14:paraId="0A0AC7CB">
      <w:pPr>
        <w:numPr>
          <w:ilvl w:val="0"/>
          <w:numId w:val="4"/>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5A9F5B89">
      <w:pPr>
        <w:spacing w:line="440" w:lineRule="exact"/>
        <w:rPr>
          <w:rFonts w:hint="eastAsia" w:ascii="仿宋" w:hAnsi="仿宋" w:eastAsia="仿宋" w:cs="仿宋"/>
          <w:b/>
          <w:sz w:val="24"/>
        </w:rPr>
      </w:pPr>
      <w:r>
        <w:rPr>
          <w:rFonts w:hint="eastAsia" w:ascii="仿宋" w:hAnsi="仿宋" w:eastAsia="仿宋" w:cs="仿宋"/>
          <w:b/>
          <w:sz w:val="24"/>
        </w:rPr>
        <w:t>1.交货及安装、验收要求</w:t>
      </w:r>
    </w:p>
    <w:p w14:paraId="2E8777BA">
      <w:pPr>
        <w:spacing w:line="440" w:lineRule="exact"/>
        <w:rPr>
          <w:rFonts w:hint="eastAsia" w:ascii="仿宋" w:hAnsi="仿宋" w:eastAsia="仿宋" w:cs="仿宋"/>
          <w:sz w:val="24"/>
        </w:rPr>
      </w:pPr>
      <w:r>
        <w:rPr>
          <w:rFonts w:hint="eastAsia" w:ascii="仿宋" w:hAnsi="仿宋" w:eastAsia="仿宋" w:cs="仿宋"/>
          <w:sz w:val="24"/>
        </w:rPr>
        <w:t>1.1交货地点：采购人指定地点。</w:t>
      </w:r>
    </w:p>
    <w:p w14:paraId="1E08F60F">
      <w:pPr>
        <w:spacing w:line="440" w:lineRule="exact"/>
        <w:rPr>
          <w:rFonts w:hint="eastAsia" w:ascii="仿宋" w:hAnsi="仿宋" w:eastAsia="仿宋" w:cs="仿宋"/>
          <w:sz w:val="24"/>
        </w:rPr>
      </w:pPr>
      <w:r>
        <w:rPr>
          <w:rFonts w:hint="eastAsia" w:ascii="仿宋" w:hAnsi="仿宋" w:eastAsia="仿宋" w:cs="仿宋"/>
          <w:sz w:val="24"/>
        </w:rPr>
        <w:t>1.2交货期：中标供应商应当在中标通知书发出之日起30日内按采购需求及中标人的投标文件确定的事项与采购人签订合同，签订合同后</w:t>
      </w:r>
      <w:r>
        <w:rPr>
          <w:rFonts w:hint="eastAsia" w:ascii="仿宋" w:hAnsi="仿宋" w:eastAsia="仿宋" w:cs="仿宋"/>
          <w:sz w:val="24"/>
          <w:u w:val="single"/>
        </w:rPr>
        <w:t xml:space="preserve">  30  </w:t>
      </w:r>
      <w:r>
        <w:rPr>
          <w:rFonts w:hint="eastAsia" w:ascii="仿宋" w:hAnsi="仿宋" w:eastAsia="仿宋" w:cs="仿宋"/>
          <w:sz w:val="24"/>
        </w:rPr>
        <w:t>日内完成设备的安装调试。</w:t>
      </w:r>
    </w:p>
    <w:p w14:paraId="58D46EF8">
      <w:pPr>
        <w:spacing w:line="440" w:lineRule="exact"/>
        <w:rPr>
          <w:rFonts w:hint="eastAsia" w:ascii="仿宋" w:hAnsi="仿宋" w:eastAsia="仿宋" w:cs="仿宋"/>
          <w:sz w:val="24"/>
        </w:rPr>
      </w:pPr>
      <w:r>
        <w:rPr>
          <w:rFonts w:hint="eastAsia" w:ascii="仿宋" w:hAnsi="仿宋" w:eastAsia="仿宋" w:cs="仿宋"/>
          <w:sz w:val="24"/>
        </w:rPr>
        <w:t>1.3中标供应商须保证中标后所提供的设备为原装、全新合格的产品；且原装进口产品进口日期与交货日期差值≤12个月；国产产品生产日期与交货日期差值≤3个月。</w:t>
      </w:r>
    </w:p>
    <w:p w14:paraId="68B211E8">
      <w:pPr>
        <w:spacing w:line="440" w:lineRule="exact"/>
        <w:rPr>
          <w:rFonts w:hint="eastAsia" w:ascii="仿宋" w:hAnsi="仿宋" w:eastAsia="仿宋" w:cs="仿宋"/>
          <w:sz w:val="24"/>
        </w:rPr>
      </w:pPr>
      <w:r>
        <w:rPr>
          <w:rFonts w:hint="eastAsia" w:ascii="仿宋" w:hAnsi="仿宋" w:eastAsia="仿宋" w:cs="仿宋"/>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265EE1D">
      <w:pPr>
        <w:spacing w:line="440" w:lineRule="exact"/>
        <w:rPr>
          <w:rFonts w:hint="eastAsia" w:ascii="仿宋" w:hAnsi="仿宋" w:eastAsia="仿宋" w:cs="仿宋"/>
          <w:sz w:val="24"/>
        </w:rPr>
      </w:pPr>
      <w:r>
        <w:rPr>
          <w:rFonts w:hint="eastAsia" w:ascii="仿宋" w:hAnsi="仿宋" w:eastAsia="仿宋" w:cs="仿宋"/>
          <w:sz w:val="24"/>
        </w:rPr>
        <w:t>1.5验收方式：按《小榄镇公立医院政府采购和验收办法》。</w:t>
      </w:r>
    </w:p>
    <w:p w14:paraId="6B6C9989">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04B1627">
      <w:pPr>
        <w:spacing w:line="440" w:lineRule="exact"/>
        <w:rPr>
          <w:rFonts w:hint="eastAsia" w:ascii="仿宋" w:hAnsi="仿宋" w:eastAsia="仿宋" w:cs="仿宋"/>
          <w:b/>
          <w:sz w:val="24"/>
        </w:rPr>
      </w:pPr>
      <w:r>
        <w:rPr>
          <w:rFonts w:hint="eastAsia" w:ascii="仿宋" w:hAnsi="仿宋" w:eastAsia="仿宋" w:cs="仿宋"/>
          <w:b/>
          <w:sz w:val="24"/>
        </w:rPr>
        <w:t>2.售后服务要求</w:t>
      </w:r>
    </w:p>
    <w:p w14:paraId="1B9DB9E6">
      <w:pPr>
        <w:tabs>
          <w:tab w:val="left" w:pos="420"/>
        </w:tabs>
        <w:spacing w:line="440" w:lineRule="exact"/>
        <w:rPr>
          <w:rFonts w:hint="eastAsia" w:ascii="仿宋" w:hAnsi="仿宋" w:eastAsia="仿宋" w:cs="仿宋"/>
          <w:sz w:val="24"/>
        </w:rPr>
      </w:pPr>
      <w:r>
        <w:rPr>
          <w:rFonts w:hint="eastAsia" w:ascii="仿宋" w:hAnsi="仿宋" w:eastAsia="仿宋" w:cs="仿宋"/>
          <w:sz w:val="24"/>
        </w:rPr>
        <w:t>2.1中标供应商必须在中国境内有售后服务机构，并附有售后服务能力说明。</w:t>
      </w:r>
    </w:p>
    <w:p w14:paraId="0CF17D55">
      <w:pPr>
        <w:spacing w:line="440" w:lineRule="exact"/>
        <w:rPr>
          <w:rFonts w:hint="eastAsia" w:ascii="仿宋" w:hAnsi="仿宋" w:eastAsia="仿宋" w:cs="仿宋"/>
          <w:sz w:val="24"/>
        </w:rPr>
      </w:pPr>
      <w:r>
        <w:rPr>
          <w:rFonts w:hint="eastAsia" w:ascii="仿宋" w:hAnsi="仿宋" w:eastAsia="仿宋" w:cs="仿宋"/>
          <w:sz w:val="24"/>
        </w:rPr>
        <w:t>★2.2中标供应商须提供设备原厂质保（设备原厂质量保修范围和保修期）至少为</w:t>
      </w:r>
      <w:r>
        <w:rPr>
          <w:rFonts w:hint="eastAsia" w:ascii="仿宋" w:hAnsi="仿宋" w:eastAsia="仿宋" w:cs="仿宋"/>
          <w:sz w:val="24"/>
          <w:highlight w:val="yellow"/>
          <w:u w:val="single"/>
        </w:rPr>
        <w:t xml:space="preserve">  1  </w:t>
      </w:r>
      <w:r>
        <w:rPr>
          <w:rFonts w:hint="eastAsia" w:ascii="仿宋" w:hAnsi="仿宋" w:eastAsia="仿宋" w:cs="仿宋"/>
          <w:sz w:val="24"/>
          <w:highlight w:val="yellow"/>
        </w:rPr>
        <w:t>年。</w:t>
      </w:r>
    </w:p>
    <w:p w14:paraId="2761D203">
      <w:pPr>
        <w:spacing w:line="440" w:lineRule="exact"/>
        <w:rPr>
          <w:rFonts w:hint="eastAsia" w:ascii="仿宋" w:hAnsi="仿宋" w:eastAsia="仿宋" w:cs="仿宋"/>
          <w:sz w:val="24"/>
        </w:rPr>
      </w:pPr>
      <w:r>
        <w:rPr>
          <w:rFonts w:hint="eastAsia" w:ascii="仿宋" w:hAnsi="仿宋" w:eastAsia="仿宋" w:cs="仿宋"/>
          <w:sz w:val="24"/>
        </w:rPr>
        <w:t>2.3在售后期内，中标供应商在接到用户的维修通知，响应时间为半小时内，工程师到达现场时间为4小时内，排除故障时限为到达现场后8小时内。</w:t>
      </w:r>
    </w:p>
    <w:p w14:paraId="6EC29667">
      <w:pPr>
        <w:spacing w:line="440" w:lineRule="exact"/>
        <w:rPr>
          <w:rFonts w:hint="eastAsia" w:ascii="仿宋" w:hAnsi="仿宋" w:eastAsia="仿宋" w:cs="仿宋"/>
          <w:sz w:val="24"/>
        </w:rPr>
      </w:pPr>
      <w:r>
        <w:rPr>
          <w:rFonts w:hint="eastAsia" w:ascii="仿宋" w:hAnsi="仿宋" w:eastAsia="仿宋" w:cs="仿宋"/>
          <w:sz w:val="24"/>
        </w:rPr>
        <w:t>2.4如果产品故障在检修12小时后仍无法排除，中标供应商应在24小时内提供不低于故障产品规格型号档次的备用产品供采购人使用，直至故障产品修复。</w:t>
      </w:r>
    </w:p>
    <w:p w14:paraId="3A10DB0A">
      <w:pPr>
        <w:spacing w:line="440" w:lineRule="exact"/>
        <w:rPr>
          <w:rFonts w:hint="eastAsia"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rPr>
        <w:t xml:space="preserve">2.5 </w:t>
      </w:r>
      <w:r>
        <w:rPr>
          <w:rFonts w:hint="eastAsia" w:ascii="仿宋" w:hAnsi="仿宋" w:eastAsia="仿宋" w:cs="仿宋"/>
          <w:sz w:val="24"/>
        </w:rPr>
        <w:t>合同签订后，</w:t>
      </w:r>
      <w:r>
        <w:rPr>
          <w:rFonts w:hint="eastAsia" w:ascii="仿宋" w:hAnsi="仿宋" w:eastAsia="仿宋" w:cs="仿宋"/>
          <w:bCs/>
          <w:sz w:val="24"/>
        </w:rPr>
        <w:t>在合同履行期间，若中山市医保价格出现下调，则相应检测项目的成本应按同比例减少；若</w:t>
      </w:r>
      <w:r>
        <w:rPr>
          <w:rFonts w:hint="eastAsia" w:ascii="仿宋" w:hAnsi="仿宋" w:eastAsia="仿宋" w:cs="仿宋"/>
          <w:sz w:val="24"/>
        </w:rPr>
        <w:t>合同设备</w:t>
      </w:r>
      <w:r>
        <w:rPr>
          <w:rFonts w:hint="eastAsia" w:ascii="仿宋" w:hAnsi="仿宋" w:eastAsia="仿宋" w:cs="仿宋"/>
          <w:bCs/>
          <w:sz w:val="24"/>
        </w:rPr>
        <w:t>所涉及的检测项目被纳入广东省集中采购目录，则应按照集中采购的定价执行。</w:t>
      </w:r>
    </w:p>
    <w:p w14:paraId="33AFDE95">
      <w:pPr>
        <w:spacing w:line="440" w:lineRule="exact"/>
        <w:rPr>
          <w:rFonts w:hint="eastAsia" w:ascii="仿宋" w:hAnsi="仿宋" w:eastAsia="仿宋" w:cs="仿宋"/>
          <w:b/>
          <w:sz w:val="24"/>
        </w:rPr>
      </w:pPr>
    </w:p>
    <w:p w14:paraId="7CFACCB2">
      <w:pPr>
        <w:spacing w:line="440" w:lineRule="exact"/>
        <w:rPr>
          <w:rFonts w:hint="eastAsia" w:ascii="仿宋" w:hAnsi="仿宋" w:eastAsia="仿宋" w:cs="仿宋"/>
          <w:b/>
          <w:sz w:val="24"/>
        </w:rPr>
      </w:pPr>
      <w:r>
        <w:rPr>
          <w:rFonts w:hint="eastAsia" w:ascii="仿宋" w:hAnsi="仿宋" w:eastAsia="仿宋" w:cs="仿宋"/>
          <w:b/>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hint="eastAsia"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加盖发票专用章（增值税普通发票）。</w:t>
      </w:r>
    </w:p>
    <w:p w14:paraId="4C1E8C7A">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★3.2具体付款方式：</w:t>
      </w:r>
      <w:r>
        <w:rPr>
          <w:rFonts w:hint="eastAsia" w:ascii="仿宋" w:hAnsi="仿宋" w:eastAsia="仿宋" w:cs="仿宋"/>
          <w:color w:val="000000" w:themeColor="text1"/>
          <w:sz w:val="24"/>
          <w:lang w:val="en-US" w:eastAsia="zh-CN"/>
        </w:rPr>
        <w:t>采购人</w:t>
      </w:r>
      <w:r>
        <w:rPr>
          <w:rFonts w:hint="eastAsia" w:ascii="仿宋" w:hAnsi="仿宋" w:eastAsia="仿宋" w:cs="仿宋"/>
          <w:color w:val="000000" w:themeColor="text1"/>
          <w:sz w:val="24"/>
        </w:rPr>
        <w:t>书面确认</w:t>
      </w:r>
      <w:r>
        <w:rPr>
          <w:rFonts w:hint="eastAsia" w:ascii="仿宋" w:hAnsi="仿宋" w:eastAsia="仿宋" w:cs="仿宋"/>
          <w:color w:val="000000" w:themeColor="text1"/>
          <w:sz w:val="24"/>
          <w:lang w:val="en-US" w:eastAsia="zh-CN"/>
        </w:rPr>
        <w:t>设备</w:t>
      </w:r>
      <w:r>
        <w:rPr>
          <w:rFonts w:hint="eastAsia" w:ascii="仿宋" w:hAnsi="仿宋" w:eastAsia="仿宋" w:cs="仿宋"/>
          <w:color w:val="000000" w:themeColor="text1"/>
          <w:sz w:val="24"/>
        </w:rPr>
        <w:t>验收合格后，</w:t>
      </w:r>
      <w:r>
        <w:rPr>
          <w:rFonts w:hint="eastAsia" w:ascii="仿宋" w:hAnsi="仿宋" w:eastAsia="仿宋" w:cs="仿宋"/>
          <w:color w:val="000000" w:themeColor="text1"/>
          <w:sz w:val="24"/>
          <w:lang w:val="en-US" w:eastAsia="zh-CN"/>
        </w:rPr>
        <w:t>采购人</w:t>
      </w:r>
      <w:r>
        <w:rPr>
          <w:rFonts w:hint="eastAsia" w:ascii="仿宋" w:hAnsi="仿宋" w:eastAsia="仿宋" w:cs="仿宋"/>
          <w:color w:val="000000" w:themeColor="text1"/>
          <w:sz w:val="24"/>
        </w:rPr>
        <w:t>确认</w:t>
      </w:r>
      <w:r>
        <w:rPr>
          <w:rFonts w:hint="eastAsia" w:ascii="仿宋" w:hAnsi="仿宋" w:eastAsia="仿宋" w:cs="仿宋"/>
          <w:color w:val="000000" w:themeColor="text1"/>
          <w:sz w:val="24"/>
          <w:lang w:val="en-US" w:eastAsia="zh-CN"/>
        </w:rPr>
        <w:t>中标单位</w:t>
      </w:r>
      <w:r>
        <w:rPr>
          <w:rFonts w:hint="eastAsia" w:ascii="仿宋" w:hAnsi="仿宋" w:eastAsia="仿宋" w:cs="仿宋"/>
          <w:color w:val="000000" w:themeColor="text1"/>
          <w:sz w:val="24"/>
        </w:rPr>
        <w:t>开具的发票无误</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采购人一个月内支付合同总金额的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5AEE697B">
      <w:pPr>
        <w:spacing w:line="440" w:lineRule="exact"/>
        <w:ind w:firstLine="480" w:firstLineChars="200"/>
        <w:rPr>
          <w:rFonts w:hint="eastAsia" w:ascii="仿宋" w:hAnsi="仿宋" w:eastAsia="仿宋" w:cs="仿宋"/>
          <w:color w:val="000000" w:themeColor="text1"/>
          <w:sz w:val="24"/>
        </w:rPr>
      </w:pPr>
    </w:p>
    <w:p w14:paraId="381906E8">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1AA9CD8"/>
    <w:multiLevelType w:val="singleLevel"/>
    <w:tmpl w:val="71AA9CD8"/>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016086"/>
    <w:rsid w:val="1B480550"/>
    <w:rsid w:val="1B9B3432"/>
    <w:rsid w:val="1C125497"/>
    <w:rsid w:val="1C5D648C"/>
    <w:rsid w:val="1DED6834"/>
    <w:rsid w:val="20372DFC"/>
    <w:rsid w:val="206831B1"/>
    <w:rsid w:val="22D309D5"/>
    <w:rsid w:val="230C63C9"/>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2B7780"/>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3629</Words>
  <Characters>3770</Characters>
  <Lines>5</Lines>
  <Paragraphs>1</Paragraphs>
  <TotalTime>37</TotalTime>
  <ScaleCrop>false</ScaleCrop>
  <LinksUpToDate>false</LinksUpToDate>
  <CharactersWithSpaces>3853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2025-08-20T07:53:09Z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