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r>
        <w:rPr>
          <w:rFonts w:hint="eastAsia"/>
          <w:b/>
          <w:bCs/>
          <w:color w:val="0000FF"/>
          <w:szCs w:val="21"/>
          <w:lang w:eastAsia="zh-CN"/>
        </w:rPr>
        <w:t>、</w:t>
      </w:r>
      <w:r>
        <w:rPr>
          <w:rFonts w:hint="eastAsia"/>
          <w:b/>
          <w:bCs/>
          <w:color w:val="0000FF"/>
          <w:szCs w:val="21"/>
          <w:highlight w:val="yellow"/>
          <w:lang w:val="en-US" w:eastAsia="zh-CN"/>
        </w:rPr>
        <w:t>产品使用说明书</w:t>
      </w:r>
      <w:r>
        <w:rPr>
          <w:rFonts w:hint="eastAsia"/>
          <w:b/>
          <w:bCs/>
          <w:color w:val="0000FF"/>
          <w:szCs w:val="21"/>
        </w:rPr>
        <w:t>。</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w:t>
            </w:r>
            <w:r>
              <w:rPr>
                <w:rFonts w:hint="eastAsia"/>
                <w:color w:val="FF0000"/>
                <w:sz w:val="18"/>
                <w:szCs w:val="18"/>
                <w:lang w:val="en-US" w:eastAsia="zh-CN"/>
              </w:rPr>
              <w:t>8</w:t>
            </w:r>
            <w:bookmarkStart w:id="0" w:name="_GoBack"/>
            <w:bookmarkEnd w:id="0"/>
            <w:r>
              <w:rPr>
                <w:rFonts w:hint="eastAsia"/>
                <w:color w:val="FF0000"/>
                <w:sz w:val="18"/>
                <w:szCs w:val="18"/>
              </w:rPr>
              <w:t>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r w14:paraId="09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C046349">
            <w:pPr>
              <w:spacing w:line="360" w:lineRule="auto"/>
              <w:jc w:val="center"/>
              <w:rPr>
                <w:rFonts w:hint="eastAsia" w:ascii="宋体" w:eastAsia="宋体"/>
                <w:sz w:val="24"/>
                <w:lang w:val="en-US" w:eastAsia="zh-CN"/>
              </w:rPr>
            </w:pPr>
            <w:r>
              <w:rPr>
                <w:rFonts w:hint="eastAsia" w:ascii="宋体"/>
                <w:sz w:val="24"/>
              </w:rPr>
              <w:t>是否有</w:t>
            </w:r>
            <w:r>
              <w:rPr>
                <w:rFonts w:hint="eastAsia" w:ascii="宋体"/>
                <w:sz w:val="24"/>
                <w:lang w:val="en-US" w:eastAsia="zh-CN"/>
              </w:rPr>
              <w:t>易损件</w:t>
            </w:r>
          </w:p>
        </w:tc>
        <w:tc>
          <w:tcPr>
            <w:tcW w:w="5835" w:type="dxa"/>
          </w:tcPr>
          <w:p w14:paraId="5D0EF6EA">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4BA69075">
            <w:pPr>
              <w:pStyle w:val="3"/>
              <w:ind w:firstLine="0"/>
              <w:rPr>
                <w:rFonts w:hint="eastAsia"/>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w:t>
            </w:r>
            <w:r>
              <w:rPr>
                <w:rFonts w:hint="eastAsia"/>
                <w:color w:val="FF0000"/>
                <w:szCs w:val="21"/>
                <w:lang w:val="en-US" w:eastAsia="zh-CN"/>
              </w:rPr>
              <w:t>设备易损件报价单</w:t>
            </w:r>
            <w:r>
              <w:rPr>
                <w:rFonts w:hint="eastAsia"/>
                <w:color w:val="FF0000"/>
                <w:szCs w:val="21"/>
              </w:rPr>
              <w:t>）</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1A08C156">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14:textFill>
                  <w14:solidFill>
                    <w14:schemeClr w14:val="bg1"/>
                  </w14:solidFill>
                </w14:textFill>
              </w:rPr>
            </w:pPr>
            <w:r>
              <w:rPr>
                <w:rFonts w:hint="eastAsia" w:ascii="仿宋_GB2312" w:hAnsi="宋体" w:eastAsia="仿宋_GB2312" w:cs="仿宋_GB2312"/>
                <w:color w:val="000000" w:themeColor="text1"/>
                <w:sz w:val="20"/>
                <w:szCs w:val="20"/>
                <w14:textFill>
                  <w14:solidFill>
                    <w14:schemeClr w14:val="tx1"/>
                  </w14:solidFill>
                </w14:textFill>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6A6A6" w:themeColor="background1" w:themeShade="A6"/>
                <w:kern w:val="2"/>
                <w:sz w:val="20"/>
                <w:szCs w:val="20"/>
                <w:shd w:val="clear" w:fill="auto"/>
                <w:lang w:val="en-US" w:eastAsia="zh-CN" w:bidi="ar-SA"/>
              </w:rPr>
            </w:pPr>
            <w:r>
              <w:rPr>
                <w:rFonts w:hint="eastAsia" w:ascii="仿宋_GB2312" w:hAnsi="宋体" w:eastAsia="仿宋_GB2312" w:cs="仿宋_GB2312"/>
                <w:color w:val="A6A6A6" w:themeColor="background1" w:themeShade="A6"/>
                <w:kern w:val="2"/>
                <w:sz w:val="20"/>
                <w:szCs w:val="20"/>
                <w:shd w:val="clear" w:fill="auto"/>
                <w:lang w:val="en-US" w:eastAsia="zh-CN" w:bidi="ar-SA"/>
              </w:rPr>
              <w:t>例：1、（GLU）葡萄糖250302001</w:t>
            </w:r>
          </w:p>
          <w:p w14:paraId="02E9DD4F">
            <w:pPr>
              <w:numPr>
                <w:ilvl w:val="0"/>
                <w:numId w:val="0"/>
              </w:numPr>
              <w:ind w:left="0" w:leftChars="0"/>
              <w:jc w:val="left"/>
              <w:rPr>
                <w:rFonts w:hint="default" w:ascii="仿宋_GB2312" w:hAnsi="宋体" w:eastAsia="仿宋_GB2312" w:cs="仿宋_GB2312"/>
                <w:color w:val="A6A6A6" w:themeColor="background1" w:themeShade="A6"/>
                <w:sz w:val="20"/>
                <w:szCs w:val="20"/>
                <w:shd w:val="clear" w:color="auto" w:fill="auto"/>
                <w:lang w:val="en-US" w:eastAsia="zh-CN"/>
              </w:rPr>
            </w:pPr>
            <w:r>
              <w:rPr>
                <w:rFonts w:hint="default" w:ascii="仿宋_GB2312" w:hAnsi="宋体" w:eastAsia="仿宋_GB2312" w:cs="仿宋_GB2312"/>
                <w:color w:val="A6A6A6" w:themeColor="background1" w:themeShade="A6"/>
                <w:kern w:val="2"/>
                <w:sz w:val="20"/>
                <w:szCs w:val="20"/>
                <w:shd w:val="clear" w:fill="auto"/>
                <w:lang w:val="en-US" w:eastAsia="zh-CN" w:bidi="ar-SA"/>
              </w:rPr>
              <w:t>2</w:t>
            </w:r>
            <w:r>
              <w:rPr>
                <w:rFonts w:hint="eastAsia" w:ascii="仿宋_GB2312" w:hAnsi="宋体" w:eastAsia="仿宋_GB2312" w:cs="仿宋_GB2312"/>
                <w:color w:val="A6A6A6" w:themeColor="background1" w:themeShade="A6"/>
                <w:kern w:val="2"/>
                <w:sz w:val="20"/>
                <w:szCs w:val="20"/>
                <w:shd w:val="clear" w:fill="auto"/>
                <w:lang w:val="en-US" w:eastAsia="zh-CN" w:bidi="ar-SA"/>
              </w:rPr>
              <w:t>、</w:t>
            </w:r>
            <w:r>
              <w:rPr>
                <w:rFonts w:hint="eastAsia" w:ascii="仿宋_GB2312" w:hAnsi="宋体" w:eastAsia="仿宋_GB2312" w:cs="仿宋_GB2312"/>
                <w:color w:val="A6A6A6" w:themeColor="background1" w:themeShade="A6"/>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color w:val="A6A6A6" w:themeColor="background1" w:themeShade="A6"/>
                <w:kern w:val="2"/>
                <w:sz w:val="28"/>
                <w:szCs w:val="24"/>
                <w:lang w:val="en-US" w:eastAsia="zh-CN" w:bidi="ar-SA"/>
              </w:rPr>
            </w:pPr>
            <w:r>
              <w:rPr>
                <w:rFonts w:hint="eastAsia" w:ascii="仿宋_GB2312" w:hAnsi="宋体" w:eastAsia="仿宋_GB2312" w:cs="仿宋_GB2312"/>
                <w:color w:val="A6A6A6" w:themeColor="background1" w:themeShade="A6"/>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422">
            <w:pPr>
              <w:pStyle w:val="4"/>
              <w:rPr>
                <w:rFonts w:hint="default"/>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72262CD1">
      <w:pPr>
        <w:spacing w:line="440" w:lineRule="exact"/>
        <w:rPr>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0956ECBC">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40FDE14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70BFB22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639F1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044561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21E2C54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563159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5477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005C4A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290429C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4BA2BD8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0309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250F6CD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显微镜数码成像系统</w:t>
            </w:r>
          </w:p>
        </w:tc>
        <w:tc>
          <w:tcPr>
            <w:tcW w:w="1833" w:type="dxa"/>
          </w:tcPr>
          <w:p w14:paraId="6A5C34C6">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病理科</w:t>
            </w:r>
          </w:p>
        </w:tc>
        <w:tc>
          <w:tcPr>
            <w:tcW w:w="2131" w:type="dxa"/>
          </w:tcPr>
          <w:p w14:paraId="16CA0E9A">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r>
    </w:tbl>
    <w:p w14:paraId="2414EBE0">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病理科实现数字化、信息化、提高诊断水平，增强病理报告的直观性和信息量，方便医生在镜下精准测量病灶大小，可以及时拍摄高清图像，保存下来进一步分析，讨论或作为诊断依据</w:t>
      </w:r>
    </w:p>
    <w:p w14:paraId="029A0332">
      <w:pPr>
        <w:spacing w:line="440" w:lineRule="exact"/>
        <w:rPr>
          <w:rFonts w:ascii="仿宋" w:hAnsi="仿宋" w:eastAsia="仿宋" w:cs="仿宋"/>
          <w:b/>
          <w:color w:val="000000" w:themeColor="text1"/>
          <w:sz w:val="24"/>
          <w14:textFill>
            <w14:solidFill>
              <w14:schemeClr w14:val="tx1"/>
            </w14:solidFill>
          </w14:textFill>
        </w:rPr>
      </w:pPr>
    </w:p>
    <w:p w14:paraId="0AD377C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34C62B7">
      <w:pPr>
        <w:numPr>
          <w:ilvl w:val="0"/>
          <w:numId w:val="5"/>
        </w:numPr>
        <w:spacing w:line="440" w:lineRule="exact"/>
        <w:ind w:left="0" w:leftChars="0" w:firstLine="0" w:firstLineChars="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设备如有接入我院系统的需求</w:t>
      </w:r>
      <w:r>
        <w:rPr>
          <w:rFonts w:hint="eastAsia" w:ascii="仿宋" w:hAnsi="仿宋" w:eastAsia="仿宋" w:cs="仿宋"/>
          <w:color w:val="000000" w:themeColor="text1"/>
          <w:sz w:val="24"/>
          <w:lang w:eastAsia="zh-CN"/>
          <w14:textFill>
            <w14:solidFill>
              <w14:schemeClr w14:val="tx1"/>
            </w14:solidFill>
          </w14:textFill>
        </w:rPr>
        <w:t>：</w:t>
      </w:r>
    </w:p>
    <w:p w14:paraId="152FA572">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★设备需支持与医院信息系统的数据互通，对接费用包含在本项目预算中</w:t>
      </w:r>
    </w:p>
    <w:p w14:paraId="3AFBAFEF">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设备使用年限不低于8年</w:t>
      </w:r>
    </w:p>
    <w:p w14:paraId="26C6155E">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数码摄像机不低于2000万像素，兼具高分辨率和高灵敏度</w:t>
      </w:r>
    </w:p>
    <w:p w14:paraId="44E04771">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授权软件含实时拼接、景深融合、静态HDR合成、EDF景深拓展、高效测量流功能，可视化属性编辑功能，自动生成含图像/数据的报告</w:t>
      </w:r>
    </w:p>
    <w:p w14:paraId="1181FD78">
      <w:pPr>
        <w:numPr>
          <w:ilvl w:val="0"/>
          <w:numId w:val="5"/>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光学接口配件：标准C接口适配环，</w:t>
      </w:r>
      <w:r>
        <w:rPr>
          <w:rFonts w:hint="eastAsia" w:ascii="仿宋" w:hAnsi="仿宋" w:eastAsia="仿宋" w:cs="仿宋"/>
          <w:color w:val="000000" w:themeColor="text1"/>
          <w:sz w:val="24"/>
          <w:highlight w:val="none"/>
          <w:lang w:val="en-US" w:eastAsia="zh-CN"/>
          <w14:textFill>
            <w14:solidFill>
              <w14:schemeClr w14:val="tx1"/>
            </w14:solidFill>
          </w14:textFill>
        </w:rPr>
        <w:t>兼容性：需额外提供与采购人现有显微镜接口匹配的转换环，材质为不锈钢防掉屑工艺</w:t>
      </w:r>
      <w:r>
        <w:rPr>
          <w:rFonts w:hint="eastAsia" w:ascii="仿宋" w:hAnsi="仿宋" w:eastAsia="仿宋" w:cs="仿宋"/>
          <w:color w:val="000000" w:themeColor="text1"/>
          <w:sz w:val="24"/>
          <w:lang w:val="en-US" w:eastAsia="zh-CN"/>
          <w14:textFill>
            <w14:solidFill>
              <w14:schemeClr w14:val="tx1"/>
            </w14:solidFill>
          </w14:textFill>
        </w:rPr>
        <w:t>（医院在用显微镜品牌型号为：</w:t>
      </w:r>
      <w:r>
        <w:rPr>
          <w:rFonts w:hint="eastAsia" w:ascii="宋体" w:hAnsi="宋体" w:eastAsia="宋体" w:cs="宋体"/>
          <w:i w:val="0"/>
          <w:iCs w:val="0"/>
          <w:color w:val="000000"/>
          <w:kern w:val="0"/>
          <w:sz w:val="22"/>
          <w:szCs w:val="22"/>
          <w:u w:val="none"/>
          <w:lang w:val="en-US" w:eastAsia="zh-CN" w:bidi="ar"/>
        </w:rPr>
        <w:t>德国、Leica、DM2500 LED；日本奥林巴斯 BX53；上海徕卡 DM2500；）</w:t>
      </w:r>
    </w:p>
    <w:p w14:paraId="2CFE80C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7616"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998"/>
        <w:gridCol w:w="3104"/>
        <w:gridCol w:w="877"/>
        <w:gridCol w:w="877"/>
      </w:tblGrid>
      <w:tr w14:paraId="4086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49FF1601">
            <w:pPr>
              <w:spacing w:line="440" w:lineRule="exact"/>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998" w:type="dxa"/>
          </w:tcPr>
          <w:p w14:paraId="0FDE8EAA">
            <w:pPr>
              <w:spacing w:line="440" w:lineRule="exact"/>
              <w:ind w:left="0" w:leftChars="-95" w:hanging="199" w:hangingChars="83"/>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104" w:type="dxa"/>
          </w:tcPr>
          <w:p w14:paraId="3838CDC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877" w:type="dxa"/>
          </w:tcPr>
          <w:p w14:paraId="7B37A2F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877" w:type="dxa"/>
          </w:tcPr>
          <w:p w14:paraId="4525EA7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A2C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1437EE8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998" w:type="dxa"/>
          </w:tcPr>
          <w:p w14:paraId="2F3B21C1">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数码摄像机</w:t>
            </w:r>
          </w:p>
        </w:tc>
        <w:tc>
          <w:tcPr>
            <w:tcW w:w="3104" w:type="dxa"/>
          </w:tcPr>
          <w:p w14:paraId="1A0DD1BD">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p>
        </w:tc>
        <w:tc>
          <w:tcPr>
            <w:tcW w:w="877" w:type="dxa"/>
          </w:tcPr>
          <w:p w14:paraId="49EF7A80">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3A793657">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台</w:t>
            </w:r>
          </w:p>
        </w:tc>
      </w:tr>
      <w:tr w14:paraId="3BED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37FA1EC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998" w:type="dxa"/>
          </w:tcPr>
          <w:p w14:paraId="7D791535">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授权软件</w:t>
            </w:r>
          </w:p>
        </w:tc>
        <w:tc>
          <w:tcPr>
            <w:tcW w:w="3104" w:type="dxa"/>
          </w:tcPr>
          <w:p w14:paraId="0A752EDC">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p>
        </w:tc>
        <w:tc>
          <w:tcPr>
            <w:tcW w:w="877" w:type="dxa"/>
          </w:tcPr>
          <w:p w14:paraId="6FFF034C">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112F95B0">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套</w:t>
            </w:r>
          </w:p>
        </w:tc>
      </w:tr>
      <w:tr w14:paraId="5864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59F253A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998" w:type="dxa"/>
          </w:tcPr>
          <w:p w14:paraId="5711BC91">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光学接口配件</w:t>
            </w:r>
          </w:p>
        </w:tc>
        <w:tc>
          <w:tcPr>
            <w:tcW w:w="3104" w:type="dxa"/>
          </w:tcPr>
          <w:p w14:paraId="40D5C941">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p>
        </w:tc>
        <w:tc>
          <w:tcPr>
            <w:tcW w:w="877" w:type="dxa"/>
          </w:tcPr>
          <w:p w14:paraId="272D5DAF">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55F0676B">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套</w:t>
            </w:r>
          </w:p>
        </w:tc>
      </w:tr>
      <w:tr w14:paraId="360C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2D8C1D5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998" w:type="dxa"/>
          </w:tcPr>
          <w:p w14:paraId="6E93F3F2">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电源线</w:t>
            </w:r>
          </w:p>
        </w:tc>
        <w:tc>
          <w:tcPr>
            <w:tcW w:w="3104" w:type="dxa"/>
          </w:tcPr>
          <w:p w14:paraId="39C4DC17">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p>
        </w:tc>
        <w:tc>
          <w:tcPr>
            <w:tcW w:w="877" w:type="dxa"/>
          </w:tcPr>
          <w:p w14:paraId="77793ABE">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35B08618">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条</w:t>
            </w:r>
          </w:p>
        </w:tc>
      </w:tr>
      <w:tr w14:paraId="28CF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A15ED1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998" w:type="dxa"/>
          </w:tcPr>
          <w:p w14:paraId="7FA077D3">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备用配件包</w:t>
            </w:r>
          </w:p>
        </w:tc>
        <w:tc>
          <w:tcPr>
            <w:tcW w:w="3104" w:type="dxa"/>
          </w:tcPr>
          <w:p w14:paraId="24957532">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含清洁工具、安装螺丝套件、干燥剂，保修凭证</w:t>
            </w:r>
          </w:p>
        </w:tc>
        <w:tc>
          <w:tcPr>
            <w:tcW w:w="877" w:type="dxa"/>
          </w:tcPr>
          <w:p w14:paraId="7D792449">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09290A26">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套</w:t>
            </w:r>
          </w:p>
        </w:tc>
      </w:tr>
      <w:tr w14:paraId="317B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68779C7">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998" w:type="dxa"/>
          </w:tcPr>
          <w:p w14:paraId="74D0D4AB">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培训服务</w:t>
            </w:r>
          </w:p>
        </w:tc>
        <w:tc>
          <w:tcPr>
            <w:tcW w:w="3104" w:type="dxa"/>
          </w:tcPr>
          <w:p w14:paraId="40A636C6">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p>
        </w:tc>
        <w:tc>
          <w:tcPr>
            <w:tcW w:w="877" w:type="dxa"/>
          </w:tcPr>
          <w:p w14:paraId="0DCA0EF3">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10032DF0">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次</w:t>
            </w:r>
          </w:p>
        </w:tc>
      </w:tr>
      <w:tr w14:paraId="1B9D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3E0A594B">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998" w:type="dxa"/>
          </w:tcPr>
          <w:p w14:paraId="139BA9EF">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使用说明书</w:t>
            </w:r>
          </w:p>
        </w:tc>
        <w:tc>
          <w:tcPr>
            <w:tcW w:w="3104" w:type="dxa"/>
          </w:tcPr>
          <w:p w14:paraId="16669879">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w:t>
            </w:r>
          </w:p>
        </w:tc>
        <w:tc>
          <w:tcPr>
            <w:tcW w:w="877" w:type="dxa"/>
          </w:tcPr>
          <w:p w14:paraId="16A86018">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374A9118">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份</w:t>
            </w:r>
          </w:p>
        </w:tc>
      </w:tr>
      <w:tr w14:paraId="6579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5D9ECCEC">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998" w:type="dxa"/>
          </w:tcPr>
          <w:p w14:paraId="0B1B4428">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合格证</w:t>
            </w:r>
          </w:p>
        </w:tc>
        <w:tc>
          <w:tcPr>
            <w:tcW w:w="3104" w:type="dxa"/>
          </w:tcPr>
          <w:p w14:paraId="7C4FD022">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w:t>
            </w:r>
          </w:p>
        </w:tc>
        <w:tc>
          <w:tcPr>
            <w:tcW w:w="877" w:type="dxa"/>
            <w:vAlign w:val="top"/>
          </w:tcPr>
          <w:p w14:paraId="601FFB52">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45BCE227">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份</w:t>
            </w:r>
          </w:p>
        </w:tc>
      </w:tr>
      <w:tr w14:paraId="5DA2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2CD2931">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1998" w:type="dxa"/>
          </w:tcPr>
          <w:p w14:paraId="488FEB71">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保修卡</w:t>
            </w:r>
          </w:p>
        </w:tc>
        <w:tc>
          <w:tcPr>
            <w:tcW w:w="3104" w:type="dxa"/>
          </w:tcPr>
          <w:p w14:paraId="218C314E">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w:t>
            </w:r>
          </w:p>
        </w:tc>
        <w:tc>
          <w:tcPr>
            <w:tcW w:w="877" w:type="dxa"/>
            <w:vAlign w:val="top"/>
          </w:tcPr>
          <w:p w14:paraId="04022F4C">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7" w:type="dxa"/>
          </w:tcPr>
          <w:p w14:paraId="0D69E9E0">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份</w:t>
            </w:r>
          </w:p>
        </w:tc>
      </w:tr>
    </w:tbl>
    <w:p w14:paraId="40435CC1">
      <w:pPr>
        <w:spacing w:line="440" w:lineRule="exact"/>
        <w:rPr>
          <w:rFonts w:ascii="仿宋" w:hAnsi="仿宋" w:eastAsia="仿宋" w:cs="仿宋"/>
          <w:b/>
          <w:color w:val="000000" w:themeColor="text1"/>
          <w:sz w:val="24"/>
          <w14:textFill>
            <w14:solidFill>
              <w14:schemeClr w14:val="tx1"/>
            </w14:solidFill>
          </w14:textFill>
        </w:rPr>
      </w:pPr>
    </w:p>
    <w:p w14:paraId="352B7DD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28CAD5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62576D4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0E4B8EE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38F75AC7">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；且原装进口产品生产日期与交货日期差值≤6个月；国产产品生产日期与交货日期差值≤3个月。</w:t>
      </w:r>
    </w:p>
    <w:p w14:paraId="1D1C6B5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9E6677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4E36839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6412689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89D137B">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3CF1A4B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8</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1FB01B1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7DAAC70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0E6FD9BD">
      <w:pPr>
        <w:spacing w:line="440" w:lineRule="exact"/>
        <w:rPr>
          <w:rFonts w:ascii="仿宋" w:hAnsi="仿宋" w:eastAsia="仿宋" w:cs="仿宋"/>
          <w:b/>
          <w:color w:val="000000" w:themeColor="text1"/>
          <w:sz w:val="24"/>
          <w14:textFill>
            <w14:solidFill>
              <w14:schemeClr w14:val="tx1"/>
            </w14:solidFill>
          </w14:textFill>
        </w:rPr>
      </w:pPr>
    </w:p>
    <w:p w14:paraId="1B31925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0FDB025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8539E3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0CEEDA98">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1C8C2A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2A8552F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221B0DC6">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6B2948BF">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508A0F99">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34B1CF0">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52E9EE0C">
      <w:pPr>
        <w:spacing w:line="440" w:lineRule="exact"/>
        <w:jc w:val="center"/>
        <w:rPr>
          <w:rFonts w:ascii="仿宋" w:hAnsi="仿宋" w:eastAsia="仿宋" w:cs="仿宋"/>
          <w:b/>
          <w:bCs/>
          <w:color w:val="000000" w:themeColor="text1"/>
          <w:sz w:val="24"/>
          <w14:textFill>
            <w14:solidFill>
              <w14:schemeClr w14:val="tx1"/>
            </w14:solidFill>
          </w14:textFill>
        </w:rPr>
      </w:pPr>
    </w:p>
    <w:p w14:paraId="33054385">
      <w:pPr>
        <w:spacing w:line="440" w:lineRule="exact"/>
        <w:jc w:val="center"/>
        <w:rPr>
          <w:rFonts w:ascii="仿宋" w:hAnsi="仿宋" w:eastAsia="仿宋" w:cs="仿宋"/>
          <w:b/>
          <w:bCs/>
          <w:color w:val="000000" w:themeColor="text1"/>
          <w:sz w:val="24"/>
          <w14:textFill>
            <w14:solidFill>
              <w14:schemeClr w14:val="tx1"/>
            </w14:solidFill>
          </w14:textFill>
        </w:rPr>
      </w:pPr>
    </w:p>
    <w:p w14:paraId="0E913B43">
      <w:pPr>
        <w:spacing w:line="440" w:lineRule="exact"/>
        <w:jc w:val="center"/>
        <w:rPr>
          <w:rFonts w:ascii="仿宋" w:hAnsi="仿宋" w:eastAsia="仿宋" w:cs="仿宋"/>
          <w:b/>
          <w:bCs/>
          <w:color w:val="000000" w:themeColor="text1"/>
          <w:sz w:val="24"/>
          <w14:textFill>
            <w14:solidFill>
              <w14:schemeClr w14:val="tx1"/>
            </w14:solidFill>
          </w14:textFill>
        </w:rPr>
      </w:pPr>
    </w:p>
    <w:p w14:paraId="54D62AAF">
      <w:pPr>
        <w:spacing w:line="440" w:lineRule="exact"/>
        <w:jc w:val="center"/>
        <w:rPr>
          <w:rFonts w:ascii="仿宋" w:hAnsi="仿宋" w:eastAsia="仿宋" w:cs="仿宋"/>
          <w:b/>
          <w:bCs/>
          <w:color w:val="000000" w:themeColor="text1"/>
          <w:sz w:val="24"/>
          <w14:textFill>
            <w14:solidFill>
              <w14:schemeClr w14:val="tx1"/>
            </w14:solidFill>
          </w14:textFill>
        </w:rPr>
      </w:pPr>
    </w:p>
    <w:p w14:paraId="4F78920D">
      <w:pPr>
        <w:spacing w:line="440" w:lineRule="exact"/>
        <w:jc w:val="center"/>
        <w:rPr>
          <w:rFonts w:ascii="仿宋" w:hAnsi="仿宋" w:eastAsia="仿宋" w:cs="仿宋"/>
          <w:b/>
          <w:bCs/>
          <w:color w:val="000000" w:themeColor="text1"/>
          <w:sz w:val="24"/>
          <w14:textFill>
            <w14:solidFill>
              <w14:schemeClr w14:val="tx1"/>
            </w14:solidFill>
          </w14:textFill>
        </w:rPr>
      </w:pPr>
    </w:p>
    <w:p w14:paraId="5D3AB371">
      <w:pPr>
        <w:spacing w:line="440" w:lineRule="exact"/>
        <w:jc w:val="center"/>
        <w:rPr>
          <w:rFonts w:ascii="仿宋" w:hAnsi="仿宋" w:eastAsia="仿宋" w:cs="仿宋"/>
          <w:b/>
          <w:bCs/>
          <w:color w:val="000000" w:themeColor="text1"/>
          <w:sz w:val="24"/>
          <w14:textFill>
            <w14:solidFill>
              <w14:schemeClr w14:val="tx1"/>
            </w14:solidFill>
          </w14:textFill>
        </w:rPr>
      </w:pPr>
    </w:p>
    <w:p w14:paraId="57F6DFC8">
      <w:pPr>
        <w:spacing w:line="440" w:lineRule="exact"/>
        <w:jc w:val="center"/>
        <w:rPr>
          <w:rFonts w:ascii="仿宋" w:hAnsi="仿宋" w:eastAsia="仿宋" w:cs="仿宋"/>
          <w:b/>
          <w:bCs/>
          <w:color w:val="000000" w:themeColor="text1"/>
          <w:sz w:val="24"/>
          <w14:textFill>
            <w14:solidFill>
              <w14:schemeClr w14:val="tx1"/>
            </w14:solidFill>
          </w14:textFill>
        </w:rPr>
      </w:pPr>
    </w:p>
    <w:p w14:paraId="62325844">
      <w:pPr>
        <w:spacing w:line="440" w:lineRule="exact"/>
        <w:jc w:val="center"/>
        <w:rPr>
          <w:rFonts w:ascii="仿宋" w:hAnsi="仿宋" w:eastAsia="仿宋" w:cs="仿宋"/>
          <w:b/>
          <w:bCs/>
          <w:color w:val="000000" w:themeColor="text1"/>
          <w:sz w:val="24"/>
          <w14:textFill>
            <w14:solidFill>
              <w14:schemeClr w14:val="tx1"/>
            </w14:solidFill>
          </w14:textFill>
        </w:rPr>
      </w:pPr>
    </w:p>
    <w:p w14:paraId="27E8E1D6">
      <w:pPr>
        <w:rPr>
          <w:rFonts w:ascii="仿宋" w:hAnsi="仿宋" w:eastAsia="仿宋" w:cs="仿宋"/>
          <w:color w:val="000000" w:themeColor="text1"/>
          <w:sz w:val="24"/>
          <w:highlight w:val="cyan"/>
          <w:lang w:val="zh-CN"/>
          <w14:textFill>
            <w14:solidFill>
              <w14:schemeClr w14:val="tx1"/>
            </w14:solidFill>
          </w14:textFill>
        </w:rPr>
      </w:pPr>
    </w:p>
    <w:p w14:paraId="1D5FC4AE">
      <w:pPr>
        <w:spacing w:line="440" w:lineRule="exact"/>
        <w:rPr>
          <w:rFonts w:ascii="仿宋" w:hAnsi="仿宋" w:eastAsia="仿宋" w:cs="仿宋"/>
          <w:b/>
          <w:bCs/>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0F1B5FE6"/>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F9A4C50"/>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51637D"/>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B32190"/>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30644B"/>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1533</Words>
  <Characters>1663</Characters>
  <Lines>21</Lines>
  <Paragraphs>5</Paragraphs>
  <TotalTime>0</TotalTime>
  <ScaleCrop>false</ScaleCrop>
  <LinksUpToDate>false</LinksUpToDate>
  <CharactersWithSpaces>1758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2025-08-19T03:04:38Z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ABAF4E334D07435DA1EC08F0808AD8A9_13</vt:lpwstr>
  </property>
</Properties>
</file>