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default" w:ascii="仿宋" w:hAnsi="仿宋" w:eastAsia="仿宋"/>
          <w:b w:val="0"/>
          <w:bCs w:val="0"/>
          <w:color w:val="0000FF"/>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无创脑血氧饱和度监护仪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麻醉科</w:t>
            </w:r>
          </w:p>
        </w:tc>
        <w:tc>
          <w:tcPr>
            <w:tcW w:w="2508" w:type="dxa"/>
          </w:tcPr>
          <w:p w14:paraId="5937043E">
            <w:pPr>
              <w:spacing w:line="440" w:lineRule="exact"/>
              <w:ind w:firstLine="720" w:firstLineChars="30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无创脑血氧饱和度监护仪</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highlight w:val="none"/>
        </w:rPr>
        <w:t>用途：</w:t>
      </w:r>
      <w:r>
        <w:rPr>
          <w:rFonts w:hint="eastAsia" w:ascii="仿宋" w:hAnsi="仿宋" w:eastAsia="仿宋" w:cs="仿宋"/>
          <w:color w:val="000000" w:themeColor="text1"/>
          <w:sz w:val="24"/>
          <w:lang w:val="en-US" w:eastAsia="zh-CN"/>
        </w:rPr>
        <w:t>无创脑血氧饱和度监护仪可在患者麻醉过程中实时监测其脑氧指标，能够及时发现患者脑组织缺氧缺血，从而提示临床采取必要措施，避免脑组织由于缺氧缺血导致的脑损伤，降低术后神经系统后遗症的发生率。</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01ABEA72">
      <w:pPr>
        <w:spacing w:line="440" w:lineRule="exact"/>
        <w:rPr>
          <w:rFonts w:hint="eastAsia" w:ascii="仿宋" w:hAnsi="仿宋" w:eastAsia="仿宋" w:cs="仿宋"/>
          <w:color w:val="000000" w:themeColor="text1"/>
          <w:sz w:val="24"/>
        </w:rPr>
      </w:pPr>
      <w:r>
        <w:rPr>
          <w:rFonts w:hint="eastAsia" w:ascii="仿宋" w:hAnsi="仿宋" w:eastAsia="仿宋" w:cs="仿宋"/>
          <w:b w:val="0"/>
          <w:bCs w:val="0"/>
          <w:color w:val="000000"/>
          <w:sz w:val="24"/>
        </w:rPr>
        <w:t>1.</w:t>
      </w:r>
      <w:r>
        <w:rPr>
          <w:rFonts w:hint="eastAsia" w:ascii="仿宋" w:hAnsi="仿宋" w:eastAsia="仿宋" w:cs="仿宋"/>
          <w:color w:val="000000"/>
          <w:sz w:val="24"/>
        </w:rPr>
        <w:t>▲</w:t>
      </w:r>
      <w:r>
        <w:rPr>
          <w:rFonts w:hint="eastAsia" w:ascii="仿宋" w:hAnsi="仿宋" w:eastAsia="仿宋" w:cs="仿宋"/>
          <w:color w:val="000000" w:themeColor="text1"/>
          <w:sz w:val="24"/>
        </w:rPr>
        <w:t>实时、无创、同步、同屏显示（rSO2局部组织氧饱和度）、（StO2组织氧饱和度）、（SpO2脉搏血氧饱和度）、（THI组织血红蛋白指数）、（CHbO2氧合血红蛋白浓度）、（ΔCHb脱氧血红蛋白浓度变化）、（ΔCtHb总血红蛋白浓度变化）、（BL基线值）、（ΔBL基线变化量）、（AUC曲线下面积）、信号质量。</w:t>
      </w:r>
    </w:p>
    <w:p w14:paraId="3B4DDB4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2.探测光源：五种不同波长的近红外LED： 735nm、760nm、810nm、840nm 、850nm、单个探头的光源及接收器≥</w:t>
      </w: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个。</w:t>
      </w:r>
    </w:p>
    <w:p w14:paraId="34E2E22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3.▲具备报告打印功能，报告中年龄单位具备“天”和“岁”可选。</w:t>
      </w:r>
    </w:p>
    <w:p w14:paraId="7F0BDAF2">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4.★设备通道数：主机通道数</w:t>
      </w:r>
      <w:r>
        <w:rPr>
          <w:rFonts w:hint="eastAsia" w:ascii="仿宋" w:hAnsi="仿宋" w:eastAsia="仿宋" w:cs="仿宋"/>
          <w:color w:val="000000" w:themeColor="text1"/>
          <w:sz w:val="24"/>
          <w:lang w:val="en-US" w:eastAsia="zh-CN"/>
        </w:rPr>
        <w:t>最大可</w:t>
      </w:r>
      <w:r>
        <w:rPr>
          <w:rFonts w:hint="eastAsia" w:ascii="仿宋" w:hAnsi="仿宋" w:eastAsia="仿宋" w:cs="仿宋"/>
          <w:color w:val="000000" w:themeColor="text1"/>
          <w:sz w:val="24"/>
        </w:rPr>
        <w:t>6通道，开通≥5通道</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标准配置4通道</w:t>
      </w:r>
      <w:r>
        <w:rPr>
          <w:rFonts w:hint="eastAsia" w:ascii="仿宋" w:hAnsi="仿宋" w:eastAsia="仿宋" w:cs="仿宋"/>
          <w:color w:val="000000" w:themeColor="text1"/>
          <w:sz w:val="24"/>
        </w:rPr>
        <w:t>。</w:t>
      </w:r>
    </w:p>
    <w:p w14:paraId="04DB66C3">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5.信号质量：各个通道五级信号质量显示，逐级量化显示更利于观察</w:t>
      </w:r>
      <w:r>
        <w:rPr>
          <w:rFonts w:hint="eastAsia" w:ascii="仿宋" w:hAnsi="仿宋" w:eastAsia="仿宋" w:cs="仿宋"/>
          <w:color w:val="000000" w:themeColor="text1"/>
          <w:sz w:val="24"/>
          <w:lang w:eastAsia="zh-CN"/>
        </w:rPr>
        <w:t>。</w:t>
      </w:r>
    </w:p>
    <w:p w14:paraId="7001E93B">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6. 原始数据一秒呈现一次，并可手动编辑去除伪差</w:t>
      </w:r>
      <w:r>
        <w:rPr>
          <w:rFonts w:hint="eastAsia" w:ascii="仿宋" w:hAnsi="仿宋" w:eastAsia="仿宋" w:cs="仿宋"/>
          <w:color w:val="000000" w:themeColor="text1"/>
          <w:sz w:val="24"/>
          <w:lang w:eastAsia="zh-CN"/>
        </w:rPr>
        <w:t>。</w:t>
      </w:r>
    </w:p>
    <w:p w14:paraId="145D6496">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7. ▲单套设备具备同时监测两个不同场景的病人的功能，如：病房内监测和病房外转运同时使用</w:t>
      </w:r>
      <w:r>
        <w:rPr>
          <w:rFonts w:hint="eastAsia" w:ascii="仿宋" w:hAnsi="仿宋" w:eastAsia="仿宋" w:cs="仿宋"/>
          <w:color w:val="000000" w:themeColor="text1"/>
          <w:sz w:val="24"/>
          <w:lang w:eastAsia="zh-CN"/>
        </w:rPr>
        <w:t>。</w:t>
      </w:r>
    </w:p>
    <w:p w14:paraId="5DE8948C">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8．具备无线脑血氧监测系统。</w:t>
      </w:r>
    </w:p>
    <w:p w14:paraId="5D95457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9．▲（rSO2）、（StO2）、（SpO2）误差≤1.5%，</w:t>
      </w:r>
      <w:r>
        <w:rPr>
          <w:rFonts w:hint="eastAsia" w:ascii="仿宋" w:hAnsi="仿宋" w:eastAsia="仿宋" w:cs="仿宋"/>
          <w:color w:val="FF0000"/>
          <w:sz w:val="24"/>
          <w:lang w:val="en-US" w:eastAsia="zh-CN"/>
        </w:rPr>
        <w:t>须</w:t>
      </w:r>
      <w:r>
        <w:rPr>
          <w:rFonts w:hint="eastAsia" w:ascii="仿宋" w:hAnsi="仿宋" w:eastAsia="仿宋" w:cs="仿宋"/>
          <w:color w:val="000000" w:themeColor="text1"/>
          <w:sz w:val="24"/>
        </w:rPr>
        <w:t>提供临床试验报告。</w:t>
      </w:r>
    </w:p>
    <w:p w14:paraId="4B92E89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r>
        <w:rPr>
          <w:rFonts w:hint="eastAsia" w:ascii="仿宋" w:hAnsi="仿宋" w:eastAsia="仿宋" w:cs="仿宋"/>
          <w:color w:val="000000" w:themeColor="text1"/>
          <w:sz w:val="24"/>
        </w:rPr>
        <w:t>★</w:t>
      </w:r>
      <w:r>
        <w:rPr>
          <w:rFonts w:hint="eastAsia" w:ascii="仿宋" w:hAnsi="仿宋" w:eastAsia="仿宋" w:cs="仿宋"/>
          <w:color w:val="FF0000"/>
          <w:sz w:val="24"/>
          <w:lang w:val="en-US" w:eastAsia="zh-CN"/>
        </w:rPr>
        <w:t>设备</w:t>
      </w:r>
      <w:r>
        <w:rPr>
          <w:rFonts w:hint="eastAsia" w:ascii="仿宋" w:hAnsi="仿宋" w:eastAsia="仿宋" w:cs="仿宋"/>
          <w:color w:val="000000" w:themeColor="text1"/>
          <w:sz w:val="24"/>
          <w:lang w:val="en-US" w:eastAsia="zh-CN"/>
        </w:rPr>
        <w:t>使用年限≥5年。</w:t>
      </w:r>
    </w:p>
    <w:p w14:paraId="37A1EF0D">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11.</w:t>
      </w:r>
      <w:r>
        <w:rPr>
          <w:rFonts w:hint="eastAsia" w:ascii="仿宋" w:hAnsi="仿宋" w:eastAsia="仿宋" w:cs="仿宋"/>
          <w:color w:val="FF0000"/>
          <w:sz w:val="24"/>
          <w:lang w:val="en-US" w:eastAsia="zh-CN"/>
        </w:rPr>
        <w:t>一次性耗材须单独报价，有独立医疗器械注册证</w:t>
      </w:r>
      <w:r>
        <w:rPr>
          <w:rFonts w:hint="eastAsia" w:ascii="仿宋" w:hAnsi="仿宋" w:eastAsia="仿宋" w:cs="仿宋"/>
          <w:color w:val="000000" w:themeColor="text1"/>
          <w:sz w:val="24"/>
          <w:lang w:val="en-US" w:eastAsia="zh-CN"/>
        </w:rPr>
        <w:t>。</w:t>
      </w:r>
    </w:p>
    <w:p w14:paraId="3ED13BAA">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12.可重复性使用耗材须单独报价。</w:t>
      </w:r>
    </w:p>
    <w:p w14:paraId="50124363">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13.符合中山市收费项目：局部组织氧饱和度监测310100045N，项目内涵：通过放置于颅骨或躯体上的发光电极，感应局部组织氧饱和度的变化。除外内容：传感器探头。说明书中标明具体含有项目内涵的信息位置。</w:t>
      </w:r>
    </w:p>
    <w:p w14:paraId="0AE3D998">
      <w:pPr>
        <w:numPr>
          <w:ilvl w:val="0"/>
          <w:numId w:val="0"/>
        </w:numPr>
        <w:spacing w:line="440" w:lineRule="exact"/>
        <w:rPr>
          <w:rFonts w:hint="eastAsia" w:ascii="仿宋" w:hAnsi="仿宋" w:eastAsia="仿宋" w:cs="仿宋"/>
          <w:b/>
          <w:color w:val="000000" w:themeColor="text1"/>
          <w:sz w:val="24"/>
        </w:rPr>
      </w:pPr>
      <w:bookmarkStart w:id="0" w:name="_GoBack"/>
      <w:bookmarkEnd w:id="0"/>
    </w:p>
    <w:p w14:paraId="5B198E0B">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每套设备配置要求：</w:t>
      </w:r>
    </w:p>
    <w:tbl>
      <w:tblPr>
        <w:tblStyle w:val="10"/>
        <w:tblW w:w="93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32"/>
        <w:gridCol w:w="4054"/>
        <w:gridCol w:w="996"/>
        <w:gridCol w:w="114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432"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4054"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96"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140"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2432" w:type="dxa"/>
            <w:vAlign w:val="center"/>
          </w:tcPr>
          <w:p w14:paraId="42ECF33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无创脑氧监测仪</w:t>
            </w:r>
            <w:r>
              <w:rPr>
                <w:rFonts w:hint="eastAsia" w:ascii="仿宋" w:hAnsi="仿宋" w:eastAsia="仿宋" w:cs="仿宋"/>
                <w:color w:val="000000" w:themeColor="text1"/>
                <w:sz w:val="24"/>
              </w:rPr>
              <w:t>主机（中文操作系统）</w:t>
            </w:r>
          </w:p>
        </w:tc>
        <w:tc>
          <w:tcPr>
            <w:tcW w:w="4054" w:type="dxa"/>
            <w:vAlign w:val="center"/>
          </w:tcPr>
          <w:p w14:paraId="573C010C">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显示血氧饱和度数值</w:t>
            </w:r>
            <w:r>
              <w:rPr>
                <w:rFonts w:hint="eastAsia" w:ascii="仿宋" w:hAnsi="仿宋" w:eastAsia="仿宋" w:cs="仿宋"/>
                <w:color w:val="000000" w:themeColor="text1"/>
                <w:sz w:val="24"/>
                <w:lang w:val="en-US" w:eastAsia="zh-CN"/>
              </w:rPr>
              <w:t>及</w:t>
            </w:r>
            <w:r>
              <w:rPr>
                <w:rFonts w:hint="eastAsia" w:ascii="仿宋" w:hAnsi="仿宋" w:eastAsia="仿宋" w:cs="仿宋"/>
                <w:color w:val="000000" w:themeColor="text1"/>
                <w:sz w:val="24"/>
              </w:rPr>
              <w:t>报警提示功能</w:t>
            </w:r>
            <w:r>
              <w:rPr>
                <w:rFonts w:hint="eastAsia" w:ascii="仿宋" w:hAnsi="仿宋" w:eastAsia="仿宋" w:cs="仿宋"/>
                <w:color w:val="000000" w:themeColor="text1"/>
                <w:sz w:val="24"/>
                <w:lang w:eastAsia="zh-CN"/>
              </w:rPr>
              <w:t>；</w:t>
            </w:r>
          </w:p>
          <w:p w14:paraId="32527CB9">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实现数据的存储和管理</w:t>
            </w:r>
            <w:r>
              <w:rPr>
                <w:rFonts w:hint="eastAsia" w:ascii="仿宋" w:hAnsi="仿宋" w:eastAsia="仿宋" w:cs="仿宋"/>
                <w:color w:val="000000" w:themeColor="text1"/>
                <w:sz w:val="24"/>
                <w:lang w:val="en-US" w:eastAsia="zh-CN"/>
              </w:rPr>
              <w:t>及导出</w:t>
            </w:r>
            <w:r>
              <w:rPr>
                <w:rFonts w:hint="eastAsia" w:ascii="仿宋" w:hAnsi="仿宋" w:eastAsia="仿宋" w:cs="仿宋"/>
                <w:color w:val="000000" w:themeColor="text1"/>
                <w:sz w:val="24"/>
                <w:lang w:eastAsia="zh-CN"/>
              </w:rPr>
              <w:t>；</w:t>
            </w:r>
          </w:p>
          <w:p w14:paraId="1A1BFE3F">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输入、管理患者信息</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配置通道</w:t>
            </w:r>
            <w:r>
              <w:rPr>
                <w:rFonts w:hint="eastAsia" w:ascii="仿宋" w:hAnsi="仿宋" w:eastAsia="仿宋" w:cs="仿宋"/>
                <w:color w:val="000000" w:themeColor="text1"/>
                <w:sz w:val="24"/>
                <w:lang w:eastAsia="zh-CN"/>
              </w:rPr>
              <w:t>；</w:t>
            </w:r>
          </w:p>
          <w:p w14:paraId="44A66312">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6通道同步采集</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外接显示；</w:t>
            </w:r>
          </w:p>
          <w:p w14:paraId="56244855">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7吋</w:t>
            </w:r>
            <w:r>
              <w:rPr>
                <w:rFonts w:hint="eastAsia" w:ascii="仿宋" w:hAnsi="仿宋" w:eastAsia="仿宋" w:cs="仿宋"/>
                <w:color w:val="000000" w:themeColor="text1"/>
                <w:sz w:val="24"/>
              </w:rPr>
              <w:t>（彩色）液晶屏，支持触摸屏操作</w:t>
            </w:r>
            <w:r>
              <w:rPr>
                <w:rFonts w:hint="eastAsia" w:ascii="仿宋" w:hAnsi="仿宋" w:eastAsia="仿宋" w:cs="仿宋"/>
                <w:color w:val="000000" w:themeColor="text1"/>
                <w:sz w:val="24"/>
                <w:lang w:eastAsia="zh-CN"/>
              </w:rPr>
              <w:t>。</w:t>
            </w:r>
          </w:p>
        </w:tc>
        <w:tc>
          <w:tcPr>
            <w:tcW w:w="996" w:type="dxa"/>
            <w:vAlign w:val="center"/>
          </w:tcPr>
          <w:p w14:paraId="73DFF0D8">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1</w:t>
            </w:r>
          </w:p>
        </w:tc>
        <w:tc>
          <w:tcPr>
            <w:tcW w:w="1140" w:type="dxa"/>
            <w:vAlign w:val="center"/>
          </w:tcPr>
          <w:p w14:paraId="76FEFD8C">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2432" w:type="dxa"/>
            <w:vAlign w:val="center"/>
          </w:tcPr>
          <w:p w14:paraId="31B63238">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电源线</w:t>
            </w:r>
          </w:p>
        </w:tc>
        <w:tc>
          <w:tcPr>
            <w:tcW w:w="4054" w:type="dxa"/>
            <w:vAlign w:val="center"/>
          </w:tcPr>
          <w:p w14:paraId="4B81501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网电源与主机的供电连接</w:t>
            </w:r>
          </w:p>
        </w:tc>
        <w:tc>
          <w:tcPr>
            <w:tcW w:w="996" w:type="dxa"/>
            <w:vAlign w:val="center"/>
          </w:tcPr>
          <w:p w14:paraId="358E2F02">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140" w:type="dxa"/>
            <w:vAlign w:val="center"/>
          </w:tcPr>
          <w:p w14:paraId="6F4FDCA0">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条</w:t>
            </w:r>
          </w:p>
        </w:tc>
      </w:tr>
      <w:tr w14:paraId="57A8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F0F11D0">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2432" w:type="dxa"/>
            <w:vAlign w:val="center"/>
          </w:tcPr>
          <w:p w14:paraId="5F4F0D3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集线器</w:t>
            </w:r>
          </w:p>
        </w:tc>
        <w:tc>
          <w:tcPr>
            <w:tcW w:w="4054" w:type="dxa"/>
            <w:vAlign w:val="center"/>
          </w:tcPr>
          <w:p w14:paraId="7F8FDF6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连接主机与探头</w:t>
            </w:r>
          </w:p>
        </w:tc>
        <w:tc>
          <w:tcPr>
            <w:tcW w:w="996" w:type="dxa"/>
            <w:vAlign w:val="center"/>
          </w:tcPr>
          <w:p w14:paraId="205B8A34">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1</w:t>
            </w:r>
          </w:p>
        </w:tc>
        <w:tc>
          <w:tcPr>
            <w:tcW w:w="1140" w:type="dxa"/>
            <w:vAlign w:val="center"/>
          </w:tcPr>
          <w:p w14:paraId="3ED56BB3">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1311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83EAD35">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2432" w:type="dxa"/>
            <w:vAlign w:val="center"/>
          </w:tcPr>
          <w:p w14:paraId="4F85F7C2">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脑血氧探头</w:t>
            </w:r>
          </w:p>
        </w:tc>
        <w:tc>
          <w:tcPr>
            <w:tcW w:w="4054" w:type="dxa"/>
            <w:vAlign w:val="center"/>
          </w:tcPr>
          <w:p w14:paraId="740B91DF">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完成脑血氧的无创、连续、实时监测</w:t>
            </w:r>
          </w:p>
        </w:tc>
        <w:tc>
          <w:tcPr>
            <w:tcW w:w="996" w:type="dxa"/>
            <w:vAlign w:val="center"/>
          </w:tcPr>
          <w:p w14:paraId="24FEA7A6">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140" w:type="dxa"/>
            <w:vAlign w:val="center"/>
          </w:tcPr>
          <w:p w14:paraId="21438E34">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套</w:t>
            </w:r>
          </w:p>
        </w:tc>
      </w:tr>
      <w:tr w14:paraId="45D4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9CFFF1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2432" w:type="dxa"/>
            <w:vAlign w:val="center"/>
          </w:tcPr>
          <w:p w14:paraId="4C66D4A2">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组织血氧探头</w:t>
            </w:r>
          </w:p>
        </w:tc>
        <w:tc>
          <w:tcPr>
            <w:tcW w:w="4054" w:type="dxa"/>
            <w:vAlign w:val="center"/>
          </w:tcPr>
          <w:p w14:paraId="19CC18B2">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完成组织血氧的无创、连续、实时监测</w:t>
            </w:r>
          </w:p>
        </w:tc>
        <w:tc>
          <w:tcPr>
            <w:tcW w:w="996" w:type="dxa"/>
            <w:vAlign w:val="center"/>
          </w:tcPr>
          <w:p w14:paraId="2A0001E5">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140" w:type="dxa"/>
            <w:vAlign w:val="center"/>
          </w:tcPr>
          <w:p w14:paraId="15E64E58">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套</w:t>
            </w:r>
          </w:p>
        </w:tc>
      </w:tr>
      <w:tr w14:paraId="33A9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F428E2A">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2432" w:type="dxa"/>
            <w:vAlign w:val="center"/>
          </w:tcPr>
          <w:p w14:paraId="67E6248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一次性用脑血氧探头</w:t>
            </w:r>
          </w:p>
        </w:tc>
        <w:tc>
          <w:tcPr>
            <w:tcW w:w="4054" w:type="dxa"/>
            <w:vAlign w:val="center"/>
          </w:tcPr>
          <w:p w14:paraId="28224EB8">
            <w:pPr>
              <w:spacing w:line="440" w:lineRule="exact"/>
              <w:rPr>
                <w:rFonts w:hint="default" w:ascii="仿宋" w:hAnsi="仿宋" w:eastAsia="仿宋" w:cs="仿宋"/>
                <w:color w:val="000000" w:themeColor="text1"/>
                <w:sz w:val="24"/>
                <w:lang w:val="en-US"/>
              </w:rPr>
            </w:pPr>
            <w:r>
              <w:rPr>
                <w:rFonts w:hint="eastAsia" w:ascii="仿宋" w:hAnsi="仿宋" w:eastAsia="仿宋" w:cs="仿宋"/>
                <w:color w:val="000000" w:themeColor="text1"/>
                <w:sz w:val="24"/>
                <w:lang w:val="en-US" w:eastAsia="zh-CN"/>
              </w:rPr>
              <w:t>用于脑氧饱和度监测</w:t>
            </w:r>
          </w:p>
        </w:tc>
        <w:tc>
          <w:tcPr>
            <w:tcW w:w="996" w:type="dxa"/>
            <w:vAlign w:val="center"/>
          </w:tcPr>
          <w:p w14:paraId="4219755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140" w:type="dxa"/>
            <w:vAlign w:val="center"/>
          </w:tcPr>
          <w:p w14:paraId="32E6170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片</w:t>
            </w:r>
          </w:p>
        </w:tc>
      </w:tr>
      <w:tr w14:paraId="0D22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F64EC9D">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2432" w:type="dxa"/>
            <w:vAlign w:val="center"/>
          </w:tcPr>
          <w:p w14:paraId="4C786B5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一次性用组织血氧探头</w:t>
            </w:r>
          </w:p>
        </w:tc>
        <w:tc>
          <w:tcPr>
            <w:tcW w:w="4054" w:type="dxa"/>
            <w:vAlign w:val="center"/>
          </w:tcPr>
          <w:p w14:paraId="10BD2F80">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用于组织氧饱和度监测</w:t>
            </w:r>
          </w:p>
        </w:tc>
        <w:tc>
          <w:tcPr>
            <w:tcW w:w="996" w:type="dxa"/>
            <w:vAlign w:val="center"/>
          </w:tcPr>
          <w:p w14:paraId="55D1962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140" w:type="dxa"/>
            <w:vAlign w:val="center"/>
          </w:tcPr>
          <w:p w14:paraId="2A77A73C">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片</w:t>
            </w:r>
          </w:p>
        </w:tc>
      </w:tr>
    </w:tbl>
    <w:p w14:paraId="371028D9">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且原装进口产品生产日期与交货日期差值≤12个月；国产产品生产日期与交货日期差值≤3个月。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1A5F115B">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000000" w:themeColor="text1"/>
          <w:sz w:val="24"/>
          <w:highlight w:val="none"/>
        </w:rPr>
        <w:t>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yellow"/>
          <w:u w:val="single"/>
        </w:rPr>
        <w:t xml:space="preserve"> </w:t>
      </w:r>
      <w:r>
        <w:rPr>
          <w:rFonts w:hint="eastAsia" w:ascii="仿宋" w:hAnsi="仿宋" w:eastAsia="仿宋" w:cs="仿宋"/>
          <w:color w:val="000000" w:themeColor="text1"/>
          <w:sz w:val="24"/>
          <w:highlight w:val="yellow"/>
          <w:u w:val="single"/>
          <w:lang w:val="en-US" w:eastAsia="zh-CN"/>
        </w:rPr>
        <w:t>2</w:t>
      </w:r>
      <w:r>
        <w:rPr>
          <w:rFonts w:hint="eastAsia" w:ascii="仿宋" w:hAnsi="仿宋" w:eastAsia="仿宋" w:cs="仿宋"/>
          <w:color w:val="000000" w:themeColor="text1"/>
          <w:sz w:val="24"/>
          <w:highlight w:val="yellow"/>
          <w:u w:val="single"/>
        </w:rPr>
        <w:t xml:space="preserve">  </w:t>
      </w:r>
      <w:r>
        <w:rPr>
          <w:rFonts w:hint="eastAsia" w:ascii="仿宋" w:hAnsi="仿宋" w:eastAsia="仿宋" w:cs="仿宋"/>
          <w:color w:val="000000" w:themeColor="text1"/>
          <w:sz w:val="24"/>
          <w:highlight w:val="yellow"/>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color w:val="auto"/>
          <w:sz w:val="24"/>
          <w:highlight w:val="none"/>
        </w:rPr>
        <w:t>★</w:t>
      </w:r>
      <w:r>
        <w:rPr>
          <w:rFonts w:hint="eastAsia" w:ascii="仿宋" w:hAnsi="仿宋" w:eastAsia="仿宋" w:cs="仿宋"/>
          <w:b w:val="0"/>
          <w:bCs/>
          <w:color w:val="000000" w:themeColor="text1"/>
          <w:sz w:val="24"/>
          <w:lang w:val="en-US" w:eastAsia="zh-CN"/>
        </w:rPr>
        <w:t xml:space="preserve">2.5 </w:t>
      </w:r>
      <w:r>
        <w:rPr>
          <w:rFonts w:hint="eastAsia" w:ascii="仿宋" w:hAnsi="仿宋" w:eastAsia="仿宋" w:cs="仿宋"/>
          <w:color w:val="000000" w:themeColor="text1"/>
          <w:sz w:val="24"/>
        </w:rPr>
        <w:t>合同签订后，</w:t>
      </w:r>
      <w:r>
        <w:rPr>
          <w:rFonts w:hint="eastAsia" w:ascii="仿宋" w:hAnsi="仿宋" w:eastAsia="仿宋" w:cs="仿宋"/>
          <w:b w:val="0"/>
          <w:bCs/>
          <w:color w:val="000000" w:themeColor="text1"/>
          <w:sz w:val="24"/>
          <w:lang w:val="en-US" w:eastAsia="zh-CN"/>
        </w:rPr>
        <w:t>在合同履行期间，若中山市医保价格出现下调，则相应检测项目的成本应按同比例减少；若</w:t>
      </w:r>
      <w:r>
        <w:rPr>
          <w:rFonts w:hint="eastAsia" w:ascii="仿宋" w:hAnsi="仿宋" w:eastAsia="仿宋" w:cs="仿宋"/>
          <w:color w:val="000000" w:themeColor="text1"/>
          <w:sz w:val="24"/>
        </w:rPr>
        <w:t>合同设备</w:t>
      </w:r>
      <w:r>
        <w:rPr>
          <w:rFonts w:hint="eastAsia" w:ascii="仿宋" w:hAnsi="仿宋" w:eastAsia="仿宋" w:cs="仿宋"/>
          <w:b w:val="0"/>
          <w:bCs/>
          <w:color w:val="000000" w:themeColor="text1"/>
          <w:sz w:val="24"/>
          <w:lang w:val="en-US" w:eastAsia="zh-CN"/>
        </w:rPr>
        <w:t>所涉及的检测项目被纳入广东省集中采购目录，则应按照集中采购的定价执行。</w:t>
      </w:r>
    </w:p>
    <w:p w14:paraId="6E778991">
      <w:pPr>
        <w:spacing w:line="440" w:lineRule="exact"/>
        <w:rPr>
          <w:rFonts w:hint="eastAsia"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7E8FF6E">
      <w:pPr>
        <w:spacing w:line="440" w:lineRule="exact"/>
        <w:rPr>
          <w:rFonts w:hint="eastAsia" w:ascii="仿宋" w:hAnsi="仿宋" w:eastAsia="仿宋" w:cs="仿宋"/>
          <w:b/>
          <w:bCs/>
          <w:color w:val="000000" w:themeColor="text1"/>
          <w:sz w:val="24"/>
          <w:lang w:val="zh-CN"/>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572E9B8D">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164E2E"/>
    <w:rsid w:val="05AE53ED"/>
    <w:rsid w:val="062976FD"/>
    <w:rsid w:val="07620875"/>
    <w:rsid w:val="09E755B7"/>
    <w:rsid w:val="0A1B12A5"/>
    <w:rsid w:val="0A7B32AF"/>
    <w:rsid w:val="0B983A11"/>
    <w:rsid w:val="0BA01F51"/>
    <w:rsid w:val="0C583667"/>
    <w:rsid w:val="0D55237A"/>
    <w:rsid w:val="0EDA5F4A"/>
    <w:rsid w:val="10AB7B47"/>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1606EA4"/>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1863F2"/>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3395</Words>
  <Characters>3550</Characters>
  <Lines>5</Lines>
  <Paragraphs>1</Paragraphs>
  <TotalTime>10</TotalTime>
  <ScaleCrop>false</ScaleCrop>
  <LinksUpToDate>false</LinksUpToDate>
  <CharactersWithSpaces>3605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2025-08-15T02:48:53Z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