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1162B">
      <w:pPr>
        <w:spacing w:line="440" w:lineRule="exact"/>
        <w:jc w:val="center"/>
        <w:rPr>
          <w:b/>
          <w:bCs/>
          <w:sz w:val="44"/>
          <w:szCs w:val="44"/>
        </w:rPr>
      </w:pPr>
      <w:r>
        <w:rPr>
          <w:rFonts w:hint="eastAsia"/>
          <w:b/>
          <w:bCs/>
          <w:sz w:val="44"/>
          <w:szCs w:val="44"/>
        </w:rPr>
        <w:t>报价单</w:t>
      </w:r>
    </w:p>
    <w:p w14:paraId="17670A9F">
      <w:pPr>
        <w:spacing w:line="440" w:lineRule="exact"/>
        <w:jc w:val="center"/>
        <w:rPr>
          <w:sz w:val="24"/>
          <w:szCs w:val="24"/>
        </w:rPr>
      </w:pPr>
    </w:p>
    <w:p w14:paraId="685A0210">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1E9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273D286">
            <w:pPr>
              <w:spacing w:line="360" w:lineRule="auto"/>
              <w:jc w:val="center"/>
              <w:rPr>
                <w:sz w:val="24"/>
                <w:szCs w:val="24"/>
              </w:rPr>
            </w:pPr>
            <w:r>
              <w:rPr>
                <w:rFonts w:hint="eastAsia"/>
                <w:sz w:val="24"/>
                <w:szCs w:val="24"/>
              </w:rPr>
              <w:t>设备名称</w:t>
            </w:r>
          </w:p>
        </w:tc>
        <w:tc>
          <w:tcPr>
            <w:tcW w:w="5835" w:type="dxa"/>
            <w:vAlign w:val="top"/>
          </w:tcPr>
          <w:p w14:paraId="1C010D08">
            <w:pPr>
              <w:spacing w:line="360" w:lineRule="auto"/>
              <w:jc w:val="left"/>
              <w:rPr>
                <w:sz w:val="24"/>
                <w:szCs w:val="24"/>
              </w:rPr>
            </w:pPr>
          </w:p>
        </w:tc>
      </w:tr>
      <w:tr w14:paraId="3C2F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290D9F">
            <w:pPr>
              <w:spacing w:line="360" w:lineRule="auto"/>
              <w:jc w:val="center"/>
              <w:rPr>
                <w:sz w:val="24"/>
                <w:szCs w:val="24"/>
              </w:rPr>
            </w:pPr>
            <w:r>
              <w:rPr>
                <w:rFonts w:hint="eastAsia"/>
                <w:sz w:val="24"/>
                <w:szCs w:val="24"/>
              </w:rPr>
              <w:t>型号</w:t>
            </w:r>
          </w:p>
        </w:tc>
        <w:tc>
          <w:tcPr>
            <w:tcW w:w="5835" w:type="dxa"/>
            <w:vAlign w:val="top"/>
          </w:tcPr>
          <w:p w14:paraId="411D8CA1">
            <w:pPr>
              <w:spacing w:line="360" w:lineRule="auto"/>
              <w:jc w:val="left"/>
              <w:rPr>
                <w:sz w:val="24"/>
                <w:szCs w:val="24"/>
              </w:rPr>
            </w:pPr>
          </w:p>
        </w:tc>
      </w:tr>
      <w:tr w14:paraId="10B2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45E5C8E">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39B700FD">
            <w:pPr>
              <w:spacing w:line="360" w:lineRule="auto"/>
              <w:jc w:val="left"/>
              <w:rPr>
                <w:sz w:val="24"/>
                <w:szCs w:val="24"/>
              </w:rPr>
            </w:pPr>
          </w:p>
        </w:tc>
      </w:tr>
      <w:tr w14:paraId="0373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EAB4738">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1F28C7F0">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303657B">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391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05781BA">
            <w:pPr>
              <w:spacing w:line="360" w:lineRule="auto"/>
              <w:jc w:val="center"/>
              <w:rPr>
                <w:sz w:val="24"/>
                <w:szCs w:val="24"/>
              </w:rPr>
            </w:pPr>
            <w:r>
              <w:rPr>
                <w:rFonts w:hint="eastAsia"/>
                <w:sz w:val="24"/>
                <w:szCs w:val="24"/>
              </w:rPr>
              <w:t>产地</w:t>
            </w:r>
          </w:p>
        </w:tc>
        <w:tc>
          <w:tcPr>
            <w:tcW w:w="5835" w:type="dxa"/>
            <w:vAlign w:val="top"/>
          </w:tcPr>
          <w:p w14:paraId="7B795691">
            <w:pPr>
              <w:spacing w:line="360" w:lineRule="auto"/>
              <w:jc w:val="left"/>
              <w:rPr>
                <w:sz w:val="24"/>
                <w:szCs w:val="24"/>
              </w:rPr>
            </w:pPr>
          </w:p>
        </w:tc>
      </w:tr>
      <w:tr w14:paraId="03C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345C2D5">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DEAE9DA">
            <w:pPr>
              <w:spacing w:line="360" w:lineRule="auto"/>
              <w:jc w:val="left"/>
              <w:rPr>
                <w:sz w:val="24"/>
                <w:szCs w:val="24"/>
              </w:rPr>
            </w:pPr>
          </w:p>
        </w:tc>
      </w:tr>
      <w:tr w14:paraId="2B7D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79B700C">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42F4BC82">
            <w:pPr>
              <w:spacing w:line="360" w:lineRule="auto"/>
              <w:jc w:val="left"/>
              <w:rPr>
                <w:sz w:val="24"/>
                <w:szCs w:val="24"/>
              </w:rPr>
            </w:pPr>
          </w:p>
        </w:tc>
      </w:tr>
      <w:tr w14:paraId="50CD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2589BC8">
            <w:pPr>
              <w:spacing w:line="360" w:lineRule="auto"/>
              <w:jc w:val="center"/>
              <w:rPr>
                <w:sz w:val="24"/>
                <w:szCs w:val="24"/>
              </w:rPr>
            </w:pPr>
            <w:r>
              <w:rPr>
                <w:rFonts w:hint="eastAsia"/>
                <w:sz w:val="24"/>
                <w:szCs w:val="24"/>
              </w:rPr>
              <w:t>单价（元）</w:t>
            </w:r>
          </w:p>
        </w:tc>
        <w:tc>
          <w:tcPr>
            <w:tcW w:w="5835" w:type="dxa"/>
            <w:vAlign w:val="top"/>
          </w:tcPr>
          <w:p w14:paraId="1FFE8330">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BC1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4E0218">
            <w:pPr>
              <w:spacing w:line="360" w:lineRule="auto"/>
              <w:jc w:val="center"/>
              <w:rPr>
                <w:sz w:val="24"/>
                <w:szCs w:val="24"/>
              </w:rPr>
            </w:pPr>
            <w:r>
              <w:rPr>
                <w:rFonts w:hint="eastAsia"/>
                <w:sz w:val="24"/>
                <w:szCs w:val="24"/>
              </w:rPr>
              <w:t>总价（元）</w:t>
            </w:r>
          </w:p>
        </w:tc>
        <w:tc>
          <w:tcPr>
            <w:tcW w:w="5835" w:type="dxa"/>
            <w:vAlign w:val="top"/>
          </w:tcPr>
          <w:p w14:paraId="6B67BA56">
            <w:pPr>
              <w:spacing w:line="360" w:lineRule="auto"/>
              <w:jc w:val="left"/>
              <w:rPr>
                <w:sz w:val="24"/>
                <w:szCs w:val="24"/>
              </w:rPr>
            </w:pPr>
          </w:p>
        </w:tc>
      </w:tr>
      <w:tr w14:paraId="2C6A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4374A0">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0A3BC78D">
            <w:pPr>
              <w:spacing w:line="360" w:lineRule="auto"/>
              <w:jc w:val="left"/>
              <w:rPr>
                <w:rFonts w:hint="eastAsia"/>
                <w:sz w:val="21"/>
                <w:szCs w:val="21"/>
                <w:lang w:val="en-US" w:eastAsia="zh-CN"/>
              </w:rPr>
            </w:pPr>
          </w:p>
          <w:p w14:paraId="6322FACF">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12FC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FA57033">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308A4255">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289E29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70259760">
      <w:pPr>
        <w:jc w:val="center"/>
        <w:rPr>
          <w:rFonts w:hint="eastAsia"/>
          <w:sz w:val="24"/>
          <w:szCs w:val="24"/>
        </w:rPr>
      </w:pPr>
      <w:r>
        <w:rPr>
          <w:rFonts w:hint="eastAsia"/>
          <w:sz w:val="24"/>
          <w:szCs w:val="24"/>
        </w:rPr>
        <w:t xml:space="preserve">                                                                              </w:t>
      </w:r>
    </w:p>
    <w:p w14:paraId="3E2DECB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FA1EE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0D187B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D1A715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EDF75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80518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2368489F">
      <w:pPr>
        <w:spacing w:line="440" w:lineRule="exact"/>
        <w:rPr>
          <w:rFonts w:hint="eastAsia"/>
          <w:b/>
          <w:bCs/>
          <w:color w:val="0000FF"/>
          <w:sz w:val="21"/>
          <w:szCs w:val="21"/>
        </w:rPr>
      </w:pPr>
      <w:r>
        <w:rPr>
          <w:rFonts w:hint="eastAsia"/>
          <w:b/>
          <w:bCs/>
          <w:color w:val="0000FF"/>
          <w:sz w:val="21"/>
          <w:szCs w:val="21"/>
        </w:rPr>
        <w:t>报价供应商须同时提供以下资料：</w:t>
      </w:r>
    </w:p>
    <w:p w14:paraId="4E490049">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A98DC3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20F0EB61">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488AF2BC">
      <w:pPr>
        <w:pStyle w:val="3"/>
        <w:ind w:left="0" w:leftChars="0" w:firstLine="0" w:firstLineChars="0"/>
        <w:rPr>
          <w:rFonts w:hint="eastAsia"/>
          <w:b/>
          <w:bCs/>
          <w:color w:val="0000FF"/>
          <w:sz w:val="24"/>
        </w:rPr>
      </w:pPr>
    </w:p>
    <w:p w14:paraId="51F83B85">
      <w:pPr>
        <w:pStyle w:val="3"/>
        <w:rPr>
          <w:rFonts w:hint="eastAsia"/>
          <w:b/>
          <w:bCs/>
          <w:color w:val="0000FF"/>
          <w:sz w:val="24"/>
        </w:rPr>
      </w:pPr>
    </w:p>
    <w:p w14:paraId="7B5282FF">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A06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341B3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67CBAA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C000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4746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07066E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5BC70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47CF2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AEA4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3AA0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40BA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8696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7E41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4CC74D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CA1EE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48529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AA62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3DD68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0F4E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05EAE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DE99B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4CAC6A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2B3CCF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90CD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34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2DAD266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E2C726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54EF92E">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9B75BA5">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CBEDD8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150A9AD">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A76144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427534F">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696C897">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CC269FB">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BFEB4CE">
            <w:pPr>
              <w:jc w:val="center"/>
              <w:rPr>
                <w:rFonts w:hint="eastAsia" w:ascii="宋体" w:hAnsi="宋体" w:eastAsia="宋体" w:cs="宋体"/>
                <w:i w:val="0"/>
                <w:iCs w:val="0"/>
                <w:color w:val="000000"/>
                <w:sz w:val="18"/>
                <w:szCs w:val="18"/>
                <w:u w:val="none"/>
              </w:rPr>
            </w:pPr>
          </w:p>
        </w:tc>
      </w:tr>
      <w:tr w14:paraId="657B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1915C58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E390240">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AA27971">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9A5E037">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1A1BB72">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B663EF8">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7606C7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AA3835C">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EBFF33A">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D40744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CCD1F6D">
            <w:pPr>
              <w:rPr>
                <w:rFonts w:hint="eastAsia" w:ascii="宋体" w:hAnsi="宋体" w:eastAsia="宋体" w:cs="宋体"/>
                <w:i w:val="0"/>
                <w:iCs w:val="0"/>
                <w:color w:val="000000"/>
                <w:sz w:val="18"/>
                <w:szCs w:val="18"/>
                <w:u w:val="none"/>
              </w:rPr>
            </w:pPr>
          </w:p>
        </w:tc>
      </w:tr>
    </w:tbl>
    <w:p w14:paraId="5E3156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A3AD1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7E893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3C08DC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D1854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7721D1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D1ED5F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52740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9E1F6F2">
      <w:pPr>
        <w:spacing w:line="440" w:lineRule="exact"/>
        <w:jc w:val="center"/>
        <w:rPr>
          <w:rFonts w:hint="eastAsia"/>
          <w:b/>
          <w:sz w:val="32"/>
          <w:szCs w:val="32"/>
        </w:rPr>
      </w:pPr>
    </w:p>
    <w:p w14:paraId="31D94CC9">
      <w:pPr>
        <w:spacing w:line="440" w:lineRule="exact"/>
        <w:jc w:val="center"/>
        <w:rPr>
          <w:rFonts w:hint="eastAsia"/>
          <w:b/>
          <w:sz w:val="32"/>
          <w:szCs w:val="32"/>
        </w:rPr>
      </w:pPr>
    </w:p>
    <w:p w14:paraId="78EAB372">
      <w:pPr>
        <w:spacing w:line="440" w:lineRule="exact"/>
        <w:jc w:val="both"/>
        <w:rPr>
          <w:rFonts w:hint="eastAsia"/>
          <w:b/>
          <w:sz w:val="32"/>
          <w:szCs w:val="32"/>
        </w:rPr>
      </w:pPr>
    </w:p>
    <w:p w14:paraId="2081A32A">
      <w:pPr>
        <w:pStyle w:val="3"/>
        <w:rPr>
          <w:rFonts w:hint="eastAsia"/>
          <w:b/>
          <w:sz w:val="32"/>
          <w:szCs w:val="32"/>
        </w:rPr>
      </w:pPr>
    </w:p>
    <w:p w14:paraId="04ED2909">
      <w:pPr>
        <w:pStyle w:val="3"/>
        <w:rPr>
          <w:rFonts w:hint="eastAsia"/>
          <w:b/>
          <w:sz w:val="32"/>
          <w:szCs w:val="32"/>
        </w:rPr>
      </w:pPr>
    </w:p>
    <w:p w14:paraId="44A65B31">
      <w:pPr>
        <w:pStyle w:val="3"/>
        <w:rPr>
          <w:rFonts w:hint="eastAsia"/>
          <w:b/>
          <w:sz w:val="32"/>
          <w:szCs w:val="32"/>
        </w:rPr>
      </w:pPr>
    </w:p>
    <w:p w14:paraId="2B48876C">
      <w:pPr>
        <w:pStyle w:val="3"/>
        <w:rPr>
          <w:rFonts w:hint="eastAsia"/>
          <w:b/>
          <w:sz w:val="32"/>
          <w:szCs w:val="32"/>
        </w:rPr>
      </w:pPr>
    </w:p>
    <w:p w14:paraId="6F598589">
      <w:pPr>
        <w:spacing w:line="440" w:lineRule="exact"/>
        <w:jc w:val="center"/>
        <w:rPr>
          <w:rFonts w:hint="eastAsia"/>
          <w:b/>
          <w:sz w:val="32"/>
          <w:szCs w:val="32"/>
        </w:rPr>
      </w:pPr>
    </w:p>
    <w:p w14:paraId="0AF90A45">
      <w:pPr>
        <w:spacing w:line="440" w:lineRule="exact"/>
        <w:jc w:val="both"/>
        <w:rPr>
          <w:rFonts w:hint="eastAsia"/>
          <w:b/>
          <w:sz w:val="32"/>
          <w:szCs w:val="32"/>
        </w:rPr>
      </w:pPr>
    </w:p>
    <w:p w14:paraId="34426B16">
      <w:pPr>
        <w:spacing w:line="440" w:lineRule="exact"/>
        <w:jc w:val="center"/>
        <w:rPr>
          <w:rFonts w:hint="eastAsia"/>
          <w:b/>
          <w:sz w:val="32"/>
          <w:szCs w:val="32"/>
        </w:rPr>
      </w:pPr>
    </w:p>
    <w:p w14:paraId="31FDDDC6">
      <w:pPr>
        <w:spacing w:line="440" w:lineRule="exact"/>
        <w:jc w:val="center"/>
        <w:rPr>
          <w:b/>
          <w:sz w:val="32"/>
          <w:szCs w:val="32"/>
        </w:rPr>
      </w:pPr>
      <w:r>
        <w:rPr>
          <w:rFonts w:hint="eastAsia"/>
          <w:b/>
          <w:sz w:val="32"/>
          <w:szCs w:val="32"/>
        </w:rPr>
        <w:t>参数偏离情况表</w:t>
      </w:r>
    </w:p>
    <w:p w14:paraId="1944E4D2">
      <w:pPr>
        <w:spacing w:line="440" w:lineRule="exact"/>
        <w:rPr>
          <w:b/>
          <w:bCs/>
          <w:sz w:val="24"/>
        </w:rPr>
      </w:pPr>
      <w:r>
        <w:rPr>
          <w:rFonts w:hint="eastAsia"/>
          <w:b/>
          <w:bCs/>
          <w:sz w:val="24"/>
        </w:rPr>
        <w:t>填写要求：</w:t>
      </w:r>
    </w:p>
    <w:p w14:paraId="4602697E">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1189B96A">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0B36C800">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E022054">
      <w:pPr>
        <w:spacing w:line="380" w:lineRule="exact"/>
        <w:rPr>
          <w:rFonts w:ascii="宋体" w:hAnsi="宋体"/>
          <w:color w:val="000000"/>
          <w:szCs w:val="21"/>
        </w:rPr>
      </w:pPr>
    </w:p>
    <w:p w14:paraId="203D4CF5">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8F0E147">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303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013FA9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15F03F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2C4232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1E3A0B6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53BCFB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458AA5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617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89B95C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485C721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612B43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2DC3C1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6C21627">
            <w:pPr>
              <w:widowControl/>
              <w:spacing w:line="440" w:lineRule="exact"/>
              <w:rPr>
                <w:rFonts w:ascii="宋体" w:hAnsi="宋体" w:cs="宋体"/>
                <w:bCs/>
                <w:sz w:val="18"/>
                <w:szCs w:val="18"/>
              </w:rPr>
            </w:pPr>
          </w:p>
        </w:tc>
      </w:tr>
      <w:tr w14:paraId="756B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E8D0A5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2E25A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B955CDA">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D0921B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20D6259">
            <w:pPr>
              <w:widowControl/>
              <w:spacing w:line="440" w:lineRule="exact"/>
              <w:rPr>
                <w:rFonts w:ascii="宋体" w:hAnsi="宋体" w:cs="宋体"/>
                <w:bCs/>
                <w:sz w:val="18"/>
                <w:szCs w:val="18"/>
              </w:rPr>
            </w:pPr>
          </w:p>
        </w:tc>
      </w:tr>
      <w:tr w14:paraId="48FF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96BFB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B6B190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1F4FB9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BF31E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B750431">
            <w:pPr>
              <w:widowControl/>
              <w:spacing w:line="440" w:lineRule="exact"/>
              <w:rPr>
                <w:rFonts w:ascii="宋体" w:hAnsi="宋体" w:cs="宋体"/>
                <w:bCs/>
                <w:sz w:val="18"/>
                <w:szCs w:val="18"/>
              </w:rPr>
            </w:pPr>
          </w:p>
        </w:tc>
      </w:tr>
      <w:tr w14:paraId="27EC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8AC8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A25F2F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A23EE1D">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51D15B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2CBE8A7">
            <w:pPr>
              <w:widowControl/>
              <w:spacing w:line="440" w:lineRule="exact"/>
              <w:rPr>
                <w:rFonts w:ascii="宋体" w:hAnsi="宋体" w:cs="宋体"/>
                <w:bCs/>
                <w:sz w:val="18"/>
                <w:szCs w:val="18"/>
              </w:rPr>
            </w:pPr>
          </w:p>
        </w:tc>
      </w:tr>
      <w:tr w14:paraId="2AF7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EC050D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0F5933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0340B39">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A69B60A">
            <w:pPr>
              <w:spacing w:line="440" w:lineRule="exact"/>
              <w:jc w:val="center"/>
              <w:rPr>
                <w:rFonts w:ascii="宋体" w:hAnsi="宋体" w:cs="宋体"/>
                <w:bCs/>
                <w:sz w:val="18"/>
                <w:szCs w:val="18"/>
              </w:rPr>
            </w:pPr>
          </w:p>
        </w:tc>
        <w:tc>
          <w:tcPr>
            <w:tcW w:w="1669" w:type="dxa"/>
            <w:shd w:val="clear" w:color="000000" w:fill="FFFFFF"/>
            <w:noWrap/>
            <w:vAlign w:val="center"/>
          </w:tcPr>
          <w:p w14:paraId="7EB15299">
            <w:pPr>
              <w:widowControl/>
              <w:spacing w:line="440" w:lineRule="exact"/>
              <w:rPr>
                <w:rFonts w:ascii="宋体" w:hAnsi="宋体" w:cs="宋体"/>
                <w:bCs/>
                <w:sz w:val="18"/>
                <w:szCs w:val="18"/>
              </w:rPr>
            </w:pPr>
          </w:p>
        </w:tc>
      </w:tr>
      <w:tr w14:paraId="7732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39DE08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AB8B9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4AE30A">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2445ECC">
            <w:pPr>
              <w:spacing w:line="440" w:lineRule="exact"/>
              <w:jc w:val="center"/>
              <w:rPr>
                <w:rFonts w:ascii="宋体" w:hAnsi="宋体" w:cs="宋体"/>
                <w:bCs/>
                <w:sz w:val="18"/>
                <w:szCs w:val="18"/>
              </w:rPr>
            </w:pPr>
          </w:p>
        </w:tc>
        <w:tc>
          <w:tcPr>
            <w:tcW w:w="1669" w:type="dxa"/>
            <w:shd w:val="clear" w:color="000000" w:fill="FFFFFF"/>
            <w:noWrap/>
            <w:vAlign w:val="center"/>
          </w:tcPr>
          <w:p w14:paraId="5F775A44">
            <w:pPr>
              <w:widowControl/>
              <w:spacing w:line="440" w:lineRule="exact"/>
              <w:rPr>
                <w:rFonts w:ascii="宋体" w:hAnsi="宋体" w:cs="宋体"/>
                <w:bCs/>
                <w:sz w:val="18"/>
                <w:szCs w:val="18"/>
              </w:rPr>
            </w:pPr>
          </w:p>
        </w:tc>
      </w:tr>
      <w:tr w14:paraId="1D3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DA1220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ECCE3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32D925">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F24C2C1">
            <w:pPr>
              <w:spacing w:line="440" w:lineRule="exact"/>
              <w:jc w:val="center"/>
              <w:rPr>
                <w:rFonts w:ascii="宋体" w:hAnsi="宋体" w:cs="宋体"/>
                <w:bCs/>
                <w:sz w:val="18"/>
                <w:szCs w:val="18"/>
              </w:rPr>
            </w:pPr>
          </w:p>
        </w:tc>
        <w:tc>
          <w:tcPr>
            <w:tcW w:w="1669" w:type="dxa"/>
            <w:shd w:val="clear" w:color="000000" w:fill="FFFFFF"/>
            <w:noWrap/>
            <w:vAlign w:val="center"/>
          </w:tcPr>
          <w:p w14:paraId="005B6B92">
            <w:pPr>
              <w:widowControl/>
              <w:spacing w:line="440" w:lineRule="exact"/>
              <w:rPr>
                <w:rFonts w:ascii="宋体" w:hAnsi="宋体" w:cs="宋体"/>
                <w:bCs/>
                <w:sz w:val="18"/>
                <w:szCs w:val="18"/>
              </w:rPr>
            </w:pPr>
          </w:p>
        </w:tc>
      </w:tr>
    </w:tbl>
    <w:p w14:paraId="6780FC65">
      <w:pPr>
        <w:spacing w:line="340" w:lineRule="exact"/>
        <w:rPr>
          <w:rFonts w:ascii="宋体"/>
          <w:sz w:val="30"/>
          <w:szCs w:val="30"/>
        </w:rPr>
      </w:pPr>
    </w:p>
    <w:p w14:paraId="4D447CB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B6C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9300CB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0C118A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EFA865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DB62BC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6A138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FD76D6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44B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B1260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D7BC4D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FDD75A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59528D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898AD44">
            <w:pPr>
              <w:widowControl/>
              <w:spacing w:line="440" w:lineRule="exact"/>
              <w:rPr>
                <w:rFonts w:ascii="宋体" w:hAnsi="宋体" w:cs="宋体"/>
                <w:bCs/>
                <w:sz w:val="18"/>
                <w:szCs w:val="18"/>
              </w:rPr>
            </w:pPr>
          </w:p>
        </w:tc>
      </w:tr>
      <w:tr w14:paraId="4C8C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DD0C00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7A0859B">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7AEEA6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458BAA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AB657B3">
            <w:pPr>
              <w:widowControl/>
              <w:spacing w:line="440" w:lineRule="exact"/>
              <w:rPr>
                <w:rFonts w:ascii="宋体" w:hAnsi="宋体" w:cs="宋体"/>
                <w:bCs/>
                <w:sz w:val="18"/>
                <w:szCs w:val="18"/>
              </w:rPr>
            </w:pPr>
          </w:p>
        </w:tc>
      </w:tr>
      <w:tr w14:paraId="5C48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101E2F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9B6BA7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FFFC1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7F32F8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2D18367">
            <w:pPr>
              <w:widowControl/>
              <w:spacing w:line="440" w:lineRule="exact"/>
              <w:rPr>
                <w:rFonts w:ascii="宋体" w:hAnsi="宋体" w:cs="宋体"/>
                <w:bCs/>
                <w:sz w:val="18"/>
                <w:szCs w:val="18"/>
              </w:rPr>
            </w:pPr>
          </w:p>
        </w:tc>
      </w:tr>
      <w:tr w14:paraId="0045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BA623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2DFDBEF">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0AC0B4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90A4C0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D0D50B8">
            <w:pPr>
              <w:widowControl/>
              <w:spacing w:line="440" w:lineRule="exact"/>
              <w:rPr>
                <w:rFonts w:ascii="宋体" w:hAnsi="宋体" w:cs="宋体"/>
                <w:bCs/>
                <w:sz w:val="18"/>
                <w:szCs w:val="18"/>
              </w:rPr>
            </w:pPr>
          </w:p>
        </w:tc>
      </w:tr>
      <w:tr w14:paraId="0AB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33FEE38">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F96811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2EA792D">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A2CB733">
            <w:pPr>
              <w:spacing w:line="440" w:lineRule="exact"/>
              <w:jc w:val="center"/>
              <w:rPr>
                <w:rFonts w:ascii="宋体" w:hAnsi="宋体" w:cs="宋体"/>
                <w:bCs/>
                <w:sz w:val="18"/>
                <w:szCs w:val="18"/>
              </w:rPr>
            </w:pPr>
          </w:p>
        </w:tc>
        <w:tc>
          <w:tcPr>
            <w:tcW w:w="1669" w:type="dxa"/>
            <w:shd w:val="clear" w:color="000000" w:fill="FFFFFF"/>
            <w:noWrap/>
            <w:vAlign w:val="center"/>
          </w:tcPr>
          <w:p w14:paraId="1317AFAE">
            <w:pPr>
              <w:widowControl/>
              <w:spacing w:line="440" w:lineRule="exact"/>
              <w:rPr>
                <w:rFonts w:ascii="宋体" w:hAnsi="宋体" w:cs="宋体"/>
                <w:bCs/>
                <w:sz w:val="18"/>
                <w:szCs w:val="18"/>
              </w:rPr>
            </w:pPr>
          </w:p>
        </w:tc>
      </w:tr>
      <w:tr w14:paraId="6D93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604BC3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59E23B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05F8769">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7E48B6F">
            <w:pPr>
              <w:spacing w:line="440" w:lineRule="exact"/>
              <w:jc w:val="center"/>
              <w:rPr>
                <w:rFonts w:ascii="宋体" w:hAnsi="宋体" w:cs="宋体"/>
                <w:bCs/>
                <w:sz w:val="18"/>
                <w:szCs w:val="18"/>
              </w:rPr>
            </w:pPr>
          </w:p>
        </w:tc>
        <w:tc>
          <w:tcPr>
            <w:tcW w:w="1669" w:type="dxa"/>
            <w:shd w:val="clear" w:color="000000" w:fill="FFFFFF"/>
            <w:noWrap/>
            <w:vAlign w:val="center"/>
          </w:tcPr>
          <w:p w14:paraId="5B7F6D0D">
            <w:pPr>
              <w:widowControl/>
              <w:spacing w:line="440" w:lineRule="exact"/>
              <w:rPr>
                <w:rFonts w:ascii="宋体" w:hAnsi="宋体" w:cs="宋体"/>
                <w:bCs/>
                <w:sz w:val="18"/>
                <w:szCs w:val="18"/>
              </w:rPr>
            </w:pPr>
          </w:p>
        </w:tc>
      </w:tr>
      <w:tr w14:paraId="4F11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B72206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D1F09D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A77BF2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3E5FC9F">
            <w:pPr>
              <w:spacing w:line="440" w:lineRule="exact"/>
              <w:jc w:val="center"/>
              <w:rPr>
                <w:rFonts w:ascii="宋体" w:hAnsi="宋体" w:cs="宋体"/>
                <w:bCs/>
                <w:sz w:val="18"/>
                <w:szCs w:val="18"/>
              </w:rPr>
            </w:pPr>
          </w:p>
        </w:tc>
        <w:tc>
          <w:tcPr>
            <w:tcW w:w="1669" w:type="dxa"/>
            <w:shd w:val="clear" w:color="000000" w:fill="FFFFFF"/>
            <w:noWrap/>
            <w:vAlign w:val="center"/>
          </w:tcPr>
          <w:p w14:paraId="58329A31">
            <w:pPr>
              <w:widowControl/>
              <w:spacing w:line="440" w:lineRule="exact"/>
              <w:rPr>
                <w:rFonts w:ascii="宋体" w:hAnsi="宋体" w:cs="宋体"/>
                <w:bCs/>
                <w:sz w:val="18"/>
                <w:szCs w:val="18"/>
              </w:rPr>
            </w:pPr>
          </w:p>
        </w:tc>
      </w:tr>
    </w:tbl>
    <w:p w14:paraId="2B963B0B">
      <w:pPr>
        <w:tabs>
          <w:tab w:val="left" w:pos="720"/>
        </w:tabs>
        <w:spacing w:line="340" w:lineRule="exact"/>
        <w:jc w:val="left"/>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shd w:val="clear" w:color="auto" w:fill="auto"/>
            <w:vAlign w:val="top"/>
          </w:tcPr>
          <w:p w14:paraId="13984A27">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项目名称</w:t>
            </w:r>
          </w:p>
        </w:tc>
        <w:tc>
          <w:tcPr>
            <w:tcW w:w="2268" w:type="dxa"/>
            <w:shd w:val="clear" w:color="auto" w:fill="auto"/>
            <w:vAlign w:val="top"/>
          </w:tcPr>
          <w:p w14:paraId="7F5D6F74">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需求科室/部门</w:t>
            </w:r>
          </w:p>
        </w:tc>
        <w:tc>
          <w:tcPr>
            <w:tcW w:w="2508" w:type="dxa"/>
            <w:shd w:val="clear" w:color="auto" w:fill="auto"/>
            <w:vAlign w:val="top"/>
          </w:tcPr>
          <w:p w14:paraId="63282998">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shd w:val="clear" w:color="auto" w:fill="auto"/>
            <w:vAlign w:val="top"/>
          </w:tcPr>
          <w:p w14:paraId="611AB3E1">
            <w:p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一氧化氮治疗仪</w:t>
            </w:r>
          </w:p>
        </w:tc>
        <w:tc>
          <w:tcPr>
            <w:tcW w:w="2268" w:type="dxa"/>
            <w:shd w:val="clear" w:color="auto" w:fill="auto"/>
            <w:vAlign w:val="top"/>
          </w:tcPr>
          <w:p w14:paraId="0EC00C6E">
            <w:p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麻醉科</w:t>
            </w:r>
          </w:p>
        </w:tc>
        <w:tc>
          <w:tcPr>
            <w:tcW w:w="2508" w:type="dxa"/>
            <w:shd w:val="clear" w:color="auto" w:fill="auto"/>
            <w:vAlign w:val="top"/>
          </w:tcPr>
          <w:p w14:paraId="12EEE828">
            <w:p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核心产品：一氧化氮治疗仪</w:t>
      </w:r>
    </w:p>
    <w:p w14:paraId="26B12F7A">
      <w:pPr>
        <w:spacing w:line="440" w:lineRule="exact"/>
        <w:rPr>
          <w:rFonts w:ascii="仿宋" w:hAnsi="仿宋" w:eastAsia="仿宋" w:cs="仿宋"/>
          <w:color w:val="000000" w:themeColor="text1"/>
          <w:sz w:val="24"/>
        </w:rPr>
      </w:pPr>
    </w:p>
    <w:p w14:paraId="724659E1">
      <w:pPr>
        <w:spacing w:line="440" w:lineRule="exact"/>
        <w:rPr>
          <w:rFonts w:hint="eastAsia" w:ascii="仿宋" w:hAnsi="仿宋" w:eastAsia="仿宋" w:cs="仿宋"/>
          <w:color w:val="000000" w:themeColor="text1"/>
          <w:sz w:val="24"/>
          <w:highlight w:val="yellow"/>
        </w:rPr>
      </w:pPr>
      <w:r>
        <w:rPr>
          <w:rFonts w:hint="eastAsia" w:ascii="仿宋" w:hAnsi="仿宋" w:eastAsia="仿宋" w:cs="仿宋"/>
          <w:color w:val="000000" w:themeColor="text1"/>
          <w:sz w:val="24"/>
        </w:rPr>
        <w:t>用途：设备即时产生一氧化氮气体，与呼吸机或麻醉机连用，临床用于肺动脉高压治疗及肺动脉高压危象的急救。</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1999915F">
      <w:pPr>
        <w:spacing w:line="360" w:lineRule="auto"/>
        <w:rPr>
          <w:rFonts w:hint="eastAsia" w:ascii="仿宋" w:hAnsi="仿宋" w:eastAsia="仿宋" w:cs="Times New Roman"/>
          <w:sz w:val="24"/>
        </w:rPr>
      </w:pPr>
      <w:r>
        <w:rPr>
          <w:rFonts w:hint="eastAsia" w:ascii="仿宋" w:hAnsi="仿宋" w:eastAsia="仿宋" w:cs="Times New Roman"/>
          <w:sz w:val="24"/>
        </w:rPr>
        <w:t>1.</w:t>
      </w:r>
      <w:r>
        <w:rPr>
          <w:rFonts w:ascii="仿宋" w:hAnsi="仿宋" w:eastAsia="仿宋" w:cs="Times New Roman"/>
          <w:sz w:val="24"/>
        </w:rPr>
        <w:t>设备功能：设备可自行、实时产生一氧化氮气体</w:t>
      </w:r>
      <w:r>
        <w:rPr>
          <w:rFonts w:hint="eastAsia" w:ascii="仿宋" w:hAnsi="仿宋" w:eastAsia="仿宋" w:cs="Times New Roman"/>
          <w:sz w:val="24"/>
        </w:rPr>
        <w:t>；</w:t>
      </w:r>
      <w:r>
        <w:rPr>
          <w:rFonts w:ascii="仿宋" w:hAnsi="仿宋" w:eastAsia="仿宋" w:cs="Times New Roman"/>
          <w:sz w:val="24"/>
        </w:rPr>
        <w:t xml:space="preserve"> </w:t>
      </w:r>
    </w:p>
    <w:p w14:paraId="44CBA40F">
      <w:pPr>
        <w:spacing w:line="360" w:lineRule="auto"/>
        <w:rPr>
          <w:rFonts w:hint="eastAsia" w:ascii="仿宋" w:hAnsi="仿宋" w:eastAsia="仿宋" w:cs="Times New Roman"/>
          <w:sz w:val="24"/>
        </w:rPr>
      </w:pPr>
      <w:r>
        <w:rPr>
          <w:rFonts w:ascii="仿宋" w:hAnsi="仿宋" w:eastAsia="仿宋" w:cs="Times New Roman"/>
          <w:sz w:val="24"/>
        </w:rPr>
        <w:t>2.设备能够精准控制一氧化氮气体浓度，可直接设置“NO浓度”，无需设置NO气体流量值</w:t>
      </w:r>
      <w:r>
        <w:rPr>
          <w:rFonts w:hint="eastAsia" w:ascii="仿宋" w:hAnsi="仿宋" w:eastAsia="仿宋" w:cs="Times New Roman"/>
          <w:sz w:val="24"/>
        </w:rPr>
        <w:t>；</w:t>
      </w:r>
    </w:p>
    <w:p w14:paraId="211192A2">
      <w:pPr>
        <w:spacing w:line="360" w:lineRule="auto"/>
        <w:rPr>
          <w:rFonts w:hint="eastAsia" w:ascii="仿宋" w:hAnsi="仿宋" w:eastAsia="仿宋" w:cs="Times New Roman"/>
          <w:sz w:val="24"/>
        </w:rPr>
      </w:pPr>
      <w:r>
        <w:rPr>
          <w:rFonts w:hint="eastAsia" w:ascii="仿宋" w:hAnsi="仿宋" w:eastAsia="仿宋" w:cs="Times New Roman"/>
          <w:sz w:val="24"/>
        </w:rPr>
        <w:t>3.</w:t>
      </w:r>
      <w:r>
        <w:rPr>
          <w:rFonts w:ascii="仿宋" w:hAnsi="仿宋" w:eastAsia="仿宋" w:cs="Times New Roman"/>
          <w:sz w:val="24"/>
        </w:rPr>
        <w:t>设备配备一次性使用的一氧化氮输注管和采样管，用于防止交叉感染</w:t>
      </w:r>
      <w:r>
        <w:rPr>
          <w:rFonts w:hint="eastAsia" w:ascii="仿宋" w:hAnsi="仿宋" w:eastAsia="仿宋" w:cs="Times New Roman"/>
          <w:sz w:val="24"/>
        </w:rPr>
        <w:t>；</w:t>
      </w:r>
    </w:p>
    <w:p w14:paraId="463B149E">
      <w:pPr>
        <w:spacing w:line="360" w:lineRule="auto"/>
        <w:rPr>
          <w:rFonts w:hint="eastAsia" w:ascii="仿宋" w:hAnsi="仿宋" w:eastAsia="仿宋" w:cs="Times New Roman"/>
          <w:sz w:val="24"/>
        </w:rPr>
      </w:pPr>
      <w:r>
        <w:rPr>
          <w:rFonts w:hint="eastAsia" w:ascii="仿宋" w:hAnsi="仿宋" w:eastAsia="仿宋" w:cs="Times New Roman"/>
          <w:sz w:val="24"/>
        </w:rPr>
        <w:t>4.</w:t>
      </w:r>
      <w:r>
        <w:rPr>
          <w:rFonts w:ascii="仿宋" w:hAnsi="仿宋" w:eastAsia="仿宋" w:cs="Times New Roman"/>
          <w:sz w:val="24"/>
        </w:rPr>
        <w:t>一氧化氮输出浓度范围及步长：0～80 ppm，步长为1 ppm</w:t>
      </w:r>
      <w:r>
        <w:rPr>
          <w:rFonts w:hint="eastAsia" w:ascii="仿宋" w:hAnsi="仿宋" w:eastAsia="仿宋" w:cs="Times New Roman"/>
          <w:sz w:val="24"/>
        </w:rPr>
        <w:t>；</w:t>
      </w:r>
    </w:p>
    <w:p w14:paraId="62253593">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hint="eastAsia" w:ascii="仿宋" w:hAnsi="仿宋" w:eastAsia="仿宋" w:cs="Times New Roman"/>
          <w:sz w:val="24"/>
        </w:rPr>
        <w:t>5.</w:t>
      </w:r>
      <w:r>
        <w:rPr>
          <w:rFonts w:ascii="仿宋" w:hAnsi="仿宋" w:eastAsia="仿宋" w:cs="Times New Roman"/>
          <w:sz w:val="24"/>
        </w:rPr>
        <w:t>一氧化氮浓度监测范围：0ppm～</w:t>
      </w:r>
      <w:r>
        <w:rPr>
          <w:rFonts w:hint="eastAsia" w:ascii="仿宋" w:hAnsi="仿宋" w:eastAsia="仿宋" w:cs="Times New Roman"/>
          <w:sz w:val="24"/>
        </w:rPr>
        <w:t>2</w:t>
      </w:r>
      <w:r>
        <w:rPr>
          <w:rFonts w:ascii="仿宋" w:hAnsi="仿宋" w:eastAsia="仿宋" w:cs="Times New Roman"/>
          <w:sz w:val="24"/>
        </w:rPr>
        <w:t>00ppm</w:t>
      </w:r>
      <w:r>
        <w:rPr>
          <w:rFonts w:hint="eastAsia" w:ascii="仿宋" w:hAnsi="仿宋" w:eastAsia="仿宋" w:cs="Times New Roman"/>
          <w:sz w:val="24"/>
        </w:rPr>
        <w:t>；</w:t>
      </w:r>
    </w:p>
    <w:p w14:paraId="18990658">
      <w:pPr>
        <w:spacing w:line="360" w:lineRule="auto"/>
        <w:rPr>
          <w:rFonts w:hint="eastAsia" w:ascii="仿宋" w:hAnsi="仿宋" w:eastAsia="仿宋" w:cs="Times New Roman"/>
          <w:sz w:val="24"/>
        </w:rPr>
      </w:pPr>
      <w:r>
        <w:rPr>
          <w:rFonts w:hint="eastAsia" w:ascii="仿宋" w:hAnsi="仿宋" w:eastAsia="仿宋" w:cs="Times New Roman"/>
          <w:sz w:val="24"/>
        </w:rPr>
        <w:t>6.</w:t>
      </w:r>
      <w:r>
        <w:rPr>
          <w:rFonts w:ascii="仿宋" w:hAnsi="仿宋" w:eastAsia="仿宋" w:cs="Times New Roman"/>
          <w:sz w:val="24"/>
        </w:rPr>
        <w:t>一氧化氮浓度监测精度/误差:不超过读数的±4%或±1ppm（取较大者）</w:t>
      </w:r>
      <w:r>
        <w:rPr>
          <w:rFonts w:hint="eastAsia" w:ascii="仿宋" w:hAnsi="仿宋" w:eastAsia="仿宋" w:cs="Times New Roman"/>
          <w:sz w:val="24"/>
        </w:rPr>
        <w:t>；</w:t>
      </w:r>
    </w:p>
    <w:p w14:paraId="75C7F960">
      <w:pPr>
        <w:spacing w:line="360" w:lineRule="auto"/>
        <w:rPr>
          <w:rFonts w:hint="eastAsia" w:ascii="仿宋" w:hAnsi="仿宋" w:eastAsia="仿宋" w:cs="Times New Roman"/>
          <w:sz w:val="24"/>
        </w:rPr>
      </w:pPr>
      <w:r>
        <w:rPr>
          <w:rFonts w:hint="eastAsia" w:ascii="仿宋" w:hAnsi="仿宋" w:eastAsia="仿宋" w:cs="Times New Roman"/>
          <w:sz w:val="24"/>
        </w:rPr>
        <w:t>7.</w:t>
      </w:r>
      <w:r>
        <w:rPr>
          <w:rFonts w:ascii="仿宋" w:hAnsi="仿宋" w:eastAsia="仿宋" w:cs="Times New Roman"/>
          <w:sz w:val="24"/>
        </w:rPr>
        <w:t>一氧化氮浓度监测分辨率：0～</w:t>
      </w:r>
      <w:r>
        <w:rPr>
          <w:rFonts w:hint="eastAsia" w:ascii="仿宋" w:hAnsi="仿宋" w:eastAsia="仿宋" w:cs="Times New Roman"/>
          <w:sz w:val="24"/>
        </w:rPr>
        <w:t>1</w:t>
      </w:r>
      <w:r>
        <w:rPr>
          <w:rFonts w:ascii="仿宋" w:hAnsi="仿宋" w:eastAsia="仿宋" w:cs="Times New Roman"/>
          <w:sz w:val="24"/>
        </w:rPr>
        <w:t>00ppm，监测浓度分辨率为0.1ppm；</w:t>
      </w:r>
    </w:p>
    <w:p w14:paraId="26931FA3">
      <w:pPr>
        <w:spacing w:line="360" w:lineRule="auto"/>
        <w:rPr>
          <w:rFonts w:hint="eastAsia" w:ascii="仿宋" w:hAnsi="仿宋" w:eastAsia="仿宋" w:cs="Times New Roman"/>
          <w:sz w:val="24"/>
        </w:rPr>
      </w:pPr>
      <w:r>
        <w:rPr>
          <w:rFonts w:hint="eastAsia" w:ascii="仿宋" w:hAnsi="仿宋" w:eastAsia="仿宋" w:cs="Times New Roman"/>
          <w:sz w:val="24"/>
        </w:rPr>
        <w:t>8.</w:t>
      </w:r>
      <w:r>
        <w:rPr>
          <w:rFonts w:ascii="仿宋" w:hAnsi="仿宋" w:eastAsia="仿宋" w:cs="Times New Roman"/>
          <w:sz w:val="24"/>
        </w:rPr>
        <w:t>二氧化氮浓度监测范围及精准度：0～20ppm，分辨率0.1ppm</w:t>
      </w:r>
      <w:r>
        <w:rPr>
          <w:rFonts w:hint="eastAsia" w:ascii="仿宋" w:hAnsi="仿宋" w:eastAsia="仿宋" w:cs="Times New Roman"/>
          <w:sz w:val="24"/>
        </w:rPr>
        <w:t>；</w:t>
      </w:r>
    </w:p>
    <w:p w14:paraId="6E35AAE5">
      <w:pPr>
        <w:spacing w:line="360" w:lineRule="auto"/>
        <w:rPr>
          <w:rFonts w:hint="eastAsia" w:ascii="仿宋" w:hAnsi="仿宋" w:eastAsia="仿宋" w:cs="Times New Roman"/>
          <w:sz w:val="24"/>
        </w:rPr>
      </w:pPr>
      <w:r>
        <w:rPr>
          <w:rFonts w:hint="eastAsia" w:ascii="仿宋" w:hAnsi="仿宋" w:eastAsia="仿宋" w:cs="Times New Roman"/>
          <w:sz w:val="24"/>
        </w:rPr>
        <w:t>9.</w:t>
      </w:r>
      <w:r>
        <w:rPr>
          <w:rFonts w:ascii="仿宋" w:hAnsi="仿宋" w:eastAsia="仿宋" w:cs="Times New Roman"/>
          <w:sz w:val="24"/>
        </w:rPr>
        <w:t>二氧化氮浓度监测精度/误差：不超过读数的±4%或±0.5ppm（取较大者）</w:t>
      </w:r>
      <w:r>
        <w:rPr>
          <w:rFonts w:hint="eastAsia" w:ascii="仿宋" w:hAnsi="仿宋" w:eastAsia="仿宋" w:cs="Times New Roman"/>
          <w:sz w:val="24"/>
        </w:rPr>
        <w:t>；</w:t>
      </w:r>
    </w:p>
    <w:p w14:paraId="14C158BE">
      <w:pPr>
        <w:spacing w:line="360" w:lineRule="auto"/>
        <w:rPr>
          <w:rFonts w:hint="eastAsia" w:ascii="仿宋" w:hAnsi="仿宋" w:eastAsia="仿宋" w:cs="Times New Roman"/>
          <w:sz w:val="24"/>
        </w:rPr>
      </w:pPr>
      <w:r>
        <w:rPr>
          <w:rFonts w:hint="eastAsia" w:ascii="仿宋" w:hAnsi="仿宋" w:eastAsia="仿宋" w:cs="Times New Roman"/>
          <w:sz w:val="24"/>
          <w:lang w:val="en-US" w:eastAsia="zh-CN"/>
        </w:rPr>
        <w:t>1</w:t>
      </w:r>
      <w:r>
        <w:rPr>
          <w:rFonts w:hint="eastAsia" w:ascii="仿宋" w:hAnsi="仿宋" w:eastAsia="仿宋" w:cs="Times New Roman"/>
          <w:sz w:val="24"/>
        </w:rPr>
        <w:t>0.</w:t>
      </w:r>
      <w:r>
        <w:rPr>
          <w:rFonts w:ascii="仿宋" w:hAnsi="仿宋" w:eastAsia="仿宋" w:cs="Times New Roman"/>
          <w:sz w:val="24"/>
        </w:rPr>
        <w:t>二氧化氮浓度输出限值:当一氧化氮浓度设置值≤40ppm时，二氧化氮浓度≤1ppm；当一氧化氮浓度设置值＞40ppm时，二氧化氮浓度≤2ppm</w:t>
      </w:r>
      <w:r>
        <w:rPr>
          <w:rFonts w:hint="eastAsia" w:ascii="仿宋" w:hAnsi="仿宋" w:eastAsia="仿宋" w:cs="Times New Roman"/>
          <w:sz w:val="24"/>
        </w:rPr>
        <w:t>；</w:t>
      </w:r>
    </w:p>
    <w:p w14:paraId="0AF8432F">
      <w:pPr>
        <w:spacing w:line="360" w:lineRule="auto"/>
        <w:rPr>
          <w:rFonts w:hint="eastAsia"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氧气浓度监测范围、分辨率及精度监测误差或精度：监测范围18%-100%，监测误差±3%，分辨率1%</w:t>
      </w:r>
      <w:r>
        <w:rPr>
          <w:rFonts w:hint="eastAsia" w:ascii="仿宋" w:hAnsi="仿宋" w:eastAsia="仿宋" w:cs="Times New Roman"/>
          <w:sz w:val="24"/>
        </w:rPr>
        <w:t>；</w:t>
      </w:r>
    </w:p>
    <w:p w14:paraId="5E6D9025">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hint="eastAsia" w:ascii="仿宋" w:hAnsi="仿宋" w:eastAsia="仿宋" w:cs="Times New Roman"/>
          <w:sz w:val="24"/>
        </w:rPr>
        <w:t>12.屏幕显示同步率监测参数，</w:t>
      </w:r>
      <w:r>
        <w:rPr>
          <w:rFonts w:ascii="仿宋" w:hAnsi="仿宋" w:eastAsia="仿宋" w:cs="Times New Roman"/>
          <w:sz w:val="24"/>
        </w:rPr>
        <w:t>同步率</w:t>
      </w:r>
      <w:r>
        <w:rPr>
          <w:rFonts w:hint="eastAsia" w:ascii="仿宋" w:hAnsi="仿宋" w:eastAsia="仿宋" w:cs="Times New Roman"/>
          <w:sz w:val="24"/>
        </w:rPr>
        <w:t>监测范围</w:t>
      </w:r>
      <w:r>
        <w:rPr>
          <w:rFonts w:ascii="仿宋" w:hAnsi="仿宋" w:eastAsia="仿宋" w:cs="Times New Roman"/>
          <w:sz w:val="24"/>
        </w:rPr>
        <w:t>：0-100%</w:t>
      </w:r>
      <w:r>
        <w:rPr>
          <w:rFonts w:hint="eastAsia" w:ascii="仿宋" w:hAnsi="仿宋" w:eastAsia="仿宋" w:cs="Times New Roman"/>
          <w:sz w:val="24"/>
        </w:rPr>
        <w:t>；</w:t>
      </w:r>
    </w:p>
    <w:p w14:paraId="3D1440C4">
      <w:pPr>
        <w:spacing w:line="360" w:lineRule="auto"/>
        <w:rPr>
          <w:rFonts w:hint="eastAsia" w:ascii="仿宋" w:hAnsi="仿宋" w:eastAsia="仿宋" w:cs="Times New Roman"/>
          <w:sz w:val="24"/>
          <w:highlight w:val="yellow"/>
        </w:rPr>
      </w:pPr>
      <w:r>
        <w:rPr>
          <w:rFonts w:ascii="仿宋" w:hAnsi="仿宋" w:eastAsia="仿宋" w:cs="Times New Roman"/>
          <w:sz w:val="24"/>
        </w:rPr>
        <w:t>13.内置监测模块传感器类型：含NO传感器、NO2传感器和O2传感器</w:t>
      </w:r>
      <w:r>
        <w:rPr>
          <w:rFonts w:hint="eastAsia" w:ascii="仿宋" w:hAnsi="仿宋" w:eastAsia="仿宋" w:cs="Times New Roman"/>
          <w:sz w:val="24"/>
        </w:rPr>
        <w:t>；</w:t>
      </w:r>
    </w:p>
    <w:p w14:paraId="5195A043">
      <w:pPr>
        <w:spacing w:line="360" w:lineRule="auto"/>
        <w:rPr>
          <w:rFonts w:hint="eastAsia" w:ascii="仿宋" w:hAnsi="仿宋" w:eastAsia="仿宋" w:cs="Times New Roman"/>
          <w:sz w:val="24"/>
        </w:rPr>
      </w:pPr>
      <w:r>
        <w:rPr>
          <w:rFonts w:ascii="仿宋" w:hAnsi="仿宋" w:eastAsia="仿宋" w:cs="Times New Roman"/>
          <w:sz w:val="24"/>
        </w:rPr>
        <w:t>14.显示：</w:t>
      </w:r>
      <w:r>
        <w:rPr>
          <w:rFonts w:hint="eastAsia" w:ascii="仿宋" w:hAnsi="仿宋" w:eastAsia="仿宋" w:cs="Times New Roman"/>
          <w:sz w:val="24"/>
        </w:rPr>
        <w:t>显示屏需≥</w:t>
      </w:r>
      <w:r>
        <w:rPr>
          <w:rFonts w:ascii="仿宋" w:hAnsi="仿宋" w:eastAsia="仿宋" w:cs="Times New Roman"/>
          <w:sz w:val="24"/>
        </w:rPr>
        <w:t>12寸</w:t>
      </w:r>
      <w:r>
        <w:rPr>
          <w:rFonts w:hint="eastAsia" w:ascii="仿宋" w:hAnsi="仿宋" w:eastAsia="仿宋" w:cs="Times New Roman"/>
          <w:sz w:val="24"/>
        </w:rPr>
        <w:t>；</w:t>
      </w:r>
    </w:p>
    <w:p w14:paraId="11474C61">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ascii="仿宋" w:hAnsi="仿宋" w:eastAsia="仿宋" w:cs="Times New Roman"/>
          <w:sz w:val="24"/>
        </w:rPr>
        <w:t>15.显示模式：具有四种显示模式：波形模式、大字体模式、日间模式、夜间模式</w:t>
      </w:r>
      <w:r>
        <w:rPr>
          <w:rFonts w:hint="eastAsia" w:ascii="仿宋" w:hAnsi="仿宋" w:eastAsia="仿宋" w:cs="Times New Roman"/>
          <w:sz w:val="24"/>
        </w:rPr>
        <w:t>；</w:t>
      </w:r>
    </w:p>
    <w:p w14:paraId="46A40FE6">
      <w:pPr>
        <w:spacing w:line="360" w:lineRule="auto"/>
        <w:rPr>
          <w:rFonts w:hint="eastAsia" w:ascii="仿宋" w:hAnsi="仿宋" w:eastAsia="仿宋" w:cs="Times New Roman"/>
          <w:sz w:val="24"/>
        </w:rPr>
      </w:pPr>
      <w:r>
        <w:rPr>
          <w:rFonts w:ascii="仿宋" w:hAnsi="仿宋" w:eastAsia="仿宋" w:cs="Times New Roman"/>
          <w:sz w:val="24"/>
        </w:rPr>
        <w:t>16.在屏幕及主机面板上以图例或标识显示电源类型：外接电源或电池</w:t>
      </w:r>
      <w:r>
        <w:rPr>
          <w:rFonts w:hint="eastAsia" w:ascii="仿宋" w:hAnsi="仿宋" w:eastAsia="仿宋" w:cs="Times New Roman"/>
          <w:sz w:val="24"/>
        </w:rPr>
        <w:t>；</w:t>
      </w:r>
    </w:p>
    <w:p w14:paraId="63AF0338">
      <w:pPr>
        <w:spacing w:line="360" w:lineRule="auto"/>
        <w:rPr>
          <w:rFonts w:hint="eastAsia" w:ascii="仿宋" w:hAnsi="仿宋" w:eastAsia="仿宋" w:cs="Times New Roman"/>
          <w:sz w:val="24"/>
        </w:rPr>
      </w:pPr>
      <w:r>
        <w:rPr>
          <w:rFonts w:ascii="仿宋" w:hAnsi="仿宋" w:eastAsia="仿宋" w:cs="Times New Roman"/>
          <w:sz w:val="24"/>
        </w:rPr>
        <w:t>17.设备根据报警发生时需要用户响应的速度及处理的紧急程度，报警</w:t>
      </w:r>
      <w:r>
        <w:rPr>
          <w:rFonts w:hint="eastAsia" w:ascii="仿宋" w:hAnsi="仿宋" w:eastAsia="仿宋" w:cs="Times New Roman"/>
          <w:sz w:val="24"/>
        </w:rPr>
        <w:t>可</w:t>
      </w:r>
      <w:r>
        <w:rPr>
          <w:rFonts w:ascii="仿宋" w:hAnsi="仿宋" w:eastAsia="仿宋" w:cs="Times New Roman"/>
          <w:sz w:val="24"/>
        </w:rPr>
        <w:t>分为高、中、低三级报警，并分别用不同的声音和灯光(红/黄/蓝)表示高/中/低三种不同级别的报警</w:t>
      </w:r>
      <w:r>
        <w:rPr>
          <w:rFonts w:hint="eastAsia" w:ascii="仿宋" w:hAnsi="仿宋" w:eastAsia="仿宋" w:cs="Times New Roman"/>
          <w:sz w:val="24"/>
        </w:rPr>
        <w:t>；</w:t>
      </w:r>
    </w:p>
    <w:p w14:paraId="03285DCD">
      <w:pPr>
        <w:pStyle w:val="11"/>
        <w:spacing w:line="360" w:lineRule="auto"/>
        <w:ind w:left="0" w:leftChars="0" w:firstLine="0" w:firstLineChars="0"/>
        <w:rPr>
          <w:rFonts w:hint="eastAsia" w:ascii="仿宋" w:hAnsi="仿宋" w:eastAsia="仿宋" w:cs="Times New Roman"/>
          <w:sz w:val="24"/>
        </w:rPr>
      </w:pPr>
      <w:r>
        <w:rPr>
          <w:rFonts w:ascii="仿宋" w:hAnsi="仿宋" w:eastAsia="仿宋" w:cs="Times New Roman"/>
          <w:sz w:val="24"/>
        </w:rPr>
        <w:t>18.可同时显示2条报警记录，且主机面板上具有120秒静音按钮</w:t>
      </w:r>
      <w:r>
        <w:rPr>
          <w:rFonts w:hint="eastAsia" w:ascii="仿宋" w:hAnsi="仿宋" w:eastAsia="仿宋" w:cs="Times New Roman"/>
          <w:sz w:val="24"/>
        </w:rPr>
        <w:t>；</w:t>
      </w:r>
    </w:p>
    <w:p w14:paraId="5745987E">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ascii="仿宋" w:hAnsi="仿宋" w:eastAsia="仿宋" w:cs="Times New Roman"/>
          <w:sz w:val="24"/>
        </w:rPr>
        <w:t>19.屏幕可同时显示三道波形或三道趋势，或波形与趋势的组合。可同时显示呼吸机流量波形及NO输送流量波形</w:t>
      </w:r>
      <w:r>
        <w:rPr>
          <w:rFonts w:hint="eastAsia" w:ascii="仿宋" w:hAnsi="仿宋" w:eastAsia="仿宋" w:cs="Times New Roman"/>
          <w:sz w:val="24"/>
        </w:rPr>
        <w:t>；</w:t>
      </w:r>
    </w:p>
    <w:p w14:paraId="22BB2F8D">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ascii="仿宋" w:hAnsi="仿宋" w:eastAsia="仿宋" w:cs="Times New Roman"/>
          <w:sz w:val="24"/>
        </w:rPr>
        <w:t>20.具有波形冻结功能，波形被冻结后，</w:t>
      </w:r>
      <w:r>
        <w:rPr>
          <w:rFonts w:hint="eastAsia" w:ascii="仿宋" w:hAnsi="仿宋" w:eastAsia="仿宋" w:cs="Times New Roman"/>
          <w:sz w:val="24"/>
        </w:rPr>
        <w:t>可</w:t>
      </w:r>
      <w:r>
        <w:rPr>
          <w:rFonts w:ascii="仿宋" w:hAnsi="仿宋" w:eastAsia="仿宋" w:cs="Times New Roman"/>
          <w:sz w:val="24"/>
        </w:rPr>
        <w:t>测量具体数值</w:t>
      </w:r>
      <w:r>
        <w:rPr>
          <w:rFonts w:hint="eastAsia" w:ascii="仿宋" w:hAnsi="仿宋" w:eastAsia="仿宋" w:cs="Times New Roman"/>
          <w:sz w:val="24"/>
        </w:rPr>
        <w:t>；</w:t>
      </w:r>
    </w:p>
    <w:p w14:paraId="09FF18DB">
      <w:pPr>
        <w:pStyle w:val="11"/>
        <w:spacing w:line="360" w:lineRule="auto"/>
        <w:ind w:left="0" w:leftChars="0" w:firstLine="0" w:firstLineChars="0"/>
        <w:rPr>
          <w:rFonts w:hint="eastAsia" w:ascii="仿宋" w:hAnsi="仿宋" w:eastAsia="仿宋" w:cs="Times New Roman"/>
          <w:sz w:val="24"/>
        </w:rPr>
      </w:pPr>
      <w:r>
        <w:rPr>
          <w:rFonts w:hint="eastAsia" w:ascii="仿宋" w:hAnsi="仿宋" w:eastAsia="仿宋" w:cs="Times New Roman"/>
          <w:b/>
          <w:bCs/>
          <w:sz w:val="24"/>
        </w:rPr>
        <w:t>▲</w:t>
      </w:r>
      <w:r>
        <w:rPr>
          <w:rFonts w:ascii="仿宋" w:hAnsi="仿宋" w:eastAsia="仿宋" w:cs="Times New Roman"/>
          <w:sz w:val="24"/>
        </w:rPr>
        <w:t>21.具有截屏功能，截屏内容会以图片的形式保存至设备存储器中，并可以图片形式导出</w:t>
      </w:r>
      <w:r>
        <w:rPr>
          <w:rFonts w:hint="eastAsia" w:ascii="仿宋" w:hAnsi="仿宋" w:eastAsia="仿宋" w:cs="Times New Roman"/>
          <w:sz w:val="24"/>
        </w:rPr>
        <w:t>；</w:t>
      </w:r>
    </w:p>
    <w:p w14:paraId="2779343C">
      <w:pPr>
        <w:spacing w:line="360" w:lineRule="auto"/>
        <w:rPr>
          <w:rFonts w:hint="eastAsia" w:ascii="仿宋" w:hAnsi="仿宋" w:eastAsia="仿宋" w:cs="Times New Roman"/>
          <w:sz w:val="24"/>
        </w:rPr>
      </w:pPr>
      <w:r>
        <w:rPr>
          <w:rFonts w:ascii="仿宋" w:hAnsi="仿宋" w:eastAsia="仿宋" w:cs="Times New Roman"/>
          <w:sz w:val="24"/>
        </w:rPr>
        <w:t>22.治疗记录可通过USB接口以图像或文件的形式导出</w:t>
      </w:r>
      <w:r>
        <w:rPr>
          <w:rFonts w:hint="eastAsia" w:ascii="仿宋" w:hAnsi="仿宋" w:eastAsia="仿宋" w:cs="Times New Roman"/>
          <w:sz w:val="24"/>
        </w:rPr>
        <w:t>；</w:t>
      </w:r>
    </w:p>
    <w:p w14:paraId="0D03AF98">
      <w:pPr>
        <w:spacing w:line="360" w:lineRule="auto"/>
        <w:rPr>
          <w:rFonts w:hint="eastAsia" w:ascii="仿宋" w:hAnsi="仿宋" w:eastAsia="仿宋" w:cs="Times New Roman"/>
          <w:sz w:val="24"/>
        </w:rPr>
      </w:pPr>
      <w:r>
        <w:rPr>
          <w:rFonts w:ascii="仿宋" w:hAnsi="仿宋" w:eastAsia="仿宋" w:cs="Times New Roman"/>
          <w:sz w:val="24"/>
        </w:rPr>
        <w:t>23.具有数据回顾查看功能</w:t>
      </w:r>
      <w:r>
        <w:rPr>
          <w:rFonts w:hint="eastAsia" w:ascii="仿宋" w:hAnsi="仿宋" w:eastAsia="仿宋" w:cs="Times New Roman"/>
          <w:sz w:val="24"/>
        </w:rPr>
        <w:t>；</w:t>
      </w:r>
    </w:p>
    <w:p w14:paraId="38EC6C80">
      <w:pPr>
        <w:spacing w:line="360" w:lineRule="auto"/>
        <w:rPr>
          <w:rFonts w:hint="eastAsia" w:ascii="仿宋" w:hAnsi="仿宋" w:eastAsia="仿宋" w:cs="Times New Roman"/>
          <w:sz w:val="24"/>
        </w:rPr>
      </w:pPr>
      <w:r>
        <w:rPr>
          <w:rFonts w:ascii="仿宋" w:hAnsi="仿宋" w:eastAsia="仿宋" w:cs="Times New Roman"/>
          <w:sz w:val="24"/>
        </w:rPr>
        <w:t>24.设备具有"锁屏"功能，锁屏后可防止误操作</w:t>
      </w:r>
      <w:r>
        <w:rPr>
          <w:rFonts w:hint="eastAsia" w:ascii="仿宋" w:hAnsi="仿宋" w:eastAsia="仿宋" w:cs="Times New Roman"/>
          <w:sz w:val="24"/>
        </w:rPr>
        <w:t>；</w:t>
      </w:r>
    </w:p>
    <w:p w14:paraId="5C7FED64">
      <w:pPr>
        <w:spacing w:line="360" w:lineRule="auto"/>
        <w:rPr>
          <w:rFonts w:hint="eastAsia" w:ascii="仿宋" w:hAnsi="仿宋" w:eastAsia="仿宋" w:cs="Times New Roman"/>
          <w:sz w:val="24"/>
        </w:rPr>
      </w:pPr>
      <w:r>
        <w:rPr>
          <w:rFonts w:ascii="仿宋" w:hAnsi="仿宋" w:eastAsia="仿宋" w:cs="Times New Roman"/>
          <w:sz w:val="24"/>
        </w:rPr>
        <w:t>25.屏幕可显示治疗总时长，并具有计时功能</w:t>
      </w:r>
      <w:r>
        <w:rPr>
          <w:rFonts w:hint="eastAsia" w:ascii="仿宋" w:hAnsi="仿宋" w:eastAsia="仿宋" w:cs="Times New Roman"/>
          <w:sz w:val="24"/>
        </w:rPr>
        <w:t>；</w:t>
      </w:r>
    </w:p>
    <w:p w14:paraId="32912E86">
      <w:pPr>
        <w:spacing w:line="360" w:lineRule="auto"/>
        <w:rPr>
          <w:rFonts w:hint="eastAsia" w:ascii="仿宋" w:hAnsi="仿宋" w:eastAsia="仿宋" w:cs="Times New Roman"/>
          <w:sz w:val="24"/>
        </w:rPr>
      </w:pPr>
      <w:r>
        <w:rPr>
          <w:rFonts w:ascii="仿宋" w:hAnsi="仿宋" w:eastAsia="仿宋" w:cs="Times New Roman"/>
          <w:sz w:val="24"/>
        </w:rPr>
        <w:t>26.屏幕可显示过滤器或气瓶剩余寿命，以百分比的形式显示在屏幕上</w:t>
      </w:r>
      <w:r>
        <w:rPr>
          <w:rFonts w:hint="eastAsia" w:ascii="仿宋" w:hAnsi="仿宋" w:eastAsia="仿宋" w:cs="Times New Roman"/>
          <w:sz w:val="24"/>
        </w:rPr>
        <w:t>；</w:t>
      </w:r>
    </w:p>
    <w:p w14:paraId="14EF3E4E">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hint="eastAsia" w:ascii="仿宋" w:hAnsi="仿宋" w:eastAsia="仿宋" w:cs="Times New Roman"/>
          <w:sz w:val="24"/>
        </w:rPr>
        <w:t>27.过滤器可以热插拔，更换时不影响正常治疗；</w:t>
      </w:r>
    </w:p>
    <w:p w14:paraId="5B21370E">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hint="eastAsia" w:ascii="仿宋" w:hAnsi="仿宋" w:eastAsia="仿宋" w:cs="Times New Roman"/>
          <w:sz w:val="24"/>
        </w:rPr>
        <w:t>28.过滤器可滤除电极放电产生的金属颗粒物，并提供第三方滤出能力评估报告；</w:t>
      </w:r>
    </w:p>
    <w:p w14:paraId="24855D7A">
      <w:pPr>
        <w:spacing w:line="360" w:lineRule="auto"/>
        <w:rPr>
          <w:rFonts w:hint="eastAsia" w:ascii="仿宋" w:hAnsi="仿宋" w:eastAsia="仿宋" w:cs="Times New Roman"/>
          <w:sz w:val="24"/>
        </w:rPr>
      </w:pPr>
      <w:r>
        <w:rPr>
          <w:rFonts w:hint="eastAsia" w:ascii="仿宋" w:hAnsi="仿宋" w:eastAsia="仿宋" w:cs="Times New Roman"/>
          <w:b/>
          <w:bCs/>
          <w:sz w:val="24"/>
        </w:rPr>
        <w:t>▲</w:t>
      </w:r>
      <w:r>
        <w:rPr>
          <w:rFonts w:ascii="仿宋" w:hAnsi="仿宋" w:eastAsia="仿宋" w:cs="Times New Roman"/>
          <w:sz w:val="24"/>
        </w:rPr>
        <w:t>2</w:t>
      </w:r>
      <w:r>
        <w:rPr>
          <w:rFonts w:hint="eastAsia" w:ascii="仿宋" w:hAnsi="仿宋" w:eastAsia="仿宋" w:cs="Times New Roman"/>
          <w:sz w:val="24"/>
        </w:rPr>
        <w:t>9</w:t>
      </w:r>
      <w:r>
        <w:rPr>
          <w:rFonts w:ascii="仿宋" w:hAnsi="仿宋" w:eastAsia="仿宋" w:cs="Times New Roman"/>
          <w:sz w:val="24"/>
        </w:rPr>
        <w:t>.设备具有"</w:t>
      </w:r>
      <w:r>
        <w:rPr>
          <w:rFonts w:hint="eastAsia" w:ascii="仿宋" w:hAnsi="仿宋" w:eastAsia="仿宋" w:cs="Times New Roman"/>
          <w:sz w:val="24"/>
        </w:rPr>
        <w:t>雾化辅助</w:t>
      </w:r>
      <w:r>
        <w:rPr>
          <w:rFonts w:ascii="仿宋" w:hAnsi="仿宋" w:eastAsia="仿宋" w:cs="Times New Roman"/>
          <w:sz w:val="24"/>
        </w:rPr>
        <w:t>"功能</w:t>
      </w:r>
      <w:r>
        <w:rPr>
          <w:rFonts w:hint="eastAsia" w:ascii="仿宋" w:hAnsi="仿宋" w:eastAsia="仿宋" w:cs="Times New Roman"/>
          <w:sz w:val="24"/>
        </w:rPr>
        <w:t>；</w:t>
      </w:r>
    </w:p>
    <w:p w14:paraId="6043806E">
      <w:pPr>
        <w:spacing w:line="360" w:lineRule="auto"/>
        <w:rPr>
          <w:rFonts w:hint="eastAsia" w:ascii="仿宋" w:hAnsi="仿宋" w:eastAsia="仿宋" w:cs="Times New Roman"/>
          <w:sz w:val="24"/>
          <w:highlight w:val="yellow"/>
        </w:rPr>
      </w:pPr>
      <w:r>
        <w:rPr>
          <w:rFonts w:hint="eastAsia" w:ascii="仿宋" w:hAnsi="仿宋" w:eastAsia="仿宋" w:cs="Times New Roman"/>
          <w:sz w:val="24"/>
        </w:rPr>
        <w:t>▲30、</w:t>
      </w:r>
      <w:bookmarkStart w:id="0" w:name="_Hlk197934993"/>
      <w:r>
        <w:rPr>
          <w:rFonts w:hint="eastAsia" w:ascii="仿宋" w:hAnsi="仿宋" w:eastAsia="仿宋" w:cs="Times New Roman"/>
          <w:sz w:val="24"/>
        </w:rPr>
        <w:t>采用缓释技术，设备内置微型储气罐，确保呼吸机条件变化时能及时跟随呼吸机的变化调整输出气体浓度，在转运的过程中也更安全；</w:t>
      </w:r>
      <w:bookmarkEnd w:id="0"/>
    </w:p>
    <w:p w14:paraId="1F974C7C">
      <w:pPr>
        <w:spacing w:line="360" w:lineRule="auto"/>
        <w:rPr>
          <w:rFonts w:hint="eastAsia" w:ascii="仿宋" w:hAnsi="仿宋" w:eastAsia="仿宋" w:cs="Times New Roman"/>
          <w:sz w:val="24"/>
        </w:rPr>
      </w:pPr>
      <w:r>
        <w:rPr>
          <w:rFonts w:hint="eastAsia" w:ascii="仿宋" w:hAnsi="仿宋" w:eastAsia="仿宋" w:cs="Times New Roman"/>
          <w:sz w:val="24"/>
        </w:rPr>
        <w:t>31</w:t>
      </w:r>
      <w:r>
        <w:rPr>
          <w:rFonts w:ascii="仿宋" w:hAnsi="仿宋" w:eastAsia="仿宋" w:cs="Times New Roman"/>
          <w:sz w:val="24"/>
        </w:rPr>
        <w:t>.设备工作条件：温度 5℃~40℃，相对湿度：15%～95% ,非冷凝 ,大气压力：70kPa～106.6kPa</w:t>
      </w:r>
      <w:r>
        <w:rPr>
          <w:rFonts w:hint="eastAsia" w:ascii="仿宋" w:hAnsi="仿宋" w:eastAsia="仿宋" w:cs="Times New Roman"/>
          <w:sz w:val="24"/>
        </w:rPr>
        <w:t>；</w:t>
      </w:r>
    </w:p>
    <w:p w14:paraId="20235456">
      <w:pPr>
        <w:spacing w:line="360" w:lineRule="auto"/>
        <w:rPr>
          <w:rFonts w:hint="eastAsia" w:ascii="仿宋" w:hAnsi="仿宋" w:eastAsia="仿宋" w:cs="Times New Roman"/>
          <w:sz w:val="24"/>
        </w:rPr>
      </w:pPr>
      <w:r>
        <w:rPr>
          <w:rFonts w:hint="eastAsia" w:ascii="仿宋" w:hAnsi="仿宋" w:eastAsia="仿宋" w:cs="Times New Roman"/>
          <w:sz w:val="24"/>
        </w:rPr>
        <w:t>32</w:t>
      </w:r>
      <w:r>
        <w:rPr>
          <w:rFonts w:ascii="仿宋" w:hAnsi="仿宋" w:eastAsia="仿宋" w:cs="Times New Roman"/>
          <w:sz w:val="24"/>
        </w:rPr>
        <w:t>.在正常使用情况下，完全充电后内部电源可提供不少于</w:t>
      </w:r>
      <w:r>
        <w:rPr>
          <w:rFonts w:hint="eastAsia" w:ascii="仿宋" w:hAnsi="仿宋" w:eastAsia="仿宋" w:cs="Times New Roman"/>
          <w:sz w:val="24"/>
        </w:rPr>
        <w:t>8</w:t>
      </w:r>
      <w:r>
        <w:rPr>
          <w:rFonts w:ascii="仿宋" w:hAnsi="仿宋" w:eastAsia="仿宋" w:cs="Times New Roman"/>
          <w:sz w:val="24"/>
        </w:rPr>
        <w:t>0分钟的供电</w:t>
      </w:r>
      <w:r>
        <w:rPr>
          <w:rFonts w:hint="eastAsia" w:ascii="仿宋" w:hAnsi="仿宋" w:eastAsia="仿宋" w:cs="Times New Roman"/>
          <w:sz w:val="24"/>
        </w:rPr>
        <w:t>；</w:t>
      </w:r>
    </w:p>
    <w:p w14:paraId="094A87D9">
      <w:pPr>
        <w:numPr>
          <w:ilvl w:val="0"/>
          <w:numId w:val="0"/>
        </w:numPr>
        <w:spacing w:line="440" w:lineRule="exact"/>
        <w:rPr>
          <w:rFonts w:hint="eastAsia" w:ascii="仿宋" w:hAnsi="仿宋" w:eastAsia="仿宋" w:cs="仿宋"/>
          <w:b/>
          <w:color w:val="000000" w:themeColor="text1"/>
          <w:sz w:val="24"/>
        </w:rPr>
      </w:pPr>
      <w:r>
        <w:rPr>
          <w:rFonts w:ascii="仿宋" w:hAnsi="仿宋" w:eastAsia="仿宋" w:cs="Times New Roman"/>
          <w:sz w:val="24"/>
        </w:rPr>
        <w:t>3</w:t>
      </w:r>
      <w:r>
        <w:rPr>
          <w:rFonts w:hint="eastAsia" w:ascii="仿宋" w:hAnsi="仿宋" w:eastAsia="仿宋" w:cs="Times New Roman"/>
          <w:sz w:val="24"/>
        </w:rPr>
        <w:t>3</w:t>
      </w:r>
      <w:r>
        <w:rPr>
          <w:rFonts w:ascii="仿宋" w:hAnsi="仿宋" w:eastAsia="仿宋" w:cs="Times New Roman"/>
          <w:sz w:val="24"/>
        </w:rPr>
        <w:t>.整机噪声不超过</w:t>
      </w:r>
      <w:r>
        <w:rPr>
          <w:rFonts w:hint="eastAsia" w:ascii="仿宋" w:hAnsi="仿宋" w:eastAsia="仿宋" w:cs="Times New Roman"/>
          <w:sz w:val="24"/>
        </w:rPr>
        <w:t>55</w:t>
      </w:r>
      <w:r>
        <w:rPr>
          <w:rFonts w:ascii="仿宋" w:hAnsi="仿宋" w:eastAsia="仿宋" w:cs="Times New Roman"/>
          <w:sz w:val="24"/>
        </w:rPr>
        <w:t>dB(A)</w:t>
      </w:r>
      <w:r>
        <w:rPr>
          <w:rFonts w:hint="eastAsia" w:ascii="仿宋" w:hAnsi="仿宋" w:eastAsia="仿宋" w:cs="Times New Roman"/>
          <w:sz w:val="24"/>
        </w:rPr>
        <w:t>。</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32"/>
        <w:gridCol w:w="3192"/>
        <w:gridCol w:w="969"/>
        <w:gridCol w:w="920"/>
      </w:tblGrid>
      <w:tr w14:paraId="1B65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249DED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432" w:type="dxa"/>
          </w:tcPr>
          <w:p w14:paraId="4B868B2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192" w:type="dxa"/>
          </w:tcPr>
          <w:p w14:paraId="5334EE0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3B5F426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3BF76F8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41EB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017E24">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2432" w:type="dxa"/>
          </w:tcPr>
          <w:p w14:paraId="649C12CA">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一氧化氮治疗仪</w:t>
            </w:r>
          </w:p>
        </w:tc>
        <w:tc>
          <w:tcPr>
            <w:tcW w:w="3192" w:type="dxa"/>
          </w:tcPr>
          <w:p w14:paraId="0BAA21D2">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即时产生一氧化氮气体，触摸屏</w:t>
            </w:r>
          </w:p>
        </w:tc>
        <w:tc>
          <w:tcPr>
            <w:tcW w:w="969" w:type="dxa"/>
          </w:tcPr>
          <w:p w14:paraId="012E8AA4">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5397FC04">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台</w:t>
            </w:r>
          </w:p>
        </w:tc>
      </w:tr>
      <w:tr w14:paraId="3FC0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E752C2">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2432" w:type="dxa"/>
          </w:tcPr>
          <w:p w14:paraId="6B8F1748">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过滤器</w:t>
            </w:r>
          </w:p>
        </w:tc>
        <w:tc>
          <w:tcPr>
            <w:tcW w:w="3192" w:type="dxa"/>
          </w:tcPr>
          <w:p w14:paraId="63847E48">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能工作</w:t>
            </w:r>
            <w:r>
              <w:rPr>
                <w:rFonts w:hint="eastAsia" w:ascii="仿宋" w:hAnsi="仿宋" w:eastAsia="仿宋" w:cs="仿宋"/>
                <w:bCs/>
                <w:color w:val="000000" w:themeColor="text1"/>
                <w:sz w:val="24"/>
                <w:lang w:val="en-US" w:eastAsia="zh-CN"/>
              </w:rPr>
              <w:t>≥</w:t>
            </w:r>
            <w:r>
              <w:rPr>
                <w:rFonts w:hint="eastAsia" w:ascii="仿宋" w:hAnsi="仿宋" w:eastAsia="仿宋" w:cs="仿宋"/>
                <w:bCs/>
                <w:color w:val="000000" w:themeColor="text1"/>
                <w:sz w:val="24"/>
              </w:rPr>
              <w:t>1000小时</w:t>
            </w:r>
          </w:p>
        </w:tc>
        <w:tc>
          <w:tcPr>
            <w:tcW w:w="969" w:type="dxa"/>
          </w:tcPr>
          <w:p w14:paraId="06DBF482">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7DB05D11">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个</w:t>
            </w:r>
          </w:p>
        </w:tc>
      </w:tr>
      <w:tr w14:paraId="72B4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3B1A2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2432" w:type="dxa"/>
          </w:tcPr>
          <w:p w14:paraId="5802DB76">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AC电源线</w:t>
            </w:r>
          </w:p>
        </w:tc>
        <w:tc>
          <w:tcPr>
            <w:tcW w:w="3192" w:type="dxa"/>
          </w:tcPr>
          <w:p w14:paraId="06A9EDA3">
            <w:pPr>
              <w:spacing w:line="440" w:lineRule="exact"/>
              <w:rPr>
                <w:rFonts w:hint="eastAsia" w:ascii="仿宋" w:hAnsi="仿宋" w:eastAsia="仿宋" w:cs="仿宋"/>
                <w:bCs/>
                <w:color w:val="000000" w:themeColor="text1"/>
                <w:sz w:val="24"/>
              </w:rPr>
            </w:pPr>
          </w:p>
        </w:tc>
        <w:tc>
          <w:tcPr>
            <w:tcW w:w="969" w:type="dxa"/>
          </w:tcPr>
          <w:p w14:paraId="2EF666F3">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632276D8">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条</w:t>
            </w:r>
          </w:p>
        </w:tc>
      </w:tr>
      <w:tr w14:paraId="72C5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AA81C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2432" w:type="dxa"/>
          </w:tcPr>
          <w:p w14:paraId="59B51F32">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积水杯</w:t>
            </w:r>
          </w:p>
        </w:tc>
        <w:tc>
          <w:tcPr>
            <w:tcW w:w="3192" w:type="dxa"/>
          </w:tcPr>
          <w:p w14:paraId="3BFF96E1">
            <w:pPr>
              <w:spacing w:line="440" w:lineRule="exact"/>
              <w:rPr>
                <w:rFonts w:hint="eastAsia" w:ascii="仿宋" w:hAnsi="仿宋" w:eastAsia="仿宋" w:cs="仿宋"/>
                <w:bCs/>
                <w:color w:val="000000" w:themeColor="text1"/>
                <w:sz w:val="24"/>
              </w:rPr>
            </w:pPr>
          </w:p>
        </w:tc>
        <w:tc>
          <w:tcPr>
            <w:tcW w:w="969" w:type="dxa"/>
          </w:tcPr>
          <w:p w14:paraId="19710E19">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w:t>
            </w:r>
          </w:p>
        </w:tc>
        <w:tc>
          <w:tcPr>
            <w:tcW w:w="920" w:type="dxa"/>
          </w:tcPr>
          <w:p w14:paraId="352DDDE2">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个</w:t>
            </w:r>
          </w:p>
        </w:tc>
      </w:tr>
      <w:tr w14:paraId="4E19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4A053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5</w:t>
            </w:r>
          </w:p>
        </w:tc>
        <w:tc>
          <w:tcPr>
            <w:tcW w:w="2432" w:type="dxa"/>
          </w:tcPr>
          <w:p w14:paraId="6EDE2C6E">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一氧化氮供气管路</w:t>
            </w:r>
          </w:p>
        </w:tc>
        <w:tc>
          <w:tcPr>
            <w:tcW w:w="3192" w:type="dxa"/>
          </w:tcPr>
          <w:p w14:paraId="78FDB587">
            <w:pPr>
              <w:spacing w:line="440" w:lineRule="exact"/>
              <w:rPr>
                <w:rFonts w:hint="eastAsia" w:ascii="仿宋" w:hAnsi="仿宋" w:eastAsia="仿宋" w:cs="仿宋"/>
                <w:bCs/>
                <w:color w:val="000000" w:themeColor="text1"/>
                <w:sz w:val="24"/>
              </w:rPr>
            </w:pPr>
          </w:p>
        </w:tc>
        <w:tc>
          <w:tcPr>
            <w:tcW w:w="969" w:type="dxa"/>
          </w:tcPr>
          <w:p w14:paraId="03835C15">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w:t>
            </w:r>
          </w:p>
        </w:tc>
        <w:tc>
          <w:tcPr>
            <w:tcW w:w="920" w:type="dxa"/>
          </w:tcPr>
          <w:p w14:paraId="4843A551">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条</w:t>
            </w:r>
          </w:p>
        </w:tc>
      </w:tr>
      <w:tr w14:paraId="628E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4873723">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2432" w:type="dxa"/>
          </w:tcPr>
          <w:p w14:paraId="203292B4">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台车</w:t>
            </w:r>
          </w:p>
        </w:tc>
        <w:tc>
          <w:tcPr>
            <w:tcW w:w="3192" w:type="dxa"/>
          </w:tcPr>
          <w:p w14:paraId="63E8ED86">
            <w:pPr>
              <w:spacing w:line="440" w:lineRule="exact"/>
              <w:rPr>
                <w:rFonts w:hint="eastAsia" w:ascii="仿宋" w:hAnsi="仿宋" w:eastAsia="仿宋" w:cs="仿宋"/>
                <w:bCs/>
                <w:color w:val="000000" w:themeColor="text1"/>
                <w:sz w:val="24"/>
              </w:rPr>
            </w:pPr>
          </w:p>
        </w:tc>
        <w:tc>
          <w:tcPr>
            <w:tcW w:w="969" w:type="dxa"/>
          </w:tcPr>
          <w:p w14:paraId="3944FC1B">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54C338EF">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部</w:t>
            </w:r>
          </w:p>
        </w:tc>
      </w:tr>
    </w:tbl>
    <w:p w14:paraId="25A57705">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CA6BBEC">
      <w:pPr>
        <w:spacing w:line="440" w:lineRule="exact"/>
        <w:rPr>
          <w:rFonts w:ascii="宋体" w:hAnsi="宋体"/>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w:t>
      </w:r>
      <w:r>
        <w:rPr>
          <w:rFonts w:hint="eastAsia" w:ascii="仿宋" w:hAnsi="仿宋" w:eastAsia="仿宋" w:cs="仿宋"/>
          <w:color w:val="000000" w:themeColor="text1"/>
          <w:sz w:val="24"/>
          <w:highlight w:val="none"/>
        </w:rPr>
        <w:t>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1" w:name="_GoBack"/>
      <w:bookmarkEnd w:id="1"/>
    </w:p>
    <w:p w14:paraId="04579E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EC6F7D"/>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2025-08-14T02:30:21Z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