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r>
        <w:rPr>
          <w:rFonts w:hint="eastAsia"/>
          <w:b/>
          <w:bCs/>
          <w:color w:val="0000FF"/>
          <w:szCs w:val="21"/>
          <w:lang w:eastAsia="zh-CN"/>
        </w:rPr>
        <w:t>、</w:t>
      </w:r>
      <w:r>
        <w:rPr>
          <w:rFonts w:hint="eastAsia"/>
          <w:b/>
          <w:bCs/>
          <w:color w:val="0000FF"/>
          <w:szCs w:val="21"/>
          <w:lang w:val="en-US" w:eastAsia="zh-CN"/>
        </w:rPr>
        <w:t>使用说明书</w:t>
      </w:r>
      <w:r>
        <w:rPr>
          <w:rFonts w:hint="eastAsia"/>
          <w:b/>
          <w:bCs/>
          <w:color w:val="0000FF"/>
          <w:szCs w:val="21"/>
        </w:rPr>
        <w:t>。</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bookmarkStart w:id="0" w:name="_GoBack"/>
      <w:bookmarkEnd w:id="0"/>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5"/>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r w14:paraId="09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C046349">
            <w:pPr>
              <w:spacing w:line="360" w:lineRule="auto"/>
              <w:jc w:val="center"/>
              <w:rPr>
                <w:rFonts w:hint="eastAsia" w:ascii="宋体" w:eastAsia="宋体"/>
                <w:sz w:val="24"/>
                <w:lang w:val="en-US" w:eastAsia="zh-CN"/>
              </w:rPr>
            </w:pPr>
            <w:r>
              <w:rPr>
                <w:rFonts w:hint="eastAsia" w:ascii="宋体"/>
                <w:sz w:val="24"/>
              </w:rPr>
              <w:t>是否有</w:t>
            </w:r>
            <w:r>
              <w:rPr>
                <w:rFonts w:hint="eastAsia" w:ascii="宋体"/>
                <w:sz w:val="24"/>
                <w:lang w:val="en-US" w:eastAsia="zh-CN"/>
              </w:rPr>
              <w:t>易损件</w:t>
            </w:r>
          </w:p>
        </w:tc>
        <w:tc>
          <w:tcPr>
            <w:tcW w:w="5835" w:type="dxa"/>
          </w:tcPr>
          <w:p w14:paraId="5D0EF6EA">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4BA69075">
            <w:pPr>
              <w:pStyle w:val="5"/>
              <w:ind w:firstLine="0"/>
              <w:rPr>
                <w:rFonts w:hint="eastAsia"/>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w:t>
            </w:r>
            <w:r>
              <w:rPr>
                <w:rFonts w:hint="eastAsia"/>
                <w:color w:val="FF0000"/>
                <w:szCs w:val="21"/>
                <w:lang w:val="en-US" w:eastAsia="zh-CN"/>
              </w:rPr>
              <w:t>设备易损件报价单</w:t>
            </w:r>
            <w:r>
              <w:rPr>
                <w:rFonts w:hint="eastAsia"/>
                <w:color w:val="FF0000"/>
                <w:szCs w:val="21"/>
              </w:rPr>
              <w:t>）</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5"/>
        <w:ind w:firstLine="0"/>
        <w:rPr>
          <w:b/>
          <w:bCs/>
          <w:color w:val="0000FF"/>
          <w:sz w:val="24"/>
        </w:rPr>
      </w:pPr>
    </w:p>
    <w:p w14:paraId="10490BDF">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5A5A5" w:themeColor="background1" w:themeShade="A6"/>
                <w:kern w:val="2"/>
                <w:sz w:val="20"/>
                <w:szCs w:val="20"/>
                <w:shd w:val="clear" w:fill="auto"/>
                <w:lang w:val="en-US" w:eastAsia="zh-CN" w:bidi="ar-SA"/>
              </w:rPr>
            </w:pPr>
            <w:r>
              <w:rPr>
                <w:rFonts w:hint="eastAsia" w:ascii="仿宋_GB2312" w:hAnsi="宋体" w:eastAsia="仿宋_GB2312" w:cs="仿宋_GB2312"/>
                <w:color w:val="A5A5A5" w:themeColor="background1" w:themeShade="A6"/>
                <w:kern w:val="2"/>
                <w:sz w:val="20"/>
                <w:szCs w:val="20"/>
                <w:shd w:val="clear" w:fill="auto"/>
                <w:lang w:val="en-US" w:eastAsia="zh-CN" w:bidi="ar-SA"/>
              </w:rPr>
              <w:t>例：1、（GLU）葡萄糖250302001</w:t>
            </w:r>
          </w:p>
          <w:p w14:paraId="02E9DD4F">
            <w:pPr>
              <w:numPr>
                <w:ilvl w:val="0"/>
                <w:numId w:val="0"/>
              </w:numPr>
              <w:ind w:left="0" w:leftChars="0"/>
              <w:jc w:val="left"/>
              <w:rPr>
                <w:rFonts w:hint="default" w:ascii="仿宋_GB2312" w:hAnsi="宋体" w:eastAsia="仿宋_GB2312" w:cs="仿宋_GB2312"/>
                <w:color w:val="A5A5A5" w:themeColor="background1" w:themeShade="A6"/>
                <w:sz w:val="20"/>
                <w:szCs w:val="20"/>
                <w:shd w:val="clear" w:color="auto" w:fill="auto"/>
                <w:lang w:val="en-US" w:eastAsia="zh-CN"/>
              </w:rPr>
            </w:pPr>
            <w:r>
              <w:rPr>
                <w:rFonts w:hint="default" w:ascii="仿宋_GB2312" w:hAnsi="宋体" w:eastAsia="仿宋_GB2312" w:cs="仿宋_GB2312"/>
                <w:color w:val="A5A5A5" w:themeColor="background1" w:themeShade="A6"/>
                <w:kern w:val="2"/>
                <w:sz w:val="20"/>
                <w:szCs w:val="20"/>
                <w:shd w:val="clear" w:fill="auto"/>
                <w:lang w:val="en-US" w:eastAsia="zh-CN" w:bidi="ar-SA"/>
              </w:rPr>
              <w:t>2</w:t>
            </w:r>
            <w:r>
              <w:rPr>
                <w:rFonts w:hint="eastAsia" w:ascii="仿宋_GB2312" w:hAnsi="宋体" w:eastAsia="仿宋_GB2312" w:cs="仿宋_GB2312"/>
                <w:color w:val="A5A5A5" w:themeColor="background1" w:themeShade="A6"/>
                <w:kern w:val="2"/>
                <w:sz w:val="20"/>
                <w:szCs w:val="20"/>
                <w:shd w:val="clear" w:fill="auto"/>
                <w:lang w:val="en-US" w:eastAsia="zh-CN" w:bidi="ar-SA"/>
              </w:rPr>
              <w:t>、</w:t>
            </w:r>
            <w:r>
              <w:rPr>
                <w:rFonts w:hint="eastAsia" w:ascii="仿宋_GB2312" w:hAnsi="宋体" w:eastAsia="仿宋_GB2312" w:cs="仿宋_GB2312"/>
                <w:color w:val="A5A5A5" w:themeColor="background1" w:themeShade="A6"/>
                <w:sz w:val="20"/>
                <w:szCs w:val="20"/>
                <w:shd w:val="clear" w:color="auto" w:fill="auto"/>
                <w:lang w:val="en-US" w:eastAsia="zh-CN"/>
              </w:rPr>
              <w:t>（Na）钠250304002-1</w:t>
            </w:r>
          </w:p>
          <w:p w14:paraId="766C8742">
            <w:pPr>
              <w:pStyle w:val="2"/>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3、（K）钾 250304001-1</w:t>
            </w:r>
          </w:p>
          <w:p w14:paraId="15F31F00">
            <w:pPr>
              <w:pStyle w:val="3"/>
              <w:ind w:left="0" w:leftChars="0" w:firstLine="0" w:firstLine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5、（HCT）红细胞比容 250101003</w:t>
            </w:r>
          </w:p>
          <w:p w14:paraId="147B888E">
            <w:pPr>
              <w:pStyle w:val="2"/>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6、（Hgb）血红蛋白+ 250101001</w:t>
            </w:r>
          </w:p>
          <w:p w14:paraId="443B83DC">
            <w:pPr>
              <w:pStyle w:val="3"/>
              <w:ind w:left="0" w:leftChars="0" w:firstLine="0" w:firstLineChars="0"/>
              <w:jc w:val="left"/>
              <w:rPr>
                <w:rFonts w:hint="default" w:asciiTheme="minorHAnsi" w:hAnsiTheme="minorHAnsi" w:eastAsiaTheme="minorEastAsia" w:cstheme="minorBidi"/>
                <w:color w:val="A5A5A5" w:themeColor="background1" w:themeShade="A6"/>
                <w:kern w:val="2"/>
                <w:sz w:val="28"/>
                <w:szCs w:val="24"/>
                <w:lang w:val="en-US" w:eastAsia="zh-CN" w:bidi="ar-SA"/>
              </w:rPr>
            </w:pPr>
            <w:r>
              <w:rPr>
                <w:rFonts w:hint="eastAsia" w:ascii="仿宋_GB2312" w:hAnsi="宋体" w:eastAsia="仿宋_GB2312" w:cs="仿宋_GB2312"/>
                <w:color w:val="A5A5A5" w:themeColor="background1" w:themeShade="A6"/>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422">
            <w:pPr>
              <w:pStyle w:val="2"/>
              <w:rPr>
                <w:rFonts w:hint="default"/>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2"/>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2"/>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2EB73F2B">
      <w:pPr>
        <w:spacing w:line="440" w:lineRule="exact"/>
        <w:rPr>
          <w:b/>
          <w:sz w:val="32"/>
          <w:szCs w:val="32"/>
        </w:rPr>
        <w:sectPr>
          <w:pgSz w:w="16838" w:h="11906" w:orient="landscape"/>
          <w:pgMar w:top="1800" w:right="1440" w:bottom="1800" w:left="1440" w:header="851" w:footer="992" w:gutter="0"/>
          <w:cols w:space="425" w:num="1"/>
          <w:docGrid w:type="lines" w:linePitch="312" w:charSpace="0"/>
        </w:sectPr>
      </w:pPr>
    </w:p>
    <w:p w14:paraId="3BFD0715">
      <w:pPr>
        <w:jc w:val="center"/>
        <w:rPr>
          <w:rFonts w:hint="eastAsia"/>
          <w:b/>
          <w:bCs/>
          <w:sz w:val="28"/>
          <w:szCs w:val="28"/>
          <w:lang w:val="en-US" w:eastAsia="zh-CN"/>
        </w:rPr>
      </w:pPr>
      <w:r>
        <w:rPr>
          <w:rFonts w:hint="eastAsia"/>
          <w:b/>
          <w:bCs/>
          <w:sz w:val="28"/>
          <w:szCs w:val="28"/>
          <w:lang w:val="en-US" w:eastAsia="zh-CN"/>
        </w:rPr>
        <w:t>设备易损件报价单</w:t>
      </w:r>
    </w:p>
    <w:p w14:paraId="5D007383">
      <w:pPr>
        <w:jc w:val="center"/>
        <w:rPr>
          <w:rFonts w:hint="eastAsia"/>
          <w:b/>
          <w:bCs/>
          <w:sz w:val="28"/>
          <w:szCs w:val="28"/>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5435"/>
        <w:gridCol w:w="2762"/>
        <w:gridCol w:w="2965"/>
      </w:tblGrid>
      <w:tr w14:paraId="333E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Pr>
          <w:p w14:paraId="7B4E6FC4">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序号</w:t>
            </w:r>
          </w:p>
        </w:tc>
        <w:tc>
          <w:tcPr>
            <w:tcW w:w="5435" w:type="dxa"/>
          </w:tcPr>
          <w:p w14:paraId="75098461">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易损件名称</w:t>
            </w:r>
          </w:p>
        </w:tc>
        <w:tc>
          <w:tcPr>
            <w:tcW w:w="2762" w:type="dxa"/>
          </w:tcPr>
          <w:p w14:paraId="2342E3B2">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单价（元）</w:t>
            </w:r>
          </w:p>
        </w:tc>
        <w:tc>
          <w:tcPr>
            <w:tcW w:w="2965" w:type="dxa"/>
          </w:tcPr>
          <w:p w14:paraId="6676008E">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备注：（更换周期、使用年限）</w:t>
            </w:r>
          </w:p>
        </w:tc>
      </w:tr>
      <w:tr w14:paraId="500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67" w:type="dxa"/>
          </w:tcPr>
          <w:p w14:paraId="625A340A">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p>
        </w:tc>
        <w:tc>
          <w:tcPr>
            <w:tcW w:w="5435" w:type="dxa"/>
          </w:tcPr>
          <w:p w14:paraId="125923F9">
            <w:pPr>
              <w:widowControl/>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52220E26">
            <w:pPr>
              <w:widowControl/>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B4F6F91">
            <w:pPr>
              <w:widowControl/>
              <w:jc w:val="center"/>
              <w:textAlignment w:val="center"/>
              <w:rPr>
                <w:rFonts w:hint="default" w:ascii="仿宋_GB2312" w:hAnsi="宋体" w:eastAsia="仿宋_GB2312" w:cs="仿宋_GB2312"/>
                <w:color w:val="000000"/>
                <w:kern w:val="0"/>
                <w:sz w:val="20"/>
                <w:szCs w:val="20"/>
                <w:lang w:val="en-US" w:eastAsia="zh-CN"/>
              </w:rPr>
            </w:pPr>
          </w:p>
        </w:tc>
      </w:tr>
      <w:tr w14:paraId="2F50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67" w:type="dxa"/>
          </w:tcPr>
          <w:p w14:paraId="6C712B9B">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2</w:t>
            </w:r>
          </w:p>
        </w:tc>
        <w:tc>
          <w:tcPr>
            <w:tcW w:w="5435" w:type="dxa"/>
          </w:tcPr>
          <w:p w14:paraId="228DD4C7">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122A4C99">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6361211">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r>
    </w:tbl>
    <w:p w14:paraId="6E10218E">
      <w:pPr>
        <w:spacing w:line="440" w:lineRule="exact"/>
        <w:rPr>
          <w:rFonts w:hint="default"/>
          <w:b/>
          <w:sz w:val="32"/>
          <w:szCs w:val="32"/>
          <w:lang w:val="en-US" w:eastAsia="zh-CN"/>
        </w:rPr>
      </w:pPr>
    </w:p>
    <w:p w14:paraId="0CB32472">
      <w:pPr>
        <w:spacing w:line="360" w:lineRule="auto"/>
        <w:jc w:val="right"/>
        <w:rPr>
          <w:sz w:val="24"/>
        </w:rPr>
      </w:pPr>
      <w:r>
        <w:rPr>
          <w:rFonts w:hint="eastAsia"/>
          <w:sz w:val="24"/>
        </w:rPr>
        <w:t>报价公司（盖章）：</w:t>
      </w:r>
    </w:p>
    <w:p w14:paraId="40B6E1D1">
      <w:pPr>
        <w:spacing w:line="360" w:lineRule="auto"/>
        <w:jc w:val="right"/>
        <w:rPr>
          <w:sz w:val="24"/>
        </w:rPr>
      </w:pPr>
      <w:r>
        <w:rPr>
          <w:rFonts w:hint="eastAsia"/>
          <w:sz w:val="24"/>
        </w:rPr>
        <w:t>报价联系人：</w:t>
      </w:r>
    </w:p>
    <w:p w14:paraId="5A11604C">
      <w:pPr>
        <w:spacing w:line="360" w:lineRule="auto"/>
        <w:jc w:val="right"/>
        <w:rPr>
          <w:sz w:val="24"/>
        </w:rPr>
      </w:pPr>
      <w:r>
        <w:rPr>
          <w:rFonts w:hint="eastAsia"/>
          <w:sz w:val="24"/>
        </w:rPr>
        <w:t>联系方式：</w:t>
      </w:r>
    </w:p>
    <w:p w14:paraId="43FF556B">
      <w:pPr>
        <w:spacing w:line="360" w:lineRule="auto"/>
        <w:jc w:val="right"/>
        <w:rPr>
          <w:sz w:val="24"/>
        </w:rPr>
      </w:pPr>
      <w:r>
        <w:rPr>
          <w:rFonts w:hint="eastAsia"/>
          <w:sz w:val="24"/>
        </w:rPr>
        <w:t>邮箱：</w:t>
      </w:r>
    </w:p>
    <w:p w14:paraId="32B21FD0">
      <w:pPr>
        <w:pStyle w:val="5"/>
        <w:jc w:val="right"/>
        <w:rPr>
          <w:b/>
          <w:sz w:val="32"/>
          <w:szCs w:val="32"/>
        </w:rPr>
      </w:pPr>
      <w:r>
        <w:rPr>
          <w:rFonts w:hint="eastAsia"/>
          <w:sz w:val="24"/>
        </w:rPr>
        <w:t>报价时间：</w:t>
      </w:r>
    </w:p>
    <w:p w14:paraId="60318844">
      <w:pPr>
        <w:pStyle w:val="5"/>
        <w:rPr>
          <w:b/>
          <w:sz w:val="32"/>
          <w:szCs w:val="32"/>
        </w:rPr>
      </w:pPr>
    </w:p>
    <w:p w14:paraId="05E04871">
      <w:pPr>
        <w:pStyle w:val="5"/>
        <w:rPr>
          <w:b/>
          <w:sz w:val="32"/>
          <w:szCs w:val="32"/>
        </w:rPr>
      </w:pPr>
    </w:p>
    <w:p w14:paraId="1EE234BB">
      <w:pPr>
        <w:pStyle w:val="5"/>
        <w:rPr>
          <w:b/>
          <w:sz w:val="32"/>
          <w:szCs w:val="32"/>
        </w:rPr>
      </w:pPr>
    </w:p>
    <w:p w14:paraId="270A0469">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5"/>
      </w:pPr>
    </w:p>
    <w:p w14:paraId="13649995">
      <w:pPr>
        <w:pStyle w:val="5"/>
      </w:pPr>
    </w:p>
    <w:p w14:paraId="528B103B">
      <w:pPr>
        <w:pStyle w:val="5"/>
      </w:pPr>
    </w:p>
    <w:p w14:paraId="02AF3905">
      <w:pPr>
        <w:pStyle w:val="5"/>
      </w:pPr>
    </w:p>
    <w:p w14:paraId="355DC043">
      <w:pPr>
        <w:pStyle w:val="5"/>
      </w:pPr>
    </w:p>
    <w:p w14:paraId="1A294195">
      <w:pPr>
        <w:pStyle w:val="5"/>
      </w:pPr>
    </w:p>
    <w:p w14:paraId="535ABC7C">
      <w:pPr>
        <w:pStyle w:val="5"/>
      </w:pPr>
    </w:p>
    <w:p w14:paraId="5A0C92AE">
      <w:pPr>
        <w:pStyle w:val="5"/>
      </w:pPr>
    </w:p>
    <w:p w14:paraId="1CCB87EA">
      <w:pPr>
        <w:pStyle w:val="5"/>
      </w:pPr>
    </w:p>
    <w:p w14:paraId="47F12F89">
      <w:pPr>
        <w:pStyle w:val="5"/>
      </w:pPr>
    </w:p>
    <w:p w14:paraId="402A9EF8">
      <w:pPr>
        <w:pStyle w:val="5"/>
      </w:pPr>
    </w:p>
    <w:p w14:paraId="2BBC22B4">
      <w:pPr>
        <w:pStyle w:val="5"/>
      </w:pPr>
    </w:p>
    <w:p w14:paraId="47567FAD">
      <w:pPr>
        <w:pStyle w:val="5"/>
      </w:pPr>
    </w:p>
    <w:p w14:paraId="238D3BA9">
      <w:pPr>
        <w:pStyle w:val="5"/>
      </w:pPr>
    </w:p>
    <w:p w14:paraId="289F3923">
      <w:pPr>
        <w:pStyle w:val="5"/>
      </w:pPr>
    </w:p>
    <w:p w14:paraId="7BCDDB4D">
      <w:pPr>
        <w:pStyle w:val="5"/>
      </w:pPr>
    </w:p>
    <w:p w14:paraId="6B8BF927">
      <w:pPr>
        <w:pStyle w:val="5"/>
      </w:pPr>
    </w:p>
    <w:p w14:paraId="458016E5">
      <w:pPr>
        <w:pStyle w:val="5"/>
      </w:pPr>
    </w:p>
    <w:p w14:paraId="2453DFF4">
      <w:pPr>
        <w:pStyle w:val="5"/>
      </w:pPr>
    </w:p>
    <w:p w14:paraId="5E96E88E">
      <w:pPr>
        <w:pStyle w:val="5"/>
      </w:pPr>
    </w:p>
    <w:p w14:paraId="5F64CD6E">
      <w:pPr>
        <w:pStyle w:val="5"/>
      </w:pPr>
    </w:p>
    <w:p w14:paraId="2F891792">
      <w:pPr>
        <w:pStyle w:val="5"/>
      </w:pPr>
    </w:p>
    <w:p w14:paraId="04BDE403">
      <w:pPr>
        <w:pStyle w:val="5"/>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6EEE8632">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22C2F568">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6F093B37">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114A8B7">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BFA82BF">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68286252">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346052A1">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136BFA1B">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2CFE49C2">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478"/>
        <w:gridCol w:w="2298"/>
      </w:tblGrid>
      <w:tr w14:paraId="7C21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14:paraId="49B63E4C">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478" w:type="dxa"/>
            <w:noWrap w:val="0"/>
            <w:vAlign w:val="top"/>
          </w:tcPr>
          <w:p w14:paraId="093A83C6">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298" w:type="dxa"/>
            <w:noWrap w:val="0"/>
            <w:vAlign w:val="top"/>
          </w:tcPr>
          <w:p w14:paraId="323E6F8C">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14:paraId="4A2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14:paraId="1248F14D">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体质辨识健康管理系统</w:t>
            </w:r>
          </w:p>
        </w:tc>
        <w:tc>
          <w:tcPr>
            <w:tcW w:w="2478" w:type="dxa"/>
            <w:noWrap w:val="0"/>
            <w:vAlign w:val="top"/>
          </w:tcPr>
          <w:p w14:paraId="04A5CA21">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全科与老年医学科</w:t>
            </w:r>
          </w:p>
        </w:tc>
        <w:tc>
          <w:tcPr>
            <w:tcW w:w="2298" w:type="dxa"/>
            <w:noWrap w:val="0"/>
            <w:vAlign w:val="top"/>
          </w:tcPr>
          <w:p w14:paraId="151AD0F6">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1套</w:t>
            </w:r>
          </w:p>
        </w:tc>
      </w:tr>
    </w:tbl>
    <w:p w14:paraId="48240F04">
      <w:pPr>
        <w:spacing w:line="440" w:lineRule="exact"/>
        <w:jc w:val="center"/>
        <w:rPr>
          <w:rFonts w:ascii="仿宋" w:hAnsi="仿宋" w:eastAsia="仿宋" w:cs="仿宋"/>
          <w:color w:val="000000"/>
          <w:sz w:val="24"/>
        </w:rPr>
      </w:pPr>
    </w:p>
    <w:p w14:paraId="109E716F">
      <w:pPr>
        <w:spacing w:line="440" w:lineRule="exact"/>
        <w:rPr>
          <w:rFonts w:hint="eastAsia" w:ascii="仿宋" w:hAnsi="仿宋" w:eastAsia="仿宋" w:cs="仿宋"/>
          <w:color w:val="000000"/>
          <w:sz w:val="24"/>
        </w:rPr>
      </w:pPr>
      <w:r>
        <w:rPr>
          <w:rFonts w:hint="eastAsia" w:ascii="仿宋" w:hAnsi="仿宋" w:eastAsia="仿宋" w:cs="仿宋"/>
          <w:color w:val="000000"/>
          <w:sz w:val="24"/>
        </w:rPr>
        <w:t>用途：协助医疗机构开展中医预防保健服务及中医特色诊疗服务：</w:t>
      </w:r>
    </w:p>
    <w:p w14:paraId="1A1E3768">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为客户提供健康状态辨识及风险评估</w:t>
      </w:r>
    </w:p>
    <w:p w14:paraId="2D129794">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为客户提供中医体检和评估服务;</w:t>
      </w:r>
    </w:p>
    <w:p w14:paraId="52E3F6F5">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进行客户健康状态信息管理:</w:t>
      </w:r>
    </w:p>
    <w:p w14:paraId="0B0FD579">
      <w:pPr>
        <w:numPr>
          <w:ilvl w:val="0"/>
          <w:numId w:val="5"/>
        </w:numPr>
        <w:spacing w:line="440" w:lineRule="exact"/>
        <w:ind w:firstLine="480" w:firstLineChars="200"/>
      </w:pPr>
      <w:r>
        <w:rPr>
          <w:rFonts w:hint="eastAsia" w:ascii="仿宋" w:hAnsi="仿宋" w:eastAsia="仿宋" w:cs="仿宋"/>
          <w:color w:val="000000"/>
          <w:sz w:val="24"/>
        </w:rPr>
        <w:t>针对不同体质提供完善的调理干预方案。</w:t>
      </w:r>
    </w:p>
    <w:p w14:paraId="069900DA">
      <w:pPr>
        <w:pStyle w:val="2"/>
      </w:pPr>
    </w:p>
    <w:p w14:paraId="23C6BA68">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599"/>
      </w:tblGrid>
      <w:tr w14:paraId="6ED1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14:paraId="580D7440">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14:paraId="1883652A">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1CFE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A5DB168">
            <w:pPr>
              <w:spacing w:line="440" w:lineRule="exact"/>
              <w:jc w:val="center"/>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1</w:t>
            </w:r>
          </w:p>
        </w:tc>
        <w:tc>
          <w:tcPr>
            <w:tcW w:w="7599" w:type="dxa"/>
            <w:noWrap w:val="0"/>
            <w:vAlign w:val="top"/>
          </w:tcPr>
          <w:p w14:paraId="6F70713B">
            <w:pPr>
              <w:spacing w:line="440" w:lineRule="exact"/>
              <w:rPr>
                <w:rFonts w:hint="default" w:ascii="仿宋" w:hAnsi="仿宋" w:eastAsia="仿宋" w:cs="仿宋"/>
                <w:strike/>
                <w:dstrike w:val="0"/>
                <w:color w:val="auto"/>
                <w:sz w:val="24"/>
                <w:lang w:val="en-US"/>
              </w:rPr>
            </w:pPr>
            <w:r>
              <w:rPr>
                <w:rFonts w:hint="eastAsia" w:ascii="仿宋" w:hAnsi="仿宋" w:eastAsia="仿宋" w:cs="仿宋"/>
                <w:color w:val="000000"/>
                <w:sz w:val="24"/>
              </w:rPr>
              <w:t>★</w:t>
            </w:r>
            <w:r>
              <w:rPr>
                <w:rFonts w:hint="eastAsia" w:ascii="仿宋" w:hAnsi="仿宋" w:eastAsia="仿宋" w:cs="仿宋"/>
                <w:color w:val="auto"/>
                <w:sz w:val="24"/>
                <w:lang w:val="en-US" w:eastAsia="zh-CN"/>
              </w:rPr>
              <w:t>可移动平板电脑，屏幕大小不低于11英寸，拒绝台式机。</w:t>
            </w:r>
          </w:p>
        </w:tc>
      </w:tr>
      <w:tr w14:paraId="03EB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0D92B4A">
            <w:pPr>
              <w:spacing w:line="440" w:lineRule="exact"/>
              <w:jc w:val="center"/>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2</w:t>
            </w:r>
          </w:p>
        </w:tc>
        <w:tc>
          <w:tcPr>
            <w:tcW w:w="7599" w:type="dxa"/>
            <w:noWrap w:val="0"/>
            <w:vAlign w:val="top"/>
          </w:tcPr>
          <w:p w14:paraId="5AB8FB39">
            <w:pPr>
              <w:spacing w:line="440" w:lineRule="exact"/>
              <w:rPr>
                <w:rFonts w:hint="eastAsia" w:ascii="仿宋" w:hAnsi="仿宋" w:eastAsia="仿宋" w:cs="仿宋"/>
                <w:strike/>
                <w:dstrike w:val="0"/>
                <w:color w:val="auto"/>
                <w:sz w:val="24"/>
              </w:rPr>
            </w:pPr>
            <w:r>
              <w:rPr>
                <w:rFonts w:hint="eastAsia" w:ascii="仿宋" w:hAnsi="仿宋" w:eastAsia="仿宋" w:cs="仿宋"/>
                <w:color w:val="auto"/>
                <w:sz w:val="24"/>
              </w:rPr>
              <w:t xml:space="preserve">已病和未病双系统体质筛查。 </w:t>
            </w:r>
          </w:p>
        </w:tc>
      </w:tr>
      <w:tr w14:paraId="4356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4946FF63">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14:paraId="5D49CD50">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★九种基本体质判定及二十五种细分体质。 </w:t>
            </w:r>
          </w:p>
        </w:tc>
      </w:tr>
      <w:tr w14:paraId="23F2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7DE13E22">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14:paraId="24864B79">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★每种细分体质的十四项干预调理方案。 </w:t>
            </w:r>
          </w:p>
        </w:tc>
      </w:tr>
      <w:tr w14:paraId="70C6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4E447F0">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14:paraId="6DFDDE3A">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二十五种细分体质的动态筛查对比。 </w:t>
            </w:r>
          </w:p>
        </w:tc>
      </w:tr>
      <w:tr w14:paraId="6B72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4AF0D9A4">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14:paraId="4DE063A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档案储存、分析、</w:t>
            </w:r>
            <w:r>
              <w:rPr>
                <w:rFonts w:hint="eastAsia" w:ascii="仿宋" w:hAnsi="仿宋" w:eastAsia="仿宋" w:cs="仿宋"/>
                <w:color w:val="auto"/>
                <w:sz w:val="24"/>
                <w:lang w:val="en-US" w:eastAsia="zh-CN"/>
              </w:rPr>
              <w:t>能适配医院在用打印机。</w:t>
            </w:r>
            <w:r>
              <w:rPr>
                <w:rFonts w:hint="eastAsia" w:ascii="仿宋" w:hAnsi="仿宋" w:eastAsia="仿宋" w:cs="仿宋"/>
                <w:color w:val="auto"/>
                <w:sz w:val="24"/>
              </w:rPr>
              <w:t xml:space="preserve"> </w:t>
            </w:r>
          </w:p>
        </w:tc>
      </w:tr>
      <w:tr w14:paraId="1C2D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527DA846">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7599" w:type="dxa"/>
            <w:noWrap w:val="0"/>
            <w:vAlign w:val="top"/>
          </w:tcPr>
          <w:p w14:paraId="1E771F4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 xml:space="preserve">软件升级、远程联网会诊功能。 </w:t>
            </w:r>
          </w:p>
        </w:tc>
      </w:tr>
      <w:tr w14:paraId="0E19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79" w:type="dxa"/>
            <w:noWrap w:val="0"/>
            <w:vAlign w:val="center"/>
          </w:tcPr>
          <w:p w14:paraId="7E21E84C">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7599" w:type="dxa"/>
            <w:noWrap w:val="0"/>
            <w:vAlign w:val="top"/>
          </w:tcPr>
          <w:p w14:paraId="67A13E82">
            <w:pPr>
              <w:spacing w:line="440" w:lineRule="exact"/>
              <w:rPr>
                <w:rFonts w:hint="eastAsia" w:ascii="仿宋" w:hAnsi="仿宋" w:eastAsia="仿宋" w:cs="仿宋"/>
                <w:color w:val="auto"/>
                <w:sz w:val="24"/>
              </w:rPr>
            </w:pPr>
            <w:r>
              <w:rPr>
                <w:rFonts w:hint="eastAsia" w:ascii="仿宋" w:hAnsi="仿宋" w:eastAsia="仿宋" w:cs="仿宋"/>
                <w:color w:val="000000"/>
                <w:sz w:val="24"/>
                <w:lang w:val="en-US" w:eastAsia="zh-CN"/>
              </w:rPr>
              <w:t>具备</w:t>
            </w:r>
            <w:r>
              <w:rPr>
                <w:rFonts w:hint="eastAsia" w:ascii="仿宋" w:hAnsi="仿宋" w:eastAsia="仿宋" w:cs="仿宋"/>
                <w:color w:val="000000"/>
                <w:sz w:val="24"/>
              </w:rPr>
              <w:t>USB接口</w:t>
            </w:r>
            <w:r>
              <w:rPr>
                <w:rFonts w:hint="eastAsia" w:ascii="仿宋" w:hAnsi="仿宋" w:eastAsia="仿宋" w:cs="仿宋"/>
                <w:color w:val="000000"/>
                <w:sz w:val="24"/>
                <w:lang w:eastAsia="zh-CN"/>
              </w:rPr>
              <w:t>。</w:t>
            </w:r>
          </w:p>
        </w:tc>
      </w:tr>
      <w:tr w14:paraId="50EE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708E1CF1">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7599" w:type="dxa"/>
            <w:noWrap w:val="0"/>
            <w:vAlign w:val="top"/>
          </w:tcPr>
          <w:p w14:paraId="688467A2">
            <w:pPr>
              <w:spacing w:line="440" w:lineRule="exact"/>
              <w:rPr>
                <w:rFonts w:hint="eastAsia" w:ascii="仿宋" w:hAnsi="仿宋" w:eastAsia="仿宋" w:cs="仿宋"/>
                <w:color w:val="auto"/>
                <w:sz w:val="24"/>
              </w:rPr>
            </w:pPr>
            <w:r>
              <w:rPr>
                <w:rFonts w:hint="eastAsia" w:ascii="仿宋" w:hAnsi="仿宋" w:eastAsia="仿宋" w:cs="仿宋"/>
                <w:color w:val="auto"/>
                <w:sz w:val="24"/>
              </w:rPr>
              <w:t>语音提示操作</w:t>
            </w:r>
            <w:r>
              <w:rPr>
                <w:rFonts w:hint="eastAsia" w:ascii="仿宋" w:hAnsi="仿宋" w:eastAsia="仿宋" w:cs="仿宋"/>
                <w:color w:val="auto"/>
                <w:sz w:val="24"/>
                <w:lang w:eastAsia="zh-CN"/>
              </w:rPr>
              <w:t>。</w:t>
            </w:r>
          </w:p>
        </w:tc>
      </w:tr>
      <w:tr w14:paraId="6B97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5C9CC4FE">
            <w:pPr>
              <w:spacing w:line="44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599" w:type="dxa"/>
            <w:noWrap w:val="0"/>
            <w:vAlign w:val="top"/>
          </w:tcPr>
          <w:p w14:paraId="7E830ED7">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 xml:space="preserve">体质成因解读禁忌、易发疾病风险预测及干预前后对比功能。 </w:t>
            </w:r>
          </w:p>
        </w:tc>
      </w:tr>
      <w:tr w14:paraId="0343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3D03A0A8">
            <w:pPr>
              <w:spacing w:line="440" w:lineRule="exact"/>
              <w:jc w:val="center"/>
              <w:rPr>
                <w:rFonts w:ascii="仿宋" w:hAnsi="仿宋" w:eastAsia="仿宋" w:cs="仿宋"/>
                <w:strike/>
                <w:dstrike w:val="0"/>
                <w:color w:val="FF0000"/>
                <w:sz w:val="24"/>
              </w:rPr>
            </w:pPr>
            <w:r>
              <w:rPr>
                <w:rFonts w:hint="eastAsia" w:ascii="仿宋" w:hAnsi="仿宋" w:eastAsia="仿宋" w:cs="仿宋"/>
                <w:strike w:val="0"/>
                <w:dstrike w:val="0"/>
                <w:color w:val="auto"/>
                <w:sz w:val="24"/>
              </w:rPr>
              <w:t>11</w:t>
            </w:r>
          </w:p>
        </w:tc>
        <w:tc>
          <w:tcPr>
            <w:tcW w:w="7599" w:type="dxa"/>
            <w:noWrap w:val="0"/>
            <w:vAlign w:val="top"/>
          </w:tcPr>
          <w:p w14:paraId="5D6419B1">
            <w:pPr>
              <w:spacing w:line="440" w:lineRule="exact"/>
              <w:rPr>
                <w:rFonts w:hint="default" w:ascii="仿宋" w:hAnsi="仿宋" w:eastAsia="仿宋" w:cs="仿宋"/>
                <w:strike/>
                <w:dstrike w:val="0"/>
                <w:color w:val="auto"/>
                <w:sz w:val="24"/>
                <w:lang w:val="en-US" w:eastAsia="zh-CN"/>
              </w:rPr>
            </w:pPr>
            <w:r>
              <w:rPr>
                <w:rFonts w:hint="eastAsia" w:ascii="仿宋" w:hAnsi="仿宋" w:eastAsia="仿宋" w:cs="仿宋"/>
                <w:color w:val="auto"/>
                <w:sz w:val="24"/>
              </w:rPr>
              <w:t>软件操作流程化设计，通过问卷形式，</w:t>
            </w:r>
            <w:r>
              <w:rPr>
                <w:rFonts w:hint="eastAsia" w:ascii="仿宋" w:hAnsi="仿宋" w:eastAsia="仿宋" w:cs="仿宋"/>
                <w:color w:val="auto"/>
                <w:sz w:val="24"/>
                <w:lang w:val="en-US" w:eastAsia="zh-CN"/>
              </w:rPr>
              <w:t>问卷结果能导出存档至电脑端。</w:t>
            </w:r>
          </w:p>
        </w:tc>
      </w:tr>
      <w:tr w14:paraId="5611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7273FCD7">
            <w:pPr>
              <w:spacing w:line="44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7599" w:type="dxa"/>
            <w:noWrap w:val="0"/>
            <w:vAlign w:val="top"/>
          </w:tcPr>
          <w:p w14:paraId="68ACB045">
            <w:pPr>
              <w:spacing w:line="440" w:lineRule="exact"/>
              <w:rPr>
                <w:rFonts w:hint="eastAsia" w:ascii="仿宋" w:hAnsi="仿宋" w:eastAsia="仿宋" w:cs="仿宋"/>
                <w:color w:val="auto"/>
                <w:sz w:val="24"/>
              </w:rPr>
            </w:pPr>
            <w:r>
              <w:rPr>
                <w:rFonts w:hint="eastAsia" w:ascii="仿宋" w:hAnsi="仿宋" w:eastAsia="仿宋" w:cs="仿宋"/>
                <w:color w:val="auto"/>
                <w:sz w:val="24"/>
              </w:rPr>
              <w:t>答题反应时间＜500毫秒。</w:t>
            </w:r>
          </w:p>
        </w:tc>
      </w:tr>
      <w:tr w14:paraId="6DE1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1B0B26AF">
            <w:pPr>
              <w:spacing w:line="44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7599" w:type="dxa"/>
            <w:noWrap w:val="0"/>
            <w:vAlign w:val="top"/>
          </w:tcPr>
          <w:p w14:paraId="50CB4785">
            <w:pPr>
              <w:spacing w:line="440" w:lineRule="exact"/>
              <w:rPr>
                <w:rFonts w:hint="eastAsia" w:ascii="仿宋" w:hAnsi="仿宋" w:eastAsia="仿宋" w:cs="仿宋"/>
                <w:color w:val="auto"/>
                <w:sz w:val="24"/>
              </w:rPr>
            </w:pPr>
            <w:r>
              <w:rPr>
                <w:rFonts w:hint="eastAsia" w:ascii="仿宋" w:hAnsi="仿宋" w:eastAsia="仿宋" w:cs="仿宋"/>
                <w:color w:val="000000"/>
                <w:sz w:val="24"/>
              </w:rPr>
              <w:t xml:space="preserve">加密狗接口。 </w:t>
            </w:r>
          </w:p>
        </w:tc>
      </w:tr>
      <w:tr w14:paraId="3D51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01CC5D9">
            <w:pPr>
              <w:spacing w:line="440" w:lineRule="exact"/>
              <w:jc w:val="center"/>
              <w:rPr>
                <w:rFonts w:ascii="仿宋" w:hAnsi="仿宋" w:eastAsia="仿宋" w:cs="仿宋"/>
                <w:strike/>
                <w:dstrike w:val="0"/>
                <w:color w:val="FF0000"/>
                <w:sz w:val="24"/>
              </w:rPr>
            </w:pPr>
            <w:r>
              <w:rPr>
                <w:rFonts w:hint="eastAsia" w:ascii="仿宋" w:hAnsi="仿宋" w:eastAsia="仿宋" w:cs="仿宋"/>
                <w:strike w:val="0"/>
                <w:dstrike w:val="0"/>
                <w:color w:val="auto"/>
                <w:sz w:val="24"/>
              </w:rPr>
              <w:t>14</w:t>
            </w:r>
          </w:p>
        </w:tc>
        <w:tc>
          <w:tcPr>
            <w:tcW w:w="7599" w:type="dxa"/>
            <w:noWrap w:val="0"/>
            <w:vAlign w:val="top"/>
          </w:tcPr>
          <w:p w14:paraId="32853FE0">
            <w:pPr>
              <w:spacing w:line="440" w:lineRule="exact"/>
              <w:rPr>
                <w:rFonts w:hint="default" w:ascii="仿宋" w:hAnsi="仿宋" w:eastAsia="仿宋" w:cs="仿宋"/>
                <w:strike/>
                <w:dstrike w:val="0"/>
                <w:color w:val="FF0000"/>
                <w:sz w:val="24"/>
                <w:lang w:val="en-US"/>
              </w:rPr>
            </w:pPr>
            <w:r>
              <w:rPr>
                <w:rFonts w:hint="eastAsia" w:ascii="仿宋" w:hAnsi="仿宋" w:eastAsia="仿宋" w:cs="仿宋"/>
                <w:color w:val="auto"/>
                <w:sz w:val="24"/>
              </w:rPr>
              <w:t>★</w:t>
            </w:r>
            <w:r>
              <w:rPr>
                <w:rFonts w:hint="eastAsia" w:ascii="仿宋" w:hAnsi="仿宋" w:eastAsia="仿宋" w:cs="仿宋"/>
                <w:color w:val="auto"/>
                <w:sz w:val="24"/>
                <w:highlight w:val="none"/>
                <w:lang w:val="en-US" w:eastAsia="zh-CN"/>
              </w:rPr>
              <w:t>设备能与我院HIS系统等管理系统对接，能在HIS系统存档，对接费用由中标人负责。</w:t>
            </w:r>
          </w:p>
        </w:tc>
      </w:tr>
      <w:tr w14:paraId="0517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55EAE2C5">
            <w:pPr>
              <w:spacing w:line="440" w:lineRule="exact"/>
              <w:jc w:val="center"/>
              <w:rPr>
                <w:rFonts w:hint="default" w:ascii="仿宋" w:hAnsi="仿宋" w:eastAsia="仿宋" w:cs="仿宋"/>
                <w:strike w:val="0"/>
                <w:dstrike w:val="0"/>
                <w:color w:val="auto"/>
                <w:sz w:val="24"/>
                <w:lang w:val="en-US" w:eastAsia="zh-CN"/>
              </w:rPr>
            </w:pPr>
            <w:r>
              <w:rPr>
                <w:rFonts w:hint="eastAsia" w:ascii="仿宋" w:hAnsi="仿宋" w:eastAsia="仿宋" w:cs="仿宋"/>
                <w:strike w:val="0"/>
                <w:dstrike w:val="0"/>
                <w:color w:val="auto"/>
                <w:sz w:val="24"/>
                <w:lang w:val="en-US" w:eastAsia="zh-CN"/>
              </w:rPr>
              <w:t>15</w:t>
            </w:r>
          </w:p>
        </w:tc>
        <w:tc>
          <w:tcPr>
            <w:tcW w:w="7599" w:type="dxa"/>
            <w:noWrap w:val="0"/>
            <w:vAlign w:val="top"/>
          </w:tcPr>
          <w:p w14:paraId="2B9BC9D6">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使用年限不低于5年</w:t>
            </w:r>
          </w:p>
        </w:tc>
      </w:tr>
      <w:tr w14:paraId="7718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2152C5AF">
            <w:pPr>
              <w:spacing w:line="440" w:lineRule="exact"/>
              <w:jc w:val="center"/>
              <w:rPr>
                <w:rFonts w:hint="default" w:ascii="仿宋" w:hAnsi="仿宋" w:eastAsia="仿宋" w:cs="仿宋"/>
                <w:strike w:val="0"/>
                <w:dstrike w:val="0"/>
                <w:color w:val="auto"/>
                <w:sz w:val="24"/>
                <w:lang w:val="en-US" w:eastAsia="zh-CN"/>
              </w:rPr>
            </w:pPr>
            <w:r>
              <w:rPr>
                <w:rFonts w:hint="eastAsia" w:ascii="仿宋" w:hAnsi="仿宋" w:eastAsia="仿宋" w:cs="仿宋"/>
                <w:strike w:val="0"/>
                <w:dstrike w:val="0"/>
                <w:color w:val="auto"/>
                <w:sz w:val="24"/>
                <w:lang w:val="en-US" w:eastAsia="zh-CN"/>
              </w:rPr>
              <w:t>16</w:t>
            </w:r>
          </w:p>
        </w:tc>
        <w:tc>
          <w:tcPr>
            <w:tcW w:w="7599" w:type="dxa"/>
            <w:noWrap w:val="0"/>
            <w:vAlign w:val="top"/>
          </w:tcPr>
          <w:p w14:paraId="5F061C44">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需要报告上注明提示，例如：“本次报告结果只针对本次测评，体质与生活作息、饮食、药物、环境关系密切，需要结合临床医生诊治”。</w:t>
            </w:r>
          </w:p>
        </w:tc>
      </w:tr>
    </w:tbl>
    <w:p w14:paraId="425882AE">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07"/>
        <w:gridCol w:w="4490"/>
        <w:gridCol w:w="969"/>
        <w:gridCol w:w="920"/>
      </w:tblGrid>
      <w:tr w14:paraId="5359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49A43285">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207" w:type="dxa"/>
            <w:noWrap w:val="0"/>
            <w:vAlign w:val="top"/>
          </w:tcPr>
          <w:p w14:paraId="18405E49">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4490" w:type="dxa"/>
            <w:noWrap w:val="0"/>
            <w:vAlign w:val="top"/>
          </w:tcPr>
          <w:p w14:paraId="62334298">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969" w:type="dxa"/>
            <w:noWrap w:val="0"/>
            <w:vAlign w:val="top"/>
          </w:tcPr>
          <w:p w14:paraId="59F1AC5E">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14:paraId="44116887">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0B0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AECA8EB">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207" w:type="dxa"/>
            <w:noWrap w:val="0"/>
            <w:vAlign w:val="top"/>
          </w:tcPr>
          <w:p w14:paraId="2F851543">
            <w:pPr>
              <w:spacing w:line="440" w:lineRule="exact"/>
              <w:rPr>
                <w:rFonts w:ascii="仿宋" w:hAnsi="仿宋" w:eastAsia="仿宋" w:cs="仿宋"/>
                <w:color w:val="000000"/>
                <w:sz w:val="24"/>
              </w:rPr>
            </w:pPr>
            <w:r>
              <w:rPr>
                <w:rFonts w:hint="eastAsia" w:ascii="仿宋" w:hAnsi="仿宋" w:eastAsia="仿宋" w:cs="仿宋"/>
                <w:color w:val="000000"/>
                <w:sz w:val="24"/>
              </w:rPr>
              <w:t>主机</w:t>
            </w:r>
          </w:p>
        </w:tc>
        <w:tc>
          <w:tcPr>
            <w:tcW w:w="4490" w:type="dxa"/>
            <w:noWrap w:val="0"/>
            <w:vAlign w:val="top"/>
          </w:tcPr>
          <w:p w14:paraId="035A6725">
            <w:pPr>
              <w:spacing w:line="440" w:lineRule="exact"/>
              <w:rPr>
                <w:rFonts w:ascii="仿宋" w:hAnsi="仿宋" w:eastAsia="仿宋" w:cs="仿宋"/>
                <w:color w:val="000000"/>
                <w:sz w:val="24"/>
              </w:rPr>
            </w:pPr>
            <w:r>
              <w:rPr>
                <w:rFonts w:hint="eastAsia" w:ascii="仿宋" w:hAnsi="仿宋" w:eastAsia="仿宋" w:cs="仿宋"/>
                <w:color w:val="auto"/>
                <w:sz w:val="24"/>
                <w:lang w:val="en-US" w:eastAsia="zh-CN"/>
              </w:rPr>
              <w:t>可移动平板电脑，屏幕大小不低于11英寸</w:t>
            </w:r>
          </w:p>
        </w:tc>
        <w:tc>
          <w:tcPr>
            <w:tcW w:w="969" w:type="dxa"/>
            <w:noWrap w:val="0"/>
            <w:vAlign w:val="top"/>
          </w:tcPr>
          <w:p w14:paraId="2B2CD8EB">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38778EEF">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台</w:t>
            </w:r>
          </w:p>
        </w:tc>
      </w:tr>
      <w:tr w14:paraId="4BA1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3C33803">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207" w:type="dxa"/>
            <w:noWrap w:val="0"/>
            <w:vAlign w:val="top"/>
          </w:tcPr>
          <w:p w14:paraId="05A9169B">
            <w:pPr>
              <w:spacing w:line="440" w:lineRule="exact"/>
              <w:rPr>
                <w:rFonts w:ascii="仿宋" w:hAnsi="仿宋" w:eastAsia="仿宋" w:cs="仿宋"/>
                <w:color w:val="000000"/>
                <w:sz w:val="24"/>
              </w:rPr>
            </w:pPr>
            <w:r>
              <w:rPr>
                <w:rFonts w:hint="eastAsia" w:ascii="仿宋" w:hAnsi="仿宋" w:eastAsia="仿宋" w:cs="仿宋"/>
                <w:color w:val="000000"/>
                <w:sz w:val="24"/>
                <w:lang w:val="en-US" w:eastAsia="zh-CN"/>
              </w:rPr>
              <w:t>充电</w:t>
            </w:r>
            <w:r>
              <w:rPr>
                <w:rFonts w:hint="eastAsia" w:ascii="仿宋" w:hAnsi="仿宋" w:eastAsia="仿宋" w:cs="仿宋"/>
                <w:color w:val="000000"/>
                <w:sz w:val="24"/>
              </w:rPr>
              <w:t>线</w:t>
            </w:r>
          </w:p>
        </w:tc>
        <w:tc>
          <w:tcPr>
            <w:tcW w:w="4490" w:type="dxa"/>
            <w:noWrap w:val="0"/>
            <w:vAlign w:val="top"/>
          </w:tcPr>
          <w:p w14:paraId="2C8503E1">
            <w:pPr>
              <w:spacing w:line="440" w:lineRule="exact"/>
              <w:rPr>
                <w:rFonts w:ascii="仿宋" w:hAnsi="仿宋" w:eastAsia="仿宋" w:cs="仿宋"/>
                <w:color w:val="000000"/>
                <w:sz w:val="24"/>
              </w:rPr>
            </w:pPr>
            <w:r>
              <w:rPr>
                <w:rFonts w:hint="eastAsia" w:ascii="仿宋" w:hAnsi="仿宋" w:eastAsia="仿宋" w:cs="仿宋"/>
                <w:color w:val="000000"/>
                <w:sz w:val="24"/>
              </w:rPr>
              <w:t>/</w:t>
            </w:r>
          </w:p>
        </w:tc>
        <w:tc>
          <w:tcPr>
            <w:tcW w:w="969" w:type="dxa"/>
            <w:noWrap w:val="0"/>
            <w:vAlign w:val="top"/>
          </w:tcPr>
          <w:p w14:paraId="36DE796D">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11517EBA">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根</w:t>
            </w:r>
          </w:p>
        </w:tc>
      </w:tr>
      <w:tr w14:paraId="754F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05436024">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207" w:type="dxa"/>
            <w:noWrap w:val="0"/>
            <w:vAlign w:val="top"/>
          </w:tcPr>
          <w:p w14:paraId="0A8A70D0">
            <w:pPr>
              <w:spacing w:line="440" w:lineRule="exact"/>
              <w:rPr>
                <w:rFonts w:ascii="仿宋" w:hAnsi="仿宋" w:eastAsia="仿宋" w:cs="仿宋"/>
                <w:color w:val="000000"/>
                <w:sz w:val="24"/>
              </w:rPr>
            </w:pPr>
            <w:r>
              <w:rPr>
                <w:rFonts w:hint="eastAsia" w:ascii="仿宋" w:hAnsi="仿宋" w:eastAsia="仿宋" w:cs="仿宋"/>
                <w:color w:val="000000"/>
                <w:sz w:val="24"/>
              </w:rPr>
              <w:t>系统软件</w:t>
            </w:r>
          </w:p>
        </w:tc>
        <w:tc>
          <w:tcPr>
            <w:tcW w:w="4490" w:type="dxa"/>
            <w:noWrap w:val="0"/>
            <w:vAlign w:val="top"/>
          </w:tcPr>
          <w:p w14:paraId="5D67B936">
            <w:pPr>
              <w:spacing w:line="440" w:lineRule="exact"/>
              <w:rPr>
                <w:rFonts w:ascii="仿宋" w:hAnsi="仿宋" w:eastAsia="仿宋" w:cs="仿宋"/>
                <w:color w:val="000000"/>
                <w:sz w:val="24"/>
              </w:rPr>
            </w:pPr>
            <w:r>
              <w:rPr>
                <w:rFonts w:hint="eastAsia" w:ascii="仿宋" w:hAnsi="仿宋" w:eastAsia="仿宋" w:cs="仿宋"/>
                <w:color w:val="000000"/>
                <w:sz w:val="24"/>
              </w:rPr>
              <w:t>体质辨识健康管理系统软件</w:t>
            </w:r>
          </w:p>
        </w:tc>
        <w:tc>
          <w:tcPr>
            <w:tcW w:w="969" w:type="dxa"/>
            <w:noWrap w:val="0"/>
            <w:vAlign w:val="top"/>
          </w:tcPr>
          <w:p w14:paraId="1720F649">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15891934">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套</w:t>
            </w:r>
          </w:p>
        </w:tc>
      </w:tr>
      <w:tr w14:paraId="2A00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74EFB97B">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1207" w:type="dxa"/>
            <w:noWrap w:val="0"/>
            <w:vAlign w:val="top"/>
          </w:tcPr>
          <w:p w14:paraId="2A258EA0">
            <w:pPr>
              <w:spacing w:line="440" w:lineRule="exact"/>
              <w:rPr>
                <w:rFonts w:ascii="仿宋" w:hAnsi="仿宋" w:eastAsia="仿宋" w:cs="仿宋"/>
                <w:color w:val="000000"/>
                <w:sz w:val="24"/>
              </w:rPr>
            </w:pPr>
            <w:r>
              <w:rPr>
                <w:rFonts w:hint="eastAsia" w:ascii="仿宋" w:hAnsi="仿宋" w:eastAsia="仿宋" w:cs="仿宋"/>
                <w:color w:val="000000"/>
                <w:sz w:val="24"/>
              </w:rPr>
              <w:t>加密狗</w:t>
            </w:r>
          </w:p>
        </w:tc>
        <w:tc>
          <w:tcPr>
            <w:tcW w:w="4490" w:type="dxa"/>
            <w:noWrap w:val="0"/>
            <w:vAlign w:val="top"/>
          </w:tcPr>
          <w:p w14:paraId="7DEB09E2">
            <w:pPr>
              <w:spacing w:line="440" w:lineRule="exact"/>
              <w:rPr>
                <w:rFonts w:ascii="仿宋" w:hAnsi="仿宋" w:eastAsia="仿宋" w:cs="仿宋"/>
                <w:color w:val="000000"/>
                <w:sz w:val="24"/>
              </w:rPr>
            </w:pPr>
            <w:r>
              <w:rPr>
                <w:rFonts w:hint="eastAsia" w:ascii="仿宋" w:hAnsi="仿宋" w:eastAsia="仿宋" w:cs="仿宋"/>
                <w:color w:val="000000"/>
                <w:sz w:val="24"/>
              </w:rPr>
              <w:t>解锁软件</w:t>
            </w:r>
          </w:p>
        </w:tc>
        <w:tc>
          <w:tcPr>
            <w:tcW w:w="969" w:type="dxa"/>
            <w:noWrap w:val="0"/>
            <w:vAlign w:val="top"/>
          </w:tcPr>
          <w:p w14:paraId="290A5F3C">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2429C458">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个</w:t>
            </w:r>
          </w:p>
        </w:tc>
      </w:tr>
      <w:tr w14:paraId="245E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0E102E00">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1207" w:type="dxa"/>
            <w:noWrap w:val="0"/>
            <w:vAlign w:val="top"/>
          </w:tcPr>
          <w:p w14:paraId="1D681E80">
            <w:pPr>
              <w:spacing w:line="440" w:lineRule="exact"/>
              <w:rPr>
                <w:rFonts w:ascii="仿宋" w:hAnsi="仿宋" w:eastAsia="仿宋" w:cs="仿宋"/>
                <w:color w:val="000000"/>
                <w:sz w:val="24"/>
              </w:rPr>
            </w:pPr>
            <w:r>
              <w:rPr>
                <w:rFonts w:hint="eastAsia" w:ascii="仿宋" w:hAnsi="仿宋" w:eastAsia="仿宋" w:cs="仿宋"/>
                <w:color w:val="000000"/>
                <w:sz w:val="24"/>
              </w:rPr>
              <w:t>说明书</w:t>
            </w:r>
          </w:p>
        </w:tc>
        <w:tc>
          <w:tcPr>
            <w:tcW w:w="4490" w:type="dxa"/>
            <w:noWrap w:val="0"/>
            <w:vAlign w:val="top"/>
          </w:tcPr>
          <w:p w14:paraId="4BB76821">
            <w:pPr>
              <w:spacing w:line="440" w:lineRule="exact"/>
              <w:rPr>
                <w:rFonts w:hint="eastAsia" w:ascii="仿宋" w:hAnsi="仿宋" w:eastAsia="仿宋" w:cs="仿宋"/>
                <w:color w:val="000000"/>
                <w:sz w:val="24"/>
              </w:rPr>
            </w:pPr>
            <w:r>
              <w:rPr>
                <w:rFonts w:hint="eastAsia" w:ascii="仿宋" w:hAnsi="仿宋" w:eastAsia="仿宋" w:cs="仿宋"/>
                <w:color w:val="000000"/>
                <w:sz w:val="24"/>
              </w:rPr>
              <w:t>/</w:t>
            </w:r>
          </w:p>
        </w:tc>
        <w:tc>
          <w:tcPr>
            <w:tcW w:w="969" w:type="dxa"/>
            <w:noWrap w:val="0"/>
            <w:vAlign w:val="top"/>
          </w:tcPr>
          <w:p w14:paraId="4BE28BAA">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19AB6606">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本</w:t>
            </w:r>
          </w:p>
        </w:tc>
      </w:tr>
      <w:tr w14:paraId="388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11B5B37">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1207" w:type="dxa"/>
            <w:noWrap w:val="0"/>
            <w:vAlign w:val="top"/>
          </w:tcPr>
          <w:p w14:paraId="70E02CA5">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质保卡</w:t>
            </w:r>
          </w:p>
        </w:tc>
        <w:tc>
          <w:tcPr>
            <w:tcW w:w="4490" w:type="dxa"/>
            <w:noWrap w:val="0"/>
            <w:vAlign w:val="top"/>
          </w:tcPr>
          <w:p w14:paraId="184C2169">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w:t>
            </w:r>
          </w:p>
        </w:tc>
        <w:tc>
          <w:tcPr>
            <w:tcW w:w="969" w:type="dxa"/>
            <w:noWrap w:val="0"/>
            <w:vAlign w:val="top"/>
          </w:tcPr>
          <w:p w14:paraId="181701C0">
            <w:pPr>
              <w:spacing w:line="440" w:lineRule="exact"/>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1</w:t>
            </w:r>
          </w:p>
        </w:tc>
        <w:tc>
          <w:tcPr>
            <w:tcW w:w="920" w:type="dxa"/>
            <w:noWrap w:val="0"/>
            <w:vAlign w:val="top"/>
          </w:tcPr>
          <w:p w14:paraId="7BDDEDFD">
            <w:pPr>
              <w:spacing w:line="440" w:lineRule="exact"/>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份</w:t>
            </w:r>
          </w:p>
        </w:tc>
      </w:tr>
      <w:tr w14:paraId="4994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61249EE">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1207" w:type="dxa"/>
            <w:noWrap w:val="0"/>
            <w:vAlign w:val="top"/>
          </w:tcPr>
          <w:p w14:paraId="45DFEE8C">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合格证</w:t>
            </w:r>
          </w:p>
        </w:tc>
        <w:tc>
          <w:tcPr>
            <w:tcW w:w="4490" w:type="dxa"/>
            <w:noWrap w:val="0"/>
            <w:vAlign w:val="top"/>
          </w:tcPr>
          <w:p w14:paraId="73ADD228">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w:t>
            </w:r>
          </w:p>
        </w:tc>
        <w:tc>
          <w:tcPr>
            <w:tcW w:w="969" w:type="dxa"/>
            <w:noWrap w:val="0"/>
            <w:vAlign w:val="top"/>
          </w:tcPr>
          <w:p w14:paraId="68AD2450">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1</w:t>
            </w:r>
          </w:p>
        </w:tc>
        <w:tc>
          <w:tcPr>
            <w:tcW w:w="920" w:type="dxa"/>
            <w:noWrap w:val="0"/>
            <w:vAlign w:val="top"/>
          </w:tcPr>
          <w:p w14:paraId="62CB3405">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份</w:t>
            </w:r>
          </w:p>
        </w:tc>
      </w:tr>
      <w:tr w14:paraId="43F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4D93C73">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1207" w:type="dxa"/>
            <w:noWrap w:val="0"/>
            <w:vAlign w:val="top"/>
          </w:tcPr>
          <w:p w14:paraId="2E9DE83E">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快速使用说明指南</w:t>
            </w:r>
          </w:p>
        </w:tc>
        <w:tc>
          <w:tcPr>
            <w:tcW w:w="4490" w:type="dxa"/>
            <w:noWrap w:val="0"/>
            <w:vAlign w:val="top"/>
          </w:tcPr>
          <w:p w14:paraId="165337C4">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w:t>
            </w:r>
          </w:p>
        </w:tc>
        <w:tc>
          <w:tcPr>
            <w:tcW w:w="969" w:type="dxa"/>
            <w:noWrap w:val="0"/>
            <w:vAlign w:val="top"/>
          </w:tcPr>
          <w:p w14:paraId="4D9585A5">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1</w:t>
            </w:r>
          </w:p>
        </w:tc>
        <w:tc>
          <w:tcPr>
            <w:tcW w:w="920" w:type="dxa"/>
            <w:noWrap w:val="0"/>
            <w:vAlign w:val="top"/>
          </w:tcPr>
          <w:p w14:paraId="6089510D">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份</w:t>
            </w:r>
          </w:p>
        </w:tc>
      </w:tr>
    </w:tbl>
    <w:p w14:paraId="4A14F665">
      <w:pPr>
        <w:spacing w:line="440" w:lineRule="exact"/>
        <w:rPr>
          <w:rFonts w:ascii="仿宋" w:hAnsi="仿宋" w:eastAsia="仿宋" w:cs="仿宋"/>
          <w:b/>
          <w:color w:val="000000"/>
          <w:sz w:val="24"/>
        </w:rPr>
      </w:pPr>
    </w:p>
    <w:p w14:paraId="5E878D72">
      <w:pPr>
        <w:pStyle w:val="12"/>
        <w:numPr>
          <w:ilvl w:val="0"/>
          <w:numId w:val="6"/>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14:paraId="0D5B7E1A">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4D7AD151">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79579F43">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6F174A87">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9547773">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6F51CD7A">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59E7EEFB">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6F695B">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6D8BFA6F">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5DDA938">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527A1F5B">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0AA13939">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1  </w:t>
      </w:r>
      <w:r>
        <w:rPr>
          <w:rFonts w:hint="eastAsia" w:ascii="仿宋" w:hAnsi="仿宋" w:eastAsia="仿宋" w:cs="仿宋"/>
          <w:color w:val="000000"/>
          <w:sz w:val="24"/>
          <w:highlight w:val="none"/>
        </w:rPr>
        <w:t>年。</w:t>
      </w:r>
    </w:p>
    <w:p w14:paraId="69A47656">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002B70DE">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15C0AF31">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491249C2">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1BC6272D">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4C98A5CF">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74AC6912">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28848884">
      <w:pPr>
        <w:spacing w:line="440" w:lineRule="exact"/>
        <w:rPr>
          <w:rFonts w:ascii="仿宋" w:hAnsi="仿宋" w:eastAsia="仿宋" w:cs="仿宋"/>
          <w:color w:val="000000"/>
          <w:sz w:val="24"/>
        </w:rPr>
      </w:pPr>
      <w:r>
        <w:rPr>
          <w:rFonts w:hint="eastAsia" w:ascii="仿宋" w:hAnsi="仿宋" w:eastAsia="仿宋" w:cs="仿宋"/>
          <w:color w:val="000000"/>
          <w:sz w:val="24"/>
          <w:highlight w:val="none"/>
        </w:rPr>
        <w:t>3.2具体付款方式：合同签订后，乙方按合同协议时间提供货物，并经协议规定的验收人员书面确认验收合格后，开具全额发票，甲方确认无误后一个月内支付合同总金额的100%的款项。</w:t>
      </w:r>
    </w:p>
    <w:p w14:paraId="2367128A">
      <w:pPr>
        <w:spacing w:line="440" w:lineRule="exact"/>
        <w:jc w:val="center"/>
        <w:rPr>
          <w:rFonts w:ascii="仿宋" w:hAnsi="仿宋" w:eastAsia="仿宋" w:cs="仿宋"/>
          <w:b/>
          <w:bCs/>
          <w:color w:val="000000"/>
          <w:sz w:val="24"/>
        </w:rPr>
      </w:pPr>
    </w:p>
    <w:p w14:paraId="670EBEF0">
      <w:pPr>
        <w:rPr>
          <w:rFonts w:ascii="仿宋" w:hAnsi="仿宋" w:eastAsia="仿宋" w:cs="仿宋"/>
          <w:color w:val="000000"/>
          <w:sz w:val="24"/>
          <w:highlight w:val="cyan"/>
          <w:lang w:val="zh-CN"/>
        </w:rPr>
      </w:pPr>
    </w:p>
    <w:p w14:paraId="1A4C4460">
      <w:pPr>
        <w:spacing w:line="440" w:lineRule="exact"/>
        <w:rPr>
          <w:rFonts w:ascii="仿宋" w:hAnsi="仿宋" w:eastAsia="仿宋" w:cs="仿宋"/>
          <w:b/>
          <w:bCs/>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F69365D3"/>
    <w:multiLevelType w:val="singleLevel"/>
    <w:tmpl w:val="F69365D3"/>
    <w:lvl w:ilvl="0" w:tentative="0">
      <w:start w:val="1"/>
      <w:numFmt w:val="decimalEnclosedCircleChinese"/>
      <w:suff w:val="nothing"/>
      <w:lvlText w:val="%1　"/>
      <w:lvlJc w:val="left"/>
      <w:pPr>
        <w:ind w:left="0" w:firstLine="400"/>
      </w:pPr>
      <w:rPr>
        <w:rFonts w:hint="eastAsia"/>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AA216C"/>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B32190"/>
    <w:rsid w:val="644C371A"/>
    <w:rsid w:val="660C7022"/>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30644B"/>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840</Words>
  <Characters>940</Characters>
  <Lines>21</Lines>
  <Paragraphs>5</Paragraphs>
  <TotalTime>1</TotalTime>
  <ScaleCrop>false</ScaleCrop>
  <LinksUpToDate>false</LinksUpToDate>
  <CharactersWithSpaces>1032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2025-08-08T00:59:56Z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3D822DBC6B0043ACAB372B0AB2E84D24</vt:lpwstr>
  </property>
</Properties>
</file>