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6F4BCA60">
      <w:pPr>
        <w:pStyle w:val="3"/>
        <w:rPr>
          <w:b/>
          <w:bCs/>
          <w:color w:val="0000FF"/>
          <w:sz w:val="24"/>
        </w:rPr>
      </w:pPr>
    </w:p>
    <w:p w14:paraId="23546B96">
      <w:pPr>
        <w:widowControl/>
        <w:jc w:val="left"/>
        <w:rPr>
          <w:b/>
          <w:bCs/>
          <w:sz w:val="28"/>
          <w:szCs w:val="28"/>
        </w:rPr>
      </w:pPr>
      <w:r>
        <w:rPr>
          <w:b/>
          <w:bCs/>
          <w:sz w:val="28"/>
          <w:szCs w:val="28"/>
        </w:rPr>
        <w:br w:type="page"/>
      </w:r>
    </w:p>
    <w:p w14:paraId="3EC737B1">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uto"/>
                <w:kern w:val="2"/>
                <w:sz w:val="20"/>
                <w:szCs w:val="20"/>
                <w:shd w:val="clear" w:fill="auto"/>
                <w:lang w:val="en-US" w:eastAsia="zh-CN" w:bidi="ar-SA"/>
              </w:rPr>
            </w:pPr>
            <w:r>
              <w:rPr>
                <w:rFonts w:hint="eastAsia" w:ascii="仿宋_GB2312" w:hAnsi="宋体" w:eastAsia="仿宋_GB2312" w:cs="仿宋_GB2312"/>
                <w:color w:val="auto"/>
                <w:kern w:val="2"/>
                <w:sz w:val="20"/>
                <w:szCs w:val="20"/>
                <w:shd w:val="clear" w:fill="auto"/>
                <w:lang w:val="en-US" w:eastAsia="zh-CN" w:bidi="ar-SA"/>
              </w:rPr>
              <w:t>1、（GLU）葡萄糖250302001</w:t>
            </w:r>
          </w:p>
          <w:p w14:paraId="02E9DD4F">
            <w:pPr>
              <w:numPr>
                <w:ilvl w:val="0"/>
                <w:numId w:val="0"/>
              </w:numPr>
              <w:ind w:left="0" w:leftChars="0"/>
              <w:jc w:val="left"/>
              <w:rPr>
                <w:rFonts w:hint="default" w:ascii="仿宋_GB2312" w:hAnsi="宋体" w:eastAsia="仿宋_GB2312" w:cs="仿宋_GB2312"/>
                <w:color w:val="auto"/>
                <w:sz w:val="20"/>
                <w:szCs w:val="20"/>
                <w:shd w:val="clear" w:color="auto" w:fill="auto"/>
                <w:lang w:val="en-US" w:eastAsia="zh-CN"/>
              </w:rPr>
            </w:pPr>
            <w:r>
              <w:rPr>
                <w:rFonts w:hint="default" w:ascii="仿宋_GB2312" w:hAnsi="宋体" w:eastAsia="仿宋_GB2312" w:cs="仿宋_GB2312"/>
                <w:color w:val="auto"/>
                <w:kern w:val="2"/>
                <w:sz w:val="20"/>
                <w:szCs w:val="20"/>
                <w:shd w:val="clear" w:fill="auto"/>
                <w:lang w:val="en-US" w:eastAsia="zh-CN" w:bidi="ar-SA"/>
              </w:rPr>
              <w:t>2</w:t>
            </w:r>
            <w:r>
              <w:rPr>
                <w:rFonts w:hint="eastAsia" w:ascii="仿宋_GB2312" w:hAnsi="宋体" w:eastAsia="仿宋_GB2312" w:cs="仿宋_GB2312"/>
                <w:color w:val="auto"/>
                <w:kern w:val="2"/>
                <w:sz w:val="20"/>
                <w:szCs w:val="20"/>
                <w:shd w:val="clear" w:fill="auto"/>
                <w:lang w:val="en-US" w:eastAsia="zh-CN" w:bidi="ar-SA"/>
              </w:rPr>
              <w:t>、</w:t>
            </w:r>
            <w:r>
              <w:rPr>
                <w:rFonts w:hint="eastAsia" w:ascii="仿宋_GB2312" w:hAnsi="宋体" w:eastAsia="仿宋_GB2312" w:cs="仿宋_GB2312"/>
                <w:color w:val="auto"/>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kern w:val="2"/>
                <w:sz w:val="28"/>
                <w:szCs w:val="24"/>
                <w:lang w:val="en-US" w:eastAsia="zh-CN" w:bidi="ar-SA"/>
              </w:rPr>
            </w:pPr>
            <w:r>
              <w:rPr>
                <w:rFonts w:hint="eastAsia" w:ascii="仿宋_GB2312" w:hAnsi="宋体" w:eastAsia="仿宋_GB2312" w:cs="仿宋_GB2312"/>
                <w:color w:val="auto"/>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6E56">
            <w:pPr>
              <w:numPr>
                <w:ilvl w:val="0"/>
                <w:numId w:val="0"/>
              </w:numPr>
              <w:jc w:val="both"/>
              <w:rPr>
                <w:rFonts w:hint="default"/>
                <w:lang w:val="en-US" w:eastAsia="zh-CN"/>
              </w:rPr>
            </w:pPr>
            <w:r>
              <w:rPr>
                <w:rFonts w:hint="default" w:ascii="仿宋_GB2312" w:hAnsi="宋体" w:eastAsia="仿宋_GB2312" w:cs="仿宋_GB2312"/>
                <w:color w:val="000000" w:themeColor="text1"/>
                <w:kern w:val="2"/>
                <w:sz w:val="20"/>
                <w:szCs w:val="20"/>
                <w:lang w:val="en-US" w:eastAsia="zh-CN" w:bidi="ar-SA"/>
              </w:rPr>
              <w:t>1</w:t>
            </w:r>
            <w:r>
              <w:rPr>
                <w:rFonts w:hint="default" w:asciiTheme="minorHAnsi" w:hAnsiTheme="minorHAnsi" w:eastAsiaTheme="minorEastAsia" w:cstheme="minorBidi"/>
                <w:kern w:val="2"/>
                <w:sz w:val="21"/>
                <w:szCs w:val="24"/>
                <w:lang w:val="en-US" w:eastAsia="zh-CN" w:bidi="ar-SA"/>
              </w:rPr>
              <w:t>、</w:t>
            </w:r>
            <w:r>
              <w:rPr>
                <w:rFonts w:hint="eastAsia" w:ascii="仿宋_GB2312" w:hAnsi="宋体" w:eastAsia="仿宋_GB2312" w:cs="仿宋_GB2312"/>
                <w:color w:val="000000" w:themeColor="text1"/>
                <w:sz w:val="20"/>
                <w:szCs w:val="20"/>
                <w:lang w:val="en-US" w:eastAsia="zh-CN"/>
              </w:rPr>
              <w:t>（Lac）乳酸 250302008</w:t>
            </w:r>
          </w:p>
          <w:p w14:paraId="505E1422">
            <w:pPr>
              <w:pStyle w:val="4"/>
              <w:rPr>
                <w:rFonts w:hint="default"/>
                <w:lang w:val="en-US" w:eastAsia="zh-CN"/>
              </w:rPr>
            </w:pPr>
            <w:r>
              <w:rPr>
                <w:rFonts w:hint="eastAsia" w:ascii="仿宋_GB2312" w:hAnsi="宋体" w:eastAsia="仿宋_GB2312" w:cs="仿宋_GB2312"/>
                <w:color w:val="000000" w:themeColor="text1"/>
                <w:sz w:val="20"/>
                <w:szCs w:val="20"/>
                <w:lang w:val="en-US" w:eastAsia="zh-CN"/>
              </w:rPr>
              <w:t>2</w:t>
            </w:r>
            <w:r>
              <w:rPr>
                <w:rFonts w:hint="eastAsia" w:ascii="仿宋_GB2312" w:hAnsi="宋体" w:eastAsia="仿宋_GB2312" w:cs="仿宋_GB2312"/>
                <w:color w:val="000000" w:themeColor="text1"/>
                <w:kern w:val="2"/>
                <w:sz w:val="20"/>
                <w:szCs w:val="20"/>
                <w:lang w:val="en-US" w:eastAsia="zh-CN" w:bidi="ar-SA"/>
              </w:rPr>
              <w:t>、血气分析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ACT 250203026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（CTNI）肌钙蛋白I 250306009-2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17372F77">
      <w:pPr>
        <w:spacing w:line="440" w:lineRule="exact"/>
        <w:jc w:val="center"/>
        <w:rPr>
          <w:b/>
          <w:sz w:val="32"/>
          <w:szCs w:val="32"/>
        </w:rPr>
      </w:pPr>
    </w:p>
    <w:p w14:paraId="16AD1370">
      <w:pPr>
        <w:spacing w:line="440" w:lineRule="exact"/>
        <w:rPr>
          <w:b/>
          <w:sz w:val="32"/>
          <w:szCs w:val="32"/>
        </w:rPr>
      </w:pPr>
    </w:p>
    <w:p w14:paraId="3D6FFFEE">
      <w:pPr>
        <w:pStyle w:val="3"/>
        <w:rPr>
          <w:b/>
          <w:sz w:val="32"/>
          <w:szCs w:val="32"/>
        </w:rPr>
      </w:pPr>
    </w:p>
    <w:p w14:paraId="60318844">
      <w:pPr>
        <w:pStyle w:val="3"/>
        <w:rPr>
          <w:b/>
          <w:sz w:val="32"/>
          <w:szCs w:val="32"/>
        </w:rPr>
      </w:pPr>
    </w:p>
    <w:p w14:paraId="05E04871">
      <w:pPr>
        <w:pStyle w:val="3"/>
        <w:rPr>
          <w:b/>
          <w:sz w:val="32"/>
          <w:szCs w:val="32"/>
        </w:rPr>
      </w:pPr>
    </w:p>
    <w:p w14:paraId="1EE234BB">
      <w:pPr>
        <w:pStyle w:val="3"/>
        <w:rPr>
          <w:b/>
          <w:sz w:val="32"/>
          <w:szCs w:val="32"/>
        </w:rPr>
      </w:pPr>
    </w:p>
    <w:p w14:paraId="1149231C">
      <w:pPr>
        <w:spacing w:line="440" w:lineRule="exact"/>
        <w:jc w:val="center"/>
        <w:rPr>
          <w:b/>
          <w:sz w:val="32"/>
          <w:szCs w:val="32"/>
        </w:rPr>
      </w:pPr>
    </w:p>
    <w:p w14:paraId="563A903C">
      <w:pPr>
        <w:spacing w:line="440" w:lineRule="exact"/>
        <w:rPr>
          <w:b/>
          <w:sz w:val="32"/>
          <w:szCs w:val="32"/>
        </w:rPr>
      </w:pPr>
    </w:p>
    <w:p w14:paraId="339DBBA6">
      <w:pPr>
        <w:spacing w:line="440" w:lineRule="exact"/>
        <w:jc w:val="center"/>
        <w:rPr>
          <w:b/>
          <w:sz w:val="32"/>
          <w:szCs w:val="32"/>
        </w:rPr>
      </w:pPr>
    </w:p>
    <w:p w14:paraId="50B1448D">
      <w:pPr>
        <w:spacing w:line="440" w:lineRule="exact"/>
        <w:jc w:val="center"/>
        <w:rPr>
          <w:rFonts w:hint="eastAsia"/>
          <w:b/>
          <w:sz w:val="32"/>
          <w:szCs w:val="32"/>
        </w:rPr>
      </w:pPr>
    </w:p>
    <w:p w14:paraId="5E411F1A">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1DEA809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07239D01">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7EFFD6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EADD97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663EA4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26E925B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03496AB2">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666B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A3FE38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23CC1DA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314753D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566E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7D48A6B4">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红外辐照治疗装置</w:t>
            </w:r>
          </w:p>
        </w:tc>
        <w:tc>
          <w:tcPr>
            <w:tcW w:w="1833" w:type="dxa"/>
          </w:tcPr>
          <w:p w14:paraId="1F481350">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康复科</w:t>
            </w:r>
          </w:p>
        </w:tc>
        <w:tc>
          <w:tcPr>
            <w:tcW w:w="2131" w:type="dxa"/>
          </w:tcPr>
          <w:p w14:paraId="19FB0E73">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41DC2408">
      <w:pPr>
        <w:spacing w:line="440" w:lineRule="exact"/>
        <w:rPr>
          <w:rFonts w:ascii="仿宋" w:hAnsi="仿宋" w:eastAsia="仿宋" w:cs="仿宋"/>
          <w:b/>
          <w:color w:val="000000" w:themeColor="text1"/>
          <w:sz w:val="24"/>
        </w:rPr>
      </w:pPr>
    </w:p>
    <w:p w14:paraId="228CA838">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3F9D5E4C">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1、</w:t>
      </w:r>
      <w:r>
        <w:rPr>
          <w:rFonts w:hint="eastAsia" w:ascii="仿宋" w:hAnsi="仿宋" w:eastAsia="仿宋" w:cs="仿宋"/>
          <w:color w:val="000000" w:themeColor="text1"/>
          <w:sz w:val="24"/>
        </w:rPr>
        <w:t>设备的额定电压和频率：220V</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 xml:space="preserve"> 50Hz</w:t>
      </w:r>
    </w:p>
    <w:p w14:paraId="6A08CEA7">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r>
        <w:rPr>
          <w:rFonts w:hint="eastAsia" w:ascii="仿宋" w:hAnsi="仿宋" w:eastAsia="仿宋" w:cs="仿宋"/>
          <w:color w:val="000000" w:themeColor="text1"/>
          <w:sz w:val="24"/>
        </w:rPr>
        <w:t>输入功率：</w:t>
      </w:r>
      <w:r>
        <w:rPr>
          <w:rFonts w:hint="eastAsia" w:ascii="仿宋" w:hAnsi="仿宋" w:eastAsia="仿宋" w:cs="仿宋"/>
          <w:color w:val="000000" w:themeColor="text1"/>
          <w:sz w:val="24"/>
          <w:lang w:val="en-US" w:eastAsia="zh-CN"/>
        </w:rPr>
        <w:t>900</w:t>
      </w:r>
      <w:r>
        <w:rPr>
          <w:rFonts w:hint="eastAsia" w:ascii="仿宋" w:hAnsi="仿宋" w:eastAsia="仿宋" w:cs="仿宋"/>
          <w:color w:val="000000" w:themeColor="text1"/>
          <w:sz w:val="24"/>
        </w:rPr>
        <w:t>VA</w:t>
      </w:r>
    </w:p>
    <w:p w14:paraId="543A471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lang w:eastAsia="zh-CN"/>
        </w:rPr>
        <w:t>输出功率：</w:t>
      </w:r>
      <w:r>
        <w:rPr>
          <w:rFonts w:hint="eastAsia" w:ascii="仿宋" w:hAnsi="仿宋" w:eastAsia="仿宋" w:cs="仿宋"/>
          <w:color w:val="000000" w:themeColor="text1"/>
          <w:sz w:val="24"/>
          <w:lang w:val="en-US" w:eastAsia="zh-CN"/>
        </w:rPr>
        <w:t>750W</w:t>
      </w:r>
    </w:p>
    <w:p w14:paraId="0F078674">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治疗仪输出有效光谱波长范围：580nm～1400nm</w:t>
      </w:r>
      <w:r>
        <w:rPr>
          <w:rFonts w:hint="eastAsia" w:ascii="仿宋" w:hAnsi="仿宋" w:eastAsia="仿宋" w:cs="仿宋"/>
          <w:color w:val="000000" w:themeColor="text1"/>
          <w:sz w:val="24"/>
          <w:lang w:eastAsia="zh-CN"/>
        </w:rPr>
        <w:t>，符合人体透视窗口，可达皮下</w:t>
      </w:r>
      <w:r>
        <w:rPr>
          <w:rFonts w:hint="eastAsia" w:ascii="仿宋" w:hAnsi="仿宋" w:eastAsia="仿宋" w:cs="仿宋"/>
          <w:color w:val="000000" w:themeColor="text1"/>
          <w:sz w:val="24"/>
          <w:lang w:val="en-US" w:eastAsia="zh-CN"/>
        </w:rPr>
        <w:t>7-10cm。</w:t>
      </w:r>
    </w:p>
    <w:p w14:paraId="1141CA24">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lang w:val="en-US" w:eastAsia="zh-CN"/>
        </w:rPr>
        <w:t>5、</w:t>
      </w:r>
      <w:r>
        <w:rPr>
          <w:rFonts w:hint="eastAsia" w:ascii="仿宋" w:hAnsi="仿宋" w:eastAsia="仿宋" w:cs="仿宋"/>
          <w:color w:val="000000" w:themeColor="text1"/>
          <w:sz w:val="24"/>
          <w:lang w:eastAsia="zh-CN"/>
        </w:rPr>
        <w:t>采用光源</w:t>
      </w:r>
      <w:r>
        <w:rPr>
          <w:rFonts w:hint="eastAsia" w:ascii="仿宋" w:hAnsi="仿宋" w:eastAsia="仿宋" w:cs="仿宋"/>
          <w:color w:val="000000" w:themeColor="text1"/>
          <w:sz w:val="24"/>
          <w:lang w:val="en-US" w:eastAsia="zh-CN"/>
        </w:rPr>
        <w:t>的</w:t>
      </w:r>
      <w:r>
        <w:rPr>
          <w:rFonts w:hint="eastAsia" w:ascii="仿宋" w:hAnsi="仿宋" w:eastAsia="仿宋" w:cs="仿宋"/>
          <w:color w:val="000000" w:themeColor="text1"/>
          <w:sz w:val="24"/>
          <w:lang w:eastAsia="zh-CN"/>
        </w:rPr>
        <w:t>使用寿命</w:t>
      </w:r>
      <w:r>
        <w:rPr>
          <w:rFonts w:hint="eastAsia" w:ascii="仿宋" w:hAnsi="仿宋" w:eastAsia="仿宋" w:cs="仿宋"/>
          <w:color w:val="000000" w:themeColor="text1"/>
          <w:sz w:val="24"/>
          <w:lang w:val="en-US" w:eastAsia="zh-CN"/>
        </w:rPr>
        <w:t>至少5000小时，治疗结束无需冷却，可连续使用。</w:t>
      </w:r>
    </w:p>
    <w:p w14:paraId="747A2B6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r>
        <w:rPr>
          <w:rFonts w:hint="eastAsia" w:ascii="仿宋" w:hAnsi="仿宋" w:eastAsia="仿宋" w:cs="仿宋"/>
          <w:color w:val="000000" w:themeColor="text1"/>
          <w:sz w:val="24"/>
        </w:rPr>
        <w:t>治疗仪输出光强度与有效光斑直径</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距治疗仪输出窗口距离</w:t>
      </w:r>
      <w:r>
        <w:rPr>
          <w:rFonts w:hint="eastAsia" w:ascii="仿宋" w:hAnsi="仿宋" w:eastAsia="仿宋" w:cs="仿宋"/>
          <w:color w:val="000000" w:themeColor="text1"/>
          <w:sz w:val="24"/>
          <w:lang w:val="en-US" w:eastAsia="zh-CN"/>
        </w:rPr>
        <w:t>≥30</w:t>
      </w:r>
      <w:r>
        <w:rPr>
          <w:rFonts w:hint="eastAsia" w:ascii="仿宋" w:hAnsi="仿宋" w:eastAsia="仿宋" w:cs="仿宋"/>
          <w:color w:val="000000" w:themeColor="text1"/>
          <w:sz w:val="24"/>
        </w:rPr>
        <w:t>cm,光斑中心光功率密度400mW/cm</w:t>
      </w:r>
      <w:r>
        <w:rPr>
          <w:rFonts w:hint="eastAsia" w:ascii="仿宋" w:hAnsi="仿宋" w:eastAsia="仿宋" w:cs="仿宋"/>
          <w:color w:val="000000" w:themeColor="text1"/>
          <w:sz w:val="24"/>
          <w:lang w:val="en-US" w:eastAsia="zh-CN"/>
        </w:rPr>
        <w:t>²</w:t>
      </w:r>
      <w:r>
        <w:rPr>
          <w:rFonts w:hint="eastAsia" w:ascii="仿宋" w:hAnsi="仿宋" w:eastAsia="仿宋" w:cs="仿宋"/>
          <w:color w:val="000000" w:themeColor="text1"/>
          <w:sz w:val="24"/>
        </w:rPr>
        <w:t>±15%，有效光斑直径≥1</w:t>
      </w:r>
      <w:r>
        <w:rPr>
          <w:rFonts w:hint="eastAsia" w:ascii="仿宋" w:hAnsi="仿宋" w:eastAsia="仿宋" w:cs="仿宋"/>
          <w:color w:val="000000" w:themeColor="text1"/>
          <w:sz w:val="24"/>
          <w:lang w:val="en-US" w:eastAsia="zh-CN"/>
        </w:rPr>
        <w:t>5</w:t>
      </w:r>
      <w:r>
        <w:rPr>
          <w:rFonts w:hint="eastAsia" w:ascii="仿宋" w:hAnsi="仿宋" w:eastAsia="仿宋" w:cs="仿宋"/>
          <w:color w:val="000000" w:themeColor="text1"/>
          <w:sz w:val="24"/>
        </w:rPr>
        <w:t>cm；</w:t>
      </w:r>
    </w:p>
    <w:p w14:paraId="674720EC">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7、</w:t>
      </w:r>
      <w:r>
        <w:rPr>
          <w:rFonts w:hint="eastAsia" w:ascii="仿宋" w:hAnsi="仿宋" w:eastAsia="仿宋" w:cs="仿宋"/>
          <w:color w:val="000000" w:themeColor="text1"/>
          <w:sz w:val="24"/>
        </w:rPr>
        <w:t>治疗仪治疗时间设置</w:t>
      </w:r>
      <w:r>
        <w:rPr>
          <w:rFonts w:hint="eastAsia" w:ascii="仿宋" w:hAnsi="仿宋" w:eastAsia="仿宋" w:cs="仿宋"/>
          <w:color w:val="000000" w:themeColor="text1"/>
          <w:sz w:val="24"/>
          <w:lang w:eastAsia="zh-CN"/>
        </w:rPr>
        <w:t>：</w:t>
      </w:r>
    </w:p>
    <w:p w14:paraId="558AB1D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a)治疗仪单次治疗时间设置范围0min～99min，定时误差≤±2%。</w:t>
      </w:r>
    </w:p>
    <w:p w14:paraId="0EC119D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b)时间记忆功能</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开机时,治疗仪显示上次治疗时设置的时间。</w:t>
      </w:r>
    </w:p>
    <w:p w14:paraId="1EDE9BE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lang w:val="en-US" w:eastAsia="zh-CN"/>
        </w:rPr>
        <w:t>8、</w:t>
      </w:r>
      <w:r>
        <w:rPr>
          <w:rFonts w:hint="eastAsia" w:ascii="仿宋" w:hAnsi="仿宋" w:eastAsia="仿宋" w:cs="仿宋"/>
          <w:color w:val="000000" w:themeColor="text1"/>
          <w:sz w:val="24"/>
        </w:rPr>
        <w:t>采用</w:t>
      </w:r>
      <w:r>
        <w:rPr>
          <w:rFonts w:hint="eastAsia" w:ascii="仿宋" w:hAnsi="仿宋" w:eastAsia="仿宋" w:cs="仿宋"/>
          <w:color w:val="000000" w:themeColor="text1"/>
          <w:sz w:val="24"/>
          <w:lang w:eastAsia="zh-CN"/>
        </w:rPr>
        <w:t>先进的</w:t>
      </w:r>
      <w:r>
        <w:rPr>
          <w:rFonts w:hint="eastAsia" w:ascii="仿宋" w:hAnsi="仿宋" w:eastAsia="仿宋" w:cs="仿宋"/>
          <w:color w:val="000000" w:themeColor="text1"/>
          <w:sz w:val="24"/>
        </w:rPr>
        <w:t>红外滤光片与宽带通滤光片结合方式，可连续使用，无液体泄漏隐患。</w:t>
      </w:r>
    </w:p>
    <w:p w14:paraId="7215E7E0">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采用技术，</w:t>
      </w:r>
      <w:r>
        <w:rPr>
          <w:rFonts w:hint="eastAsia" w:ascii="仿宋" w:hAnsi="仿宋" w:eastAsia="仿宋" w:cs="仿宋"/>
          <w:color w:val="000000" w:themeColor="text1"/>
          <w:sz w:val="24"/>
          <w:lang w:eastAsia="zh-CN"/>
        </w:rPr>
        <w:t>可有效保护光源，</w:t>
      </w:r>
      <w:r>
        <w:rPr>
          <w:rFonts w:hint="eastAsia" w:ascii="仿宋" w:hAnsi="仿宋" w:eastAsia="仿宋" w:cs="仿宋"/>
          <w:color w:val="000000" w:themeColor="text1"/>
          <w:sz w:val="24"/>
        </w:rPr>
        <w:t>延长光源寿命。</w:t>
      </w:r>
    </w:p>
    <w:p w14:paraId="1B1B534C">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r>
        <w:rPr>
          <w:rFonts w:hint="eastAsia" w:ascii="仿宋" w:hAnsi="仿宋" w:eastAsia="仿宋" w:cs="仿宋"/>
          <w:color w:val="000000" w:themeColor="text1"/>
          <w:sz w:val="24"/>
          <w:lang w:eastAsia="zh-CN"/>
        </w:rPr>
        <w:t>设备采用电动</w:t>
      </w:r>
      <w:r>
        <w:rPr>
          <w:rFonts w:hint="eastAsia" w:ascii="仿宋" w:hAnsi="仿宋" w:eastAsia="仿宋" w:cs="仿宋"/>
          <w:color w:val="000000" w:themeColor="text1"/>
          <w:sz w:val="24"/>
        </w:rPr>
        <w:t>升降结构</w:t>
      </w:r>
      <w:r>
        <w:rPr>
          <w:rFonts w:hint="eastAsia" w:ascii="仿宋" w:hAnsi="仿宋" w:eastAsia="仿宋" w:cs="仿宋"/>
          <w:color w:val="000000" w:themeColor="text1"/>
          <w:sz w:val="24"/>
          <w:lang w:eastAsia="zh-CN"/>
        </w:rPr>
        <w:t>，便于临床精准定位，</w:t>
      </w:r>
      <w:r>
        <w:rPr>
          <w:rFonts w:hint="eastAsia" w:ascii="仿宋" w:hAnsi="仿宋" w:eastAsia="仿宋" w:cs="仿宋"/>
          <w:color w:val="000000" w:themeColor="text1"/>
          <w:sz w:val="24"/>
        </w:rPr>
        <w:t>垂直移动距离45cm±5%</w:t>
      </w:r>
      <w:r>
        <w:rPr>
          <w:rFonts w:hint="eastAsia" w:ascii="仿宋" w:hAnsi="仿宋" w:eastAsia="仿宋" w:cs="仿宋"/>
          <w:color w:val="000000" w:themeColor="text1"/>
          <w:sz w:val="24"/>
          <w:lang w:eastAsia="zh-CN"/>
        </w:rPr>
        <w:t>。</w:t>
      </w:r>
    </w:p>
    <w:p w14:paraId="62BE0740">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11、</w:t>
      </w:r>
      <w:r>
        <w:rPr>
          <w:rFonts w:hint="eastAsia" w:ascii="仿宋" w:hAnsi="仿宋" w:eastAsia="仿宋" w:cs="仿宋"/>
          <w:color w:val="000000" w:themeColor="text1"/>
          <w:sz w:val="24"/>
        </w:rPr>
        <w:t>治疗仪治疗头水平与竖直旋转角度≥90º</w:t>
      </w:r>
      <w:r>
        <w:rPr>
          <w:rFonts w:hint="eastAsia" w:ascii="仿宋" w:hAnsi="仿宋" w:eastAsia="仿宋" w:cs="仿宋"/>
          <w:color w:val="000000" w:themeColor="text1"/>
          <w:sz w:val="24"/>
          <w:lang w:eastAsia="zh-CN"/>
        </w:rPr>
        <w:t>，可针对不同部位照射，便于临床操作。</w:t>
      </w:r>
    </w:p>
    <w:p w14:paraId="29CBD9C2">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12、配有距离指示杆：治疗仪由距离指示杆用于限定最小照射距离27cm</w:t>
      </w:r>
      <w:r>
        <w:rPr>
          <w:rFonts w:hint="default" w:ascii="仿宋" w:hAnsi="仿宋" w:eastAsia="仿宋" w:cs="仿宋"/>
          <w:color w:val="000000" w:themeColor="text1"/>
          <w:sz w:val="24"/>
          <w:lang w:val="en-US" w:eastAsia="zh-CN"/>
        </w:rPr>
        <w:t>±</w:t>
      </w:r>
      <w:r>
        <w:rPr>
          <w:rFonts w:hint="eastAsia" w:ascii="仿宋" w:hAnsi="仿宋" w:eastAsia="仿宋" w:cs="仿宋"/>
          <w:color w:val="000000" w:themeColor="text1"/>
          <w:sz w:val="24"/>
          <w:lang w:val="en-US" w:eastAsia="zh-CN"/>
        </w:rPr>
        <w:t>5mm。</w:t>
      </w:r>
    </w:p>
    <w:p w14:paraId="29F3D1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13、</w:t>
      </w:r>
      <w:r>
        <w:rPr>
          <w:rFonts w:hint="eastAsia" w:ascii="仿宋" w:hAnsi="仿宋" w:eastAsia="仿宋" w:cs="仿宋"/>
          <w:color w:val="000000" w:themeColor="text1"/>
          <w:sz w:val="24"/>
        </w:rPr>
        <w:t>治疗仪防倾倒保护功能，治疗仪倾倒时，治疗仪自动断电。</w:t>
      </w:r>
    </w:p>
    <w:p w14:paraId="1F0C77C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14、温度保护功能：设备配备安全切断装置，当治疗中发生过热时，安全切断装置应能自动切断辐射器电源，停止红外辐照，而当辐射器冷却下来后，安全切断装置应能自动复位。</w:t>
      </w:r>
    </w:p>
    <w:p w14:paraId="0B16256E">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15、设备采用彩色液晶触摸屏操作，画面清晰，操作方便。</w:t>
      </w:r>
    </w:p>
    <w:p w14:paraId="4E1BCD58">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16、</w:t>
      </w:r>
      <w:r>
        <w:rPr>
          <w:rFonts w:hint="eastAsia" w:ascii="仿宋" w:hAnsi="仿宋" w:eastAsia="仿宋" w:cs="仿宋"/>
          <w:color w:val="000000" w:themeColor="text1"/>
          <w:sz w:val="24"/>
        </w:rPr>
        <w:t>整机工作噪声≤60dB（A）</w:t>
      </w:r>
    </w:p>
    <w:p w14:paraId="532B5A6C">
      <w:pPr>
        <w:spacing w:line="440" w:lineRule="exact"/>
        <w:rPr>
          <w:rFonts w:ascii="仿宋" w:hAnsi="仿宋" w:eastAsia="仿宋" w:cs="仿宋"/>
          <w:b/>
          <w:color w:val="000000" w:themeColor="text1"/>
          <w:sz w:val="24"/>
        </w:rPr>
      </w:pPr>
    </w:p>
    <w:p w14:paraId="7119EFE5">
      <w:pPr>
        <w:spacing w:line="440" w:lineRule="exact"/>
        <w:rPr>
          <w:rFonts w:ascii="仿宋" w:hAnsi="仿宋" w:eastAsia="仿宋" w:cs="仿宋"/>
          <w:b/>
          <w:color w:val="000000" w:themeColor="text1"/>
          <w:sz w:val="24"/>
        </w:rPr>
      </w:pPr>
    </w:p>
    <w:p w14:paraId="6531C5DA">
      <w:pPr>
        <w:spacing w:line="440" w:lineRule="exact"/>
        <w:rPr>
          <w:rFonts w:ascii="仿宋" w:hAnsi="仿宋" w:eastAsia="仿宋" w:cs="仿宋"/>
          <w:b/>
          <w:color w:val="000000" w:themeColor="text1"/>
          <w:sz w:val="24"/>
        </w:rPr>
      </w:pPr>
    </w:p>
    <w:p w14:paraId="56AAF8F9">
      <w:pPr>
        <w:spacing w:line="440" w:lineRule="exact"/>
        <w:rPr>
          <w:rFonts w:ascii="仿宋" w:hAnsi="仿宋" w:eastAsia="仿宋" w:cs="仿宋"/>
          <w:b/>
          <w:color w:val="000000" w:themeColor="text1"/>
          <w:sz w:val="24"/>
        </w:rPr>
      </w:pPr>
    </w:p>
    <w:p w14:paraId="0556AFF2">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77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30"/>
        <w:gridCol w:w="3450"/>
        <w:gridCol w:w="969"/>
        <w:gridCol w:w="920"/>
      </w:tblGrid>
      <w:tr w14:paraId="7338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907FF1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730" w:type="dxa"/>
          </w:tcPr>
          <w:p w14:paraId="165A994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450" w:type="dxa"/>
          </w:tcPr>
          <w:p w14:paraId="6F5568E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2C39F7B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0BDE832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129D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FAACC3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730" w:type="dxa"/>
          </w:tcPr>
          <w:p w14:paraId="0B181963">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主机</w:t>
            </w:r>
          </w:p>
        </w:tc>
        <w:tc>
          <w:tcPr>
            <w:tcW w:w="3450" w:type="dxa"/>
          </w:tcPr>
          <w:p w14:paraId="40D91531">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全新</w:t>
            </w:r>
          </w:p>
        </w:tc>
        <w:tc>
          <w:tcPr>
            <w:tcW w:w="969" w:type="dxa"/>
          </w:tcPr>
          <w:p w14:paraId="598B8B85">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13EFB59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份</w:t>
            </w:r>
          </w:p>
        </w:tc>
      </w:tr>
      <w:tr w14:paraId="4913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515D48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730" w:type="dxa"/>
          </w:tcPr>
          <w:p w14:paraId="00A3AB97">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合格证</w:t>
            </w:r>
          </w:p>
        </w:tc>
        <w:tc>
          <w:tcPr>
            <w:tcW w:w="3450" w:type="dxa"/>
          </w:tcPr>
          <w:p w14:paraId="34003E1A">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c>
          <w:tcPr>
            <w:tcW w:w="969" w:type="dxa"/>
          </w:tcPr>
          <w:p w14:paraId="7A88690C">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2710CEBE">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份</w:t>
            </w:r>
          </w:p>
        </w:tc>
      </w:tr>
      <w:tr w14:paraId="03ED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7C59DD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730" w:type="dxa"/>
          </w:tcPr>
          <w:p w14:paraId="4C89D681">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保修卡</w:t>
            </w:r>
          </w:p>
        </w:tc>
        <w:tc>
          <w:tcPr>
            <w:tcW w:w="3450" w:type="dxa"/>
          </w:tcPr>
          <w:p w14:paraId="74EADBAA">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c>
          <w:tcPr>
            <w:tcW w:w="969" w:type="dxa"/>
          </w:tcPr>
          <w:p w14:paraId="3A4A4446">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6C66EAA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份</w:t>
            </w:r>
          </w:p>
        </w:tc>
      </w:tr>
      <w:tr w14:paraId="120D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7446FE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1730" w:type="dxa"/>
          </w:tcPr>
          <w:p w14:paraId="3A68FE0E">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使用说明书</w:t>
            </w:r>
          </w:p>
        </w:tc>
        <w:tc>
          <w:tcPr>
            <w:tcW w:w="3450" w:type="dxa"/>
          </w:tcPr>
          <w:p w14:paraId="5CFE87C7">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c>
          <w:tcPr>
            <w:tcW w:w="969" w:type="dxa"/>
          </w:tcPr>
          <w:p w14:paraId="30DA919A">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1CBD5F0A">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份</w:t>
            </w:r>
          </w:p>
        </w:tc>
      </w:tr>
    </w:tbl>
    <w:p w14:paraId="2B325BD6">
      <w:pPr>
        <w:spacing w:line="440" w:lineRule="exact"/>
        <w:rPr>
          <w:rFonts w:ascii="仿宋" w:hAnsi="仿宋" w:eastAsia="仿宋" w:cs="仿宋"/>
          <w:b/>
          <w:color w:val="000000" w:themeColor="text1"/>
          <w:sz w:val="24"/>
        </w:rPr>
      </w:pPr>
    </w:p>
    <w:p w14:paraId="01C8FDE2">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35C068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13671A7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0EB1D2A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3ECFA060">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rPr>
        <w:t>且原装进口产品生产日期与交货日期差值≤6个月；国产产品生产日期与交货日期差值≤3个月。</w:t>
      </w:r>
    </w:p>
    <w:p w14:paraId="1B7FB22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4D67293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5ADE6159">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584B692D">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56EBD1E0">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36CB778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16871B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378ECDF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3D6B4493">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★2.5在合同履行期间，若中山市医保价格出现下调，则相应检测项目的成本应按同比例减少；若本合同所涉及的检测项目被纳入广东省集中采购目录，则应按照集中采购的定价执行。</w:t>
      </w:r>
    </w:p>
    <w:p w14:paraId="2E8EDBC1">
      <w:pPr>
        <w:spacing w:line="440" w:lineRule="exact"/>
        <w:rPr>
          <w:rFonts w:ascii="仿宋" w:hAnsi="仿宋" w:eastAsia="仿宋" w:cs="仿宋"/>
          <w:b/>
          <w:color w:val="000000" w:themeColor="text1"/>
          <w:sz w:val="24"/>
        </w:rPr>
      </w:pPr>
    </w:p>
    <w:p w14:paraId="4C48ADF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4BBA561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5EE72B7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652C55D7">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C4A1F32">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2B38401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highlight w:val="none"/>
        </w:rPr>
        <w:t>后一次性无息支付。</w:t>
      </w:r>
    </w:p>
    <w:p w14:paraId="50CC41CE">
      <w:pPr>
        <w:spacing w:line="440" w:lineRule="exact"/>
        <w:rPr>
          <w:rFonts w:ascii="仿宋" w:hAnsi="仿宋" w:eastAsia="仿宋" w:cs="仿宋"/>
          <w:b/>
          <w:bCs/>
          <w:color w:val="000000" w:themeColor="text1"/>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8F0DC2"/>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516</Words>
  <Characters>618</Characters>
  <Lines>21</Lines>
  <Paragraphs>5</Paragraphs>
  <TotalTime>0</TotalTime>
  <ScaleCrop>false</ScaleCrop>
  <LinksUpToDate>false</LinksUpToDate>
  <CharactersWithSpaces>710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2025-06-20T03:12:45Z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9A01D5232E704D769CA489A9BE4A7783_13</vt:lpwstr>
  </property>
</Properties>
</file>