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6F4BCA60">
      <w:pPr>
        <w:pStyle w:val="3"/>
        <w:rPr>
          <w:b/>
          <w:bCs/>
          <w:color w:val="0000FF"/>
          <w:sz w:val="24"/>
        </w:rPr>
      </w:pPr>
    </w:p>
    <w:p w14:paraId="23546B96">
      <w:pPr>
        <w:widowControl/>
        <w:jc w:val="left"/>
        <w:rPr>
          <w:b/>
          <w:bCs/>
          <w:sz w:val="28"/>
          <w:szCs w:val="28"/>
        </w:rPr>
      </w:pPr>
      <w:r>
        <w:rPr>
          <w:b/>
          <w:bCs/>
          <w:sz w:val="28"/>
          <w:szCs w:val="28"/>
        </w:rPr>
        <w:br w:type="page"/>
      </w:r>
    </w:p>
    <w:p w14:paraId="6177CDED">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rPr>
            </w:pPr>
            <w:r>
              <w:rPr>
                <w:rFonts w:hint="eastAsia" w:ascii="仿宋_GB2312" w:hAnsi="宋体" w:eastAsia="仿宋_GB2312" w:cs="仿宋_GB2312"/>
                <w:color w:val="000000" w:themeColor="text1"/>
                <w:sz w:val="20"/>
                <w:szCs w:val="20"/>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uto"/>
                <w:kern w:val="2"/>
                <w:sz w:val="20"/>
                <w:szCs w:val="20"/>
                <w:shd w:val="clear" w:fill="auto"/>
                <w:lang w:val="en-US" w:eastAsia="zh-CN" w:bidi="ar-SA"/>
              </w:rPr>
            </w:pPr>
            <w:r>
              <w:rPr>
                <w:rFonts w:hint="eastAsia" w:ascii="仿宋_GB2312" w:hAnsi="宋体" w:eastAsia="仿宋_GB2312" w:cs="仿宋_GB2312"/>
                <w:color w:val="auto"/>
                <w:kern w:val="2"/>
                <w:sz w:val="20"/>
                <w:szCs w:val="20"/>
                <w:shd w:val="clear" w:fill="auto"/>
                <w:lang w:val="en-US" w:eastAsia="zh-CN" w:bidi="ar-SA"/>
              </w:rPr>
              <w:t>1、（GLU）葡萄糖250302001</w:t>
            </w:r>
          </w:p>
          <w:p w14:paraId="02E9DD4F">
            <w:pPr>
              <w:numPr>
                <w:ilvl w:val="0"/>
                <w:numId w:val="0"/>
              </w:numPr>
              <w:ind w:left="0" w:leftChars="0"/>
              <w:jc w:val="left"/>
              <w:rPr>
                <w:rFonts w:hint="default" w:ascii="仿宋_GB2312" w:hAnsi="宋体" w:eastAsia="仿宋_GB2312" w:cs="仿宋_GB2312"/>
                <w:color w:val="auto"/>
                <w:sz w:val="20"/>
                <w:szCs w:val="20"/>
                <w:shd w:val="clear" w:color="auto" w:fill="auto"/>
                <w:lang w:val="en-US" w:eastAsia="zh-CN"/>
              </w:rPr>
            </w:pPr>
            <w:r>
              <w:rPr>
                <w:rFonts w:hint="default" w:ascii="仿宋_GB2312" w:hAnsi="宋体" w:eastAsia="仿宋_GB2312" w:cs="仿宋_GB2312"/>
                <w:color w:val="auto"/>
                <w:kern w:val="2"/>
                <w:sz w:val="20"/>
                <w:szCs w:val="20"/>
                <w:shd w:val="clear" w:fill="auto"/>
                <w:lang w:val="en-US" w:eastAsia="zh-CN" w:bidi="ar-SA"/>
              </w:rPr>
              <w:t>2</w:t>
            </w:r>
            <w:r>
              <w:rPr>
                <w:rFonts w:hint="eastAsia" w:ascii="仿宋_GB2312" w:hAnsi="宋体" w:eastAsia="仿宋_GB2312" w:cs="仿宋_GB2312"/>
                <w:color w:val="auto"/>
                <w:kern w:val="2"/>
                <w:sz w:val="20"/>
                <w:szCs w:val="20"/>
                <w:shd w:val="clear" w:fill="auto"/>
                <w:lang w:val="en-US" w:eastAsia="zh-CN" w:bidi="ar-SA"/>
              </w:rPr>
              <w:t>、</w:t>
            </w:r>
            <w:r>
              <w:rPr>
                <w:rFonts w:hint="eastAsia" w:ascii="仿宋_GB2312" w:hAnsi="宋体" w:eastAsia="仿宋_GB2312" w:cs="仿宋_GB2312"/>
                <w:color w:val="auto"/>
                <w:sz w:val="20"/>
                <w:szCs w:val="20"/>
                <w:shd w:val="clear" w:color="auto" w:fill="auto"/>
                <w:lang w:val="en-US" w:eastAsia="zh-CN"/>
              </w:rPr>
              <w:t>（Na）钠250304002-1</w:t>
            </w:r>
          </w:p>
          <w:p w14:paraId="766C8742">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3、（K）钾 250304001-1</w:t>
            </w:r>
          </w:p>
          <w:p w14:paraId="15F31F00">
            <w:pPr>
              <w:pStyle w:val="5"/>
              <w:ind w:left="0" w:leftChars="0" w:firstLine="0" w:firstLine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5、（HCT）红细胞比容 250101003</w:t>
            </w:r>
          </w:p>
          <w:p w14:paraId="147B888E">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6、（Hgb）血红蛋白+ 250101001</w:t>
            </w:r>
          </w:p>
          <w:p w14:paraId="443B83DC">
            <w:pPr>
              <w:pStyle w:val="5"/>
              <w:ind w:left="0" w:leftChars="0" w:firstLine="0" w:firstLineChars="0"/>
              <w:jc w:val="left"/>
              <w:rPr>
                <w:rFonts w:hint="default" w:asciiTheme="minorHAnsi" w:hAnsiTheme="minorHAnsi" w:eastAsiaTheme="minorEastAsia" w:cstheme="minorBidi"/>
                <w:kern w:val="2"/>
                <w:sz w:val="28"/>
                <w:szCs w:val="24"/>
                <w:lang w:val="en-US" w:eastAsia="zh-CN" w:bidi="ar-SA"/>
              </w:rPr>
            </w:pPr>
            <w:r>
              <w:rPr>
                <w:rFonts w:hint="eastAsia" w:ascii="仿宋_GB2312" w:hAnsi="宋体" w:eastAsia="仿宋_GB2312" w:cs="仿宋_GB2312"/>
                <w:color w:val="auto"/>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6E56">
            <w:pPr>
              <w:numPr>
                <w:ilvl w:val="0"/>
                <w:numId w:val="0"/>
              </w:numPr>
              <w:jc w:val="both"/>
              <w:rPr>
                <w:rFonts w:hint="default"/>
                <w:lang w:val="en-US" w:eastAsia="zh-CN"/>
              </w:rPr>
            </w:pPr>
            <w:r>
              <w:rPr>
                <w:rFonts w:hint="default" w:ascii="仿宋_GB2312" w:hAnsi="宋体" w:eastAsia="仿宋_GB2312" w:cs="仿宋_GB2312"/>
                <w:color w:val="000000" w:themeColor="text1"/>
                <w:kern w:val="2"/>
                <w:sz w:val="20"/>
                <w:szCs w:val="20"/>
                <w:lang w:val="en-US" w:eastAsia="zh-CN" w:bidi="ar-SA"/>
              </w:rPr>
              <w:t>1</w:t>
            </w:r>
            <w:r>
              <w:rPr>
                <w:rFonts w:hint="default" w:asciiTheme="minorHAnsi" w:hAnsiTheme="minorHAnsi" w:eastAsiaTheme="minorEastAsia" w:cstheme="minorBidi"/>
                <w:kern w:val="2"/>
                <w:sz w:val="21"/>
                <w:szCs w:val="24"/>
                <w:lang w:val="en-US" w:eastAsia="zh-CN" w:bidi="ar-SA"/>
              </w:rPr>
              <w:t>、</w:t>
            </w:r>
            <w:r>
              <w:rPr>
                <w:rFonts w:hint="eastAsia" w:ascii="仿宋_GB2312" w:hAnsi="宋体" w:eastAsia="仿宋_GB2312" w:cs="仿宋_GB2312"/>
                <w:color w:val="000000" w:themeColor="text1"/>
                <w:sz w:val="20"/>
                <w:szCs w:val="20"/>
                <w:lang w:val="en-US" w:eastAsia="zh-CN"/>
              </w:rPr>
              <w:t>（Lac）乳酸 250302008</w:t>
            </w:r>
          </w:p>
          <w:p w14:paraId="505E1422">
            <w:pPr>
              <w:pStyle w:val="4"/>
              <w:rPr>
                <w:rFonts w:hint="default"/>
                <w:lang w:val="en-US" w:eastAsia="zh-CN"/>
              </w:rPr>
            </w:pPr>
            <w:r>
              <w:rPr>
                <w:rFonts w:hint="eastAsia" w:ascii="仿宋_GB2312" w:hAnsi="宋体" w:eastAsia="仿宋_GB2312" w:cs="仿宋_GB2312"/>
                <w:color w:val="000000" w:themeColor="text1"/>
                <w:sz w:val="20"/>
                <w:szCs w:val="20"/>
                <w:lang w:val="en-US" w:eastAsia="zh-CN"/>
              </w:rPr>
              <w:t>2</w:t>
            </w:r>
            <w:r>
              <w:rPr>
                <w:rFonts w:hint="eastAsia" w:ascii="仿宋_GB2312" w:hAnsi="宋体" w:eastAsia="仿宋_GB2312" w:cs="仿宋_GB2312"/>
                <w:color w:val="000000" w:themeColor="text1"/>
                <w:kern w:val="2"/>
                <w:sz w:val="20"/>
                <w:szCs w:val="20"/>
                <w:lang w:val="en-US" w:eastAsia="zh-CN" w:bidi="ar-SA"/>
              </w:rPr>
              <w:t>、血气分析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ACT 250203026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（CTNI）肌钙蛋白I 250306009-2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17372F77">
      <w:pPr>
        <w:spacing w:line="440" w:lineRule="exact"/>
        <w:jc w:val="center"/>
        <w:rPr>
          <w:b/>
          <w:sz w:val="32"/>
          <w:szCs w:val="32"/>
        </w:rPr>
      </w:pPr>
    </w:p>
    <w:p w14:paraId="16AD1370">
      <w:pPr>
        <w:spacing w:line="440" w:lineRule="exact"/>
        <w:rPr>
          <w:b/>
          <w:sz w:val="32"/>
          <w:szCs w:val="32"/>
        </w:rPr>
      </w:pPr>
    </w:p>
    <w:p w14:paraId="3D6FFFEE">
      <w:pPr>
        <w:pStyle w:val="3"/>
        <w:rPr>
          <w:b/>
          <w:sz w:val="32"/>
          <w:szCs w:val="32"/>
        </w:rPr>
      </w:pPr>
    </w:p>
    <w:p w14:paraId="60318844">
      <w:pPr>
        <w:pStyle w:val="3"/>
        <w:rPr>
          <w:b/>
          <w:sz w:val="32"/>
          <w:szCs w:val="32"/>
        </w:rPr>
      </w:pPr>
    </w:p>
    <w:p w14:paraId="05E04871">
      <w:pPr>
        <w:pStyle w:val="3"/>
        <w:rPr>
          <w:b/>
          <w:sz w:val="32"/>
          <w:szCs w:val="32"/>
        </w:rPr>
      </w:pPr>
    </w:p>
    <w:p w14:paraId="1EE234BB">
      <w:pPr>
        <w:pStyle w:val="3"/>
        <w:rPr>
          <w:b/>
          <w:sz w:val="32"/>
          <w:szCs w:val="32"/>
        </w:rPr>
      </w:pPr>
    </w:p>
    <w:p w14:paraId="1149231C">
      <w:pPr>
        <w:spacing w:line="440" w:lineRule="exact"/>
        <w:jc w:val="center"/>
        <w:rPr>
          <w:b/>
          <w:sz w:val="32"/>
          <w:szCs w:val="32"/>
        </w:rPr>
      </w:pPr>
    </w:p>
    <w:p w14:paraId="563A903C">
      <w:pPr>
        <w:spacing w:line="440" w:lineRule="exact"/>
        <w:rPr>
          <w:b/>
          <w:sz w:val="32"/>
          <w:szCs w:val="32"/>
        </w:rPr>
      </w:pPr>
    </w:p>
    <w:p w14:paraId="339DBBA6">
      <w:pPr>
        <w:spacing w:line="440" w:lineRule="exact"/>
        <w:jc w:val="center"/>
        <w:rPr>
          <w:b/>
          <w:sz w:val="32"/>
          <w:szCs w:val="32"/>
        </w:rPr>
      </w:pPr>
    </w:p>
    <w:p w14:paraId="50B1448D">
      <w:pPr>
        <w:spacing w:line="440" w:lineRule="exact"/>
        <w:jc w:val="center"/>
        <w:rPr>
          <w:rFonts w:hint="eastAsia"/>
          <w:b/>
          <w:sz w:val="32"/>
          <w:szCs w:val="32"/>
        </w:rPr>
      </w:pPr>
    </w:p>
    <w:p w14:paraId="76E65583">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57598FB4">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1C871099">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2ECEEA2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302ECA4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5A50394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141D9CC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7953CEC3">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3"/>
        <w:gridCol w:w="1438"/>
        <w:gridCol w:w="2131"/>
      </w:tblGrid>
      <w:tr w14:paraId="2D2F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993" w:type="dxa"/>
          </w:tcPr>
          <w:p w14:paraId="6681C95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438" w:type="dxa"/>
          </w:tcPr>
          <w:p w14:paraId="507E805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71536E7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D00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993" w:type="dxa"/>
          </w:tcPr>
          <w:p w14:paraId="27488CD5">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床旁手持式血液分析仪</w:t>
            </w:r>
          </w:p>
        </w:tc>
        <w:tc>
          <w:tcPr>
            <w:tcW w:w="1438" w:type="dxa"/>
          </w:tcPr>
          <w:p w14:paraId="5F9E760C">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麻醉科</w:t>
            </w:r>
          </w:p>
        </w:tc>
        <w:tc>
          <w:tcPr>
            <w:tcW w:w="2131" w:type="dxa"/>
          </w:tcPr>
          <w:p w14:paraId="6766A5B8">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7A98614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p>
    <w:p w14:paraId="3B84FC1F">
      <w:pPr>
        <w:spacing w:line="440" w:lineRule="exact"/>
        <w:rPr>
          <w:rFonts w:ascii="仿宋" w:hAnsi="仿宋" w:eastAsia="仿宋" w:cs="仿宋"/>
          <w:b/>
          <w:color w:val="000000" w:themeColor="text1"/>
          <w:sz w:val="24"/>
        </w:rPr>
      </w:pPr>
      <w:r>
        <w:rPr>
          <w:rFonts w:hint="eastAsia" w:ascii="仿宋_GB2312" w:hAnsi="仿宋_GB2312" w:eastAsia="仿宋_GB2312" w:cs="仿宋_GB2312"/>
          <w:sz w:val="24"/>
        </w:rPr>
        <w:t>麻醉科属需要应付多种复杂的手术，手术室患者病情变化快，需要即时监测的项目多，例如血气，乳酸，电解质，肾功能和肌钙蛋白，</w:t>
      </w:r>
      <w:r>
        <w:rPr>
          <w:rFonts w:hint="eastAsia" w:ascii="仿宋_GB2312" w:hAnsi="仿宋_GB2312" w:eastAsia="仿宋_GB2312" w:cs="仿宋_GB2312"/>
          <w:sz w:val="24"/>
          <w:lang w:val="en-US" w:eastAsia="zh-CN"/>
        </w:rPr>
        <w:t>H</w:t>
      </w:r>
      <w:r>
        <w:rPr>
          <w:rFonts w:hint="eastAsia" w:ascii="仿宋_GB2312" w:hAnsi="仿宋_GB2312" w:eastAsia="仿宋_GB2312" w:cs="仿宋_GB2312"/>
          <w:sz w:val="24"/>
        </w:rPr>
        <w:t>ct，BNP，凝血功能等检测项目，这些都需要即时检测（POCT），来为医生对患者进行及时的评估。进口设备在便携性，监测的精准性、稳定性和检测项目的全面方面优于国产设备，更能在手术患者救治方面及时提供即时准确的血液分析数据给与临床，在患者细微的变化中查找到主要的原因，有针对性及时提出治疗方案，为抢救生命争取宝贵的时间</w:t>
      </w:r>
      <w:r>
        <w:rPr>
          <w:rFonts w:hint="eastAsia" w:ascii="仿宋" w:hAnsi="仿宋" w:eastAsia="仿宋" w:cs="仿宋_GB2312"/>
          <w:color w:val="auto"/>
          <w:sz w:val="24"/>
        </w:rPr>
        <w:t>。</w:t>
      </w:r>
    </w:p>
    <w:p w14:paraId="32BE118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0B0015CF">
      <w:pPr>
        <w:pStyle w:val="4"/>
        <w:spacing w:before="143" w:line="220" w:lineRule="auto"/>
        <w:ind w:left="190"/>
      </w:pPr>
      <w:r>
        <w:rPr>
          <w:spacing w:val="-15"/>
        </w:rPr>
        <w:t>1、工作范围：</w:t>
      </w:r>
    </w:p>
    <w:p w14:paraId="294BA9A7">
      <w:pPr>
        <w:pStyle w:val="4"/>
        <w:spacing w:before="117" w:line="219" w:lineRule="auto"/>
        <w:ind w:left="190"/>
      </w:pPr>
      <w:r>
        <w:rPr>
          <w:spacing w:val="-12"/>
        </w:rPr>
        <w:t>1.1工作气压：</w:t>
      </w:r>
      <w:r>
        <w:rPr>
          <w:spacing w:val="31"/>
        </w:rPr>
        <w:t xml:space="preserve">  </w:t>
      </w:r>
      <w:r>
        <w:rPr>
          <w:spacing w:val="-12"/>
        </w:rPr>
        <w:t>300-1000毫米汞柱</w:t>
      </w:r>
    </w:p>
    <w:p w14:paraId="05AFD1D2">
      <w:pPr>
        <w:pStyle w:val="4"/>
        <w:spacing w:before="130" w:line="390" w:lineRule="exact"/>
        <w:ind w:left="190"/>
      </w:pPr>
      <w:r>
        <w:rPr>
          <w:spacing w:val="-2"/>
          <w:position w:val="12"/>
        </w:rPr>
        <w:t>1.2工作温度：16-30摄氏度</w:t>
      </w:r>
    </w:p>
    <w:p w14:paraId="69F5ADB2">
      <w:pPr>
        <w:pStyle w:val="4"/>
        <w:spacing w:line="220" w:lineRule="auto"/>
        <w:ind w:left="190"/>
      </w:pPr>
      <w:r>
        <w:rPr>
          <w:spacing w:val="1"/>
        </w:rPr>
        <w:t>1.3工作湿度：≤90%无凝露</w:t>
      </w:r>
    </w:p>
    <w:p w14:paraId="1859C385">
      <w:pPr>
        <w:pStyle w:val="4"/>
        <w:spacing w:before="147" w:line="219" w:lineRule="auto"/>
        <w:ind w:left="190"/>
      </w:pPr>
      <w:r>
        <w:rPr>
          <w:spacing w:val="-15"/>
        </w:rPr>
        <w:t>2、技术参数：</w:t>
      </w:r>
    </w:p>
    <w:p w14:paraId="372E7B60">
      <w:pPr>
        <w:pStyle w:val="4"/>
        <w:spacing w:before="119" w:line="219" w:lineRule="auto"/>
        <w:ind w:left="190"/>
      </w:pPr>
      <w:r>
        <w:rPr>
          <w:spacing w:val="-9"/>
        </w:rPr>
        <w:t>2.1</w:t>
      </w:r>
      <w:r>
        <w:rPr>
          <w:spacing w:val="-44"/>
        </w:rPr>
        <w:t xml:space="preserve"> </w:t>
      </w:r>
      <w:r>
        <w:rPr>
          <w:spacing w:val="-9"/>
        </w:rPr>
        <w:t>测定原理、方式：生物电极法，微流体技术</w:t>
      </w:r>
    </w:p>
    <w:p w14:paraId="3E2959B3">
      <w:pPr>
        <w:pStyle w:val="4"/>
        <w:spacing w:before="128" w:line="219" w:lineRule="auto"/>
        <w:ind w:left="190"/>
      </w:pPr>
      <w:r>
        <w:rPr>
          <w:spacing w:val="-6"/>
        </w:rPr>
        <w:t>2.2</w:t>
      </w:r>
      <w:r>
        <w:rPr>
          <w:spacing w:val="-25"/>
        </w:rPr>
        <w:t xml:space="preserve"> </w:t>
      </w:r>
      <w:r>
        <w:rPr>
          <w:spacing w:val="-6"/>
        </w:rPr>
        <w:t>电源：电池或可充电电池</w:t>
      </w:r>
    </w:p>
    <w:p w14:paraId="135EF534">
      <w:pPr>
        <w:pStyle w:val="4"/>
        <w:spacing w:before="160" w:line="219" w:lineRule="auto"/>
        <w:ind w:left="190"/>
      </w:pPr>
      <w:r>
        <w:rPr>
          <w:spacing w:val="-11"/>
        </w:rPr>
        <w:t xml:space="preserve">2.3定标： </w:t>
      </w:r>
      <w:r>
        <w:rPr>
          <w:rFonts w:hint="eastAsia"/>
          <w:spacing w:val="-11"/>
          <w:lang w:val="en-US" w:eastAsia="zh-CN"/>
        </w:rPr>
        <w:t>至少</w:t>
      </w:r>
      <w:r>
        <w:rPr>
          <w:spacing w:val="-11"/>
        </w:rPr>
        <w:t>一年两次升级软件更新定标曲线；卡片定标液单点定标</w:t>
      </w:r>
    </w:p>
    <w:p w14:paraId="485BA434">
      <w:pPr>
        <w:pStyle w:val="4"/>
        <w:spacing w:before="138" w:line="212" w:lineRule="auto"/>
        <w:ind w:left="190"/>
        <w:rPr>
          <w:rFonts w:ascii="Times New Roman" w:hAnsi="Times New Roman" w:eastAsia="Times New Roman" w:cs="Times New Roman"/>
          <w:sz w:val="17"/>
          <w:szCs w:val="17"/>
        </w:rPr>
      </w:pPr>
      <w:r>
        <w:rPr>
          <w:spacing w:val="2"/>
          <w:sz w:val="17"/>
          <w:szCs w:val="17"/>
        </w:rPr>
        <w:t>2</w:t>
      </w:r>
      <w:r>
        <w:rPr>
          <w:spacing w:val="-39"/>
          <w:sz w:val="17"/>
          <w:szCs w:val="17"/>
        </w:rPr>
        <w:t xml:space="preserve"> </w:t>
      </w:r>
      <w:r>
        <w:rPr>
          <w:spacing w:val="2"/>
          <w:sz w:val="17"/>
          <w:szCs w:val="17"/>
        </w:rPr>
        <w:t>.</w:t>
      </w:r>
      <w:r>
        <w:rPr>
          <w:spacing w:val="-44"/>
          <w:sz w:val="17"/>
          <w:szCs w:val="17"/>
        </w:rPr>
        <w:t xml:space="preserve"> </w:t>
      </w:r>
      <w:r>
        <w:rPr>
          <w:spacing w:val="2"/>
          <w:sz w:val="17"/>
          <w:szCs w:val="17"/>
        </w:rPr>
        <w:t>4*测量参数：</w:t>
      </w:r>
      <w:r>
        <w:rPr>
          <w:spacing w:val="35"/>
          <w:w w:val="101"/>
          <w:sz w:val="17"/>
          <w:szCs w:val="17"/>
        </w:rPr>
        <w:t xml:space="preserve"> </w:t>
      </w:r>
      <w:r>
        <w:rPr>
          <w:rFonts w:ascii="Times New Roman" w:hAnsi="Times New Roman" w:eastAsia="Times New Roman" w:cs="Times New Roman"/>
          <w:sz w:val="17"/>
          <w:szCs w:val="17"/>
        </w:rPr>
        <w:t>Na</w:t>
      </w:r>
      <w:r>
        <w:rPr>
          <w:rFonts w:ascii="Times New Roman" w:hAnsi="Times New Roman" w:eastAsia="Times New Roman" w:cs="Times New Roman"/>
          <w:spacing w:val="2"/>
          <w:sz w:val="17"/>
          <w:szCs w:val="17"/>
        </w:rPr>
        <w:t>,K,</w:t>
      </w:r>
      <w:r>
        <w:rPr>
          <w:rFonts w:ascii="Times New Roman" w:hAnsi="Times New Roman" w:eastAsia="Times New Roman" w:cs="Times New Roman"/>
          <w:sz w:val="17"/>
          <w:szCs w:val="17"/>
        </w:rPr>
        <w:t>Cl</w:t>
      </w:r>
      <w:r>
        <w:rPr>
          <w:rFonts w:ascii="Times New Roman" w:hAnsi="Times New Roman" w:eastAsia="Times New Roman" w:cs="Times New Roman"/>
          <w:spacing w:val="2"/>
          <w:sz w:val="17"/>
          <w:szCs w:val="17"/>
        </w:rPr>
        <w:t>,</w:t>
      </w:r>
      <w:r>
        <w:rPr>
          <w:rFonts w:ascii="Times New Roman" w:hAnsi="Times New Roman" w:eastAsia="Times New Roman" w:cs="Times New Roman"/>
          <w:sz w:val="17"/>
          <w:szCs w:val="17"/>
        </w:rPr>
        <w:t>PH</w:t>
      </w:r>
      <w:r>
        <w:rPr>
          <w:rFonts w:ascii="Times New Roman" w:hAnsi="Times New Roman" w:eastAsia="Times New Roman" w:cs="Times New Roman"/>
          <w:spacing w:val="2"/>
          <w:sz w:val="17"/>
          <w:szCs w:val="17"/>
        </w:rPr>
        <w:t>,</w:t>
      </w:r>
      <w:r>
        <w:rPr>
          <w:rFonts w:ascii="Times New Roman" w:hAnsi="Times New Roman" w:eastAsia="Times New Roman" w:cs="Times New Roman"/>
          <w:sz w:val="17"/>
          <w:szCs w:val="17"/>
        </w:rPr>
        <w:t>PCO</w:t>
      </w:r>
      <w:r>
        <w:rPr>
          <w:rFonts w:ascii="Times New Roman" w:hAnsi="Times New Roman" w:eastAsia="Times New Roman" w:cs="Times New Roman"/>
          <w:spacing w:val="2"/>
          <w:sz w:val="17"/>
          <w:szCs w:val="17"/>
        </w:rPr>
        <w:t>2,</w:t>
      </w:r>
      <w:r>
        <w:rPr>
          <w:rFonts w:ascii="Times New Roman" w:hAnsi="Times New Roman" w:eastAsia="Times New Roman" w:cs="Times New Roman"/>
          <w:sz w:val="17"/>
          <w:szCs w:val="17"/>
        </w:rPr>
        <w:t>PO</w:t>
      </w:r>
      <w:r>
        <w:rPr>
          <w:rFonts w:ascii="Times New Roman" w:hAnsi="Times New Roman" w:eastAsia="Times New Roman" w:cs="Times New Roman"/>
          <w:spacing w:val="2"/>
          <w:sz w:val="17"/>
          <w:szCs w:val="17"/>
        </w:rPr>
        <w:t>2,</w:t>
      </w:r>
      <w:r>
        <w:rPr>
          <w:rFonts w:ascii="Times New Roman" w:hAnsi="Times New Roman" w:eastAsia="Times New Roman" w:cs="Times New Roman"/>
          <w:sz w:val="17"/>
          <w:szCs w:val="17"/>
        </w:rPr>
        <w:t>TCO</w:t>
      </w:r>
      <w:r>
        <w:rPr>
          <w:rFonts w:ascii="Times New Roman" w:hAnsi="Times New Roman" w:eastAsia="Times New Roman" w:cs="Times New Roman"/>
          <w:spacing w:val="2"/>
          <w:sz w:val="17"/>
          <w:szCs w:val="17"/>
        </w:rPr>
        <w:t>2,</w:t>
      </w:r>
      <w:r>
        <w:rPr>
          <w:rFonts w:ascii="Times New Roman" w:hAnsi="Times New Roman" w:eastAsia="Times New Roman" w:cs="Times New Roman"/>
          <w:sz w:val="17"/>
          <w:szCs w:val="17"/>
        </w:rPr>
        <w:t>iCa</w:t>
      </w: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BUN</w:t>
      </w: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CK</w:t>
      </w: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MB</w:t>
      </w: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Glu</w:t>
      </w: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HCT</w:t>
      </w: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Lac</w:t>
      </w: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Crea</w:t>
      </w: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PT</w:t>
      </w:r>
      <w:r>
        <w:rPr>
          <w:rFonts w:ascii="Times New Roman" w:hAnsi="Times New Roman" w:eastAsia="Times New Roman" w:cs="Times New Roman"/>
          <w:spacing w:val="1"/>
          <w:sz w:val="17"/>
          <w:szCs w:val="17"/>
        </w:rPr>
        <w:t>(*)/</w:t>
      </w:r>
      <w:r>
        <w:rPr>
          <w:rFonts w:ascii="Times New Roman" w:hAnsi="Times New Roman" w:eastAsia="Times New Roman" w:cs="Times New Roman"/>
          <w:sz w:val="17"/>
          <w:szCs w:val="17"/>
        </w:rPr>
        <w:t>InR</w:t>
      </w:r>
      <w:r>
        <w:rPr>
          <w:rFonts w:ascii="Times New Roman" w:hAnsi="Times New Roman" w:eastAsia="Times New Roman" w:cs="Times New Roman"/>
          <w:spacing w:val="1"/>
          <w:sz w:val="17"/>
          <w:szCs w:val="17"/>
        </w:rPr>
        <w:t>,</w:t>
      </w:r>
    </w:p>
    <w:p w14:paraId="562C639B">
      <w:pPr>
        <w:pStyle w:val="4"/>
        <w:spacing w:before="161" w:line="212" w:lineRule="auto"/>
        <w:ind w:left="1970"/>
      </w:pPr>
      <w:r>
        <w:rPr>
          <w:rFonts w:ascii="Times New Roman" w:hAnsi="Times New Roman" w:eastAsia="Times New Roman" w:cs="Times New Roman"/>
          <w:spacing w:val="-7"/>
        </w:rPr>
        <w:t>ACT(*)cTnI</w:t>
      </w:r>
      <w:r>
        <w:rPr>
          <w:spacing w:val="-7"/>
        </w:rPr>
        <w:t>(肌钙蛋白)、</w:t>
      </w:r>
      <w:r>
        <w:rPr>
          <w:rFonts w:ascii="Times New Roman" w:hAnsi="Times New Roman" w:eastAsia="Times New Roman" w:cs="Times New Roman"/>
          <w:spacing w:val="-7"/>
        </w:rPr>
        <w:t>BNP</w:t>
      </w:r>
      <w:r>
        <w:rPr>
          <w:rFonts w:ascii="Times New Roman" w:hAnsi="Times New Roman" w:eastAsia="Times New Roman" w:cs="Times New Roman"/>
          <w:spacing w:val="36"/>
          <w:w w:val="101"/>
        </w:rPr>
        <w:t xml:space="preserve"> </w:t>
      </w:r>
      <w:r>
        <w:rPr>
          <w:spacing w:val="-7"/>
        </w:rPr>
        <w:t>(</w:t>
      </w:r>
      <w:r>
        <w:rPr>
          <w:rFonts w:hint="eastAsia"/>
          <w:spacing w:val="-7"/>
          <w:lang w:val="en-US" w:eastAsia="zh-CN"/>
        </w:rPr>
        <w:t>利钠肽</w:t>
      </w:r>
      <w:r>
        <w:rPr>
          <w:spacing w:val="-7"/>
        </w:rPr>
        <w:t>)等</w:t>
      </w:r>
    </w:p>
    <w:p w14:paraId="531378CF">
      <w:pPr>
        <w:pStyle w:val="4"/>
        <w:spacing w:before="117" w:line="212" w:lineRule="auto"/>
        <w:ind w:left="190"/>
        <w:rPr>
          <w:rFonts w:hint="eastAsia" w:ascii="Times New Roman" w:hAnsi="Times New Roman" w:eastAsia="宋体" w:cs="Times New Roman"/>
          <w:lang w:val="en-US" w:eastAsia="zh-CN"/>
        </w:rPr>
      </w:pPr>
      <w:r>
        <w:rPr>
          <w:spacing w:val="-9"/>
        </w:rPr>
        <w:t xml:space="preserve">2.5计算参数： </w:t>
      </w:r>
      <w:r>
        <w:rPr>
          <w:rFonts w:ascii="Times New Roman" w:hAnsi="Times New Roman" w:eastAsia="Times New Roman" w:cs="Times New Roman"/>
          <w:spacing w:val="-9"/>
        </w:rPr>
        <w:t>HCO3,TCO2,BE,Anion Gap,sO2,Hb</w:t>
      </w:r>
      <w:r>
        <w:rPr>
          <w:rFonts w:hint="eastAsia" w:ascii="Times New Roman" w:hAnsi="Times New Roman" w:eastAsia="宋体" w:cs="Times New Roman"/>
          <w:spacing w:val="-9"/>
          <w:lang w:val="en-US" w:eastAsia="zh-CN"/>
        </w:rPr>
        <w:t>等</w:t>
      </w:r>
    </w:p>
    <w:p w14:paraId="34F87E35">
      <w:pPr>
        <w:pStyle w:val="4"/>
        <w:spacing w:before="172" w:line="380" w:lineRule="exact"/>
        <w:ind w:left="190"/>
      </w:pPr>
      <w:r>
        <w:rPr>
          <w:spacing w:val="-7"/>
          <w:position w:val="12"/>
        </w:rPr>
        <w:t>2.6电解质可以用全血检查，无需分离血浆或血清，</w:t>
      </w:r>
      <w:r>
        <w:rPr>
          <w:spacing w:val="-8"/>
          <w:position w:val="12"/>
        </w:rPr>
        <w:t>且结果精确</w:t>
      </w:r>
    </w:p>
    <w:p w14:paraId="4D1F1522">
      <w:pPr>
        <w:pStyle w:val="4"/>
        <w:spacing w:before="1" w:line="219" w:lineRule="auto"/>
        <w:ind w:left="190"/>
      </w:pPr>
      <w:r>
        <w:rPr>
          <w:spacing w:val="-9"/>
        </w:rPr>
        <w:t>2.7*消耗品：除一次性检测用卡片外无其</w:t>
      </w:r>
      <w:r>
        <w:rPr>
          <w:spacing w:val="-10"/>
        </w:rPr>
        <w:t>他消耗品</w:t>
      </w:r>
    </w:p>
    <w:p w14:paraId="1FAFC10E">
      <w:pPr>
        <w:pStyle w:val="4"/>
        <w:spacing w:before="129" w:line="219" w:lineRule="auto"/>
        <w:ind w:left="190"/>
      </w:pPr>
      <w:r>
        <w:rPr>
          <w:spacing w:val="-6"/>
        </w:rPr>
        <w:t>2.8*测试片：可2-8°</w:t>
      </w:r>
      <w:r>
        <w:rPr>
          <w:rFonts w:ascii="Times New Roman" w:hAnsi="Times New Roman" w:eastAsia="Times New Roman" w:cs="Times New Roman"/>
          <w:spacing w:val="-6"/>
        </w:rPr>
        <w:t>C</w:t>
      </w:r>
      <w:r>
        <w:rPr>
          <w:spacing w:val="-6"/>
        </w:rPr>
        <w:t>贮存到卡片包装上保质期日期</w:t>
      </w:r>
    </w:p>
    <w:p w14:paraId="08B3D1BA">
      <w:pPr>
        <w:pStyle w:val="4"/>
        <w:spacing w:before="138" w:line="268" w:lineRule="auto"/>
        <w:ind w:left="190" w:right="-94" w:rightChars="0"/>
        <w:rPr>
          <w:spacing w:val="-9"/>
        </w:rPr>
      </w:pPr>
      <w:r>
        <w:rPr>
          <w:spacing w:val="-9"/>
        </w:rPr>
        <w:t>2.9可采用样品：动脉血、静脉血、毛细管血、脐带血、混合静脉血、体外循环血、足跟血</w:t>
      </w:r>
    </w:p>
    <w:p w14:paraId="3677AA69">
      <w:pPr>
        <w:pStyle w:val="4"/>
        <w:spacing w:before="138" w:line="268" w:lineRule="auto"/>
        <w:ind w:left="190" w:right="-94" w:rightChars="0"/>
      </w:pPr>
      <w:r>
        <w:rPr>
          <w:spacing w:val="-3"/>
        </w:rPr>
        <w:t>2.10检测时间：血气、血电解质等</w:t>
      </w:r>
      <w:r>
        <w:rPr>
          <w:rFonts w:hint="eastAsia"/>
          <w:spacing w:val="-3"/>
          <w:lang w:val="en-US" w:eastAsia="zh-CN"/>
        </w:rPr>
        <w:t>最快</w:t>
      </w:r>
      <w:r>
        <w:rPr>
          <w:spacing w:val="-3"/>
        </w:rPr>
        <w:t>2分钟可看到报告，最长的检测项目时间不超过10分钟</w:t>
      </w:r>
    </w:p>
    <w:p w14:paraId="06FDD628">
      <w:pPr>
        <w:pStyle w:val="4"/>
        <w:spacing w:before="131" w:line="391" w:lineRule="exact"/>
        <w:ind w:left="190"/>
        <w:rPr>
          <w:rFonts w:ascii="Times New Roman" w:hAnsi="Times New Roman" w:eastAsia="Times New Roman" w:cs="Times New Roman"/>
        </w:rPr>
      </w:pPr>
      <w:r>
        <w:rPr>
          <w:spacing w:val="10"/>
          <w:position w:val="12"/>
        </w:rPr>
        <w:t>2.11采样量(全参数)≤95</w:t>
      </w:r>
      <w:r>
        <w:rPr>
          <w:rFonts w:ascii="Times New Roman" w:hAnsi="Times New Roman" w:eastAsia="Times New Roman" w:cs="Times New Roman"/>
          <w:position w:val="12"/>
        </w:rPr>
        <w:t>ul</w:t>
      </w:r>
    </w:p>
    <w:p w14:paraId="49592762">
      <w:pPr>
        <w:pStyle w:val="4"/>
        <w:spacing w:line="219" w:lineRule="auto"/>
        <w:ind w:left="190"/>
        <w:rPr>
          <w:rFonts w:ascii="Times New Roman" w:hAnsi="Times New Roman" w:eastAsia="Times New Roman" w:cs="Times New Roman"/>
        </w:rPr>
      </w:pPr>
      <w:r>
        <w:rPr>
          <w:spacing w:val="-14"/>
        </w:rPr>
        <w:t>2.12*最小样品量：17</w:t>
      </w:r>
      <w:r>
        <w:rPr>
          <w:rFonts w:ascii="Times New Roman" w:hAnsi="Times New Roman" w:eastAsia="Times New Roman" w:cs="Times New Roman"/>
          <w:spacing w:val="-14"/>
        </w:rPr>
        <w:t>ul</w:t>
      </w:r>
    </w:p>
    <w:p w14:paraId="2DC88400">
      <w:pPr>
        <w:pStyle w:val="4"/>
        <w:spacing w:before="138" w:line="382" w:lineRule="exact"/>
        <w:ind w:left="190"/>
        <w:rPr>
          <w:spacing w:val="-7"/>
          <w:position w:val="12"/>
        </w:rPr>
      </w:pPr>
      <w:r>
        <w:rPr>
          <w:spacing w:val="-7"/>
          <w:position w:val="12"/>
        </w:rPr>
        <w:t>2.13质控方式：卡片定标液；内部电子模拟器检测；外部电子模拟器检测；通过卡片</w:t>
      </w:r>
      <w:r>
        <w:rPr>
          <w:spacing w:val="-8"/>
          <w:position w:val="12"/>
        </w:rPr>
        <w:t>质控液进</w:t>
      </w:r>
      <w:r>
        <w:rPr>
          <w:spacing w:val="-7"/>
          <w:position w:val="12"/>
        </w:rPr>
        <w:t>行质控(高、中、低三级质控液)</w:t>
      </w:r>
    </w:p>
    <w:p w14:paraId="2A02D1EC">
      <w:pPr>
        <w:pStyle w:val="4"/>
        <w:spacing w:before="138" w:line="382" w:lineRule="exact"/>
        <w:ind w:left="190"/>
        <w:rPr>
          <w:spacing w:val="-7"/>
          <w:position w:val="12"/>
        </w:rPr>
      </w:pPr>
      <w:r>
        <w:rPr>
          <w:spacing w:val="-7"/>
          <w:position w:val="12"/>
        </w:rPr>
        <w:t>2.14免费升级：提供</w:t>
      </w:r>
    </w:p>
    <w:p w14:paraId="5CCA6FA6">
      <w:pPr>
        <w:pStyle w:val="4"/>
        <w:spacing w:before="120" w:line="391" w:lineRule="exact"/>
        <w:ind w:left="190"/>
      </w:pPr>
      <w:r>
        <w:rPr>
          <w:spacing w:val="-5"/>
          <w:position w:val="12"/>
        </w:rPr>
        <w:t>2.15打印机：外接热敏打印机</w:t>
      </w:r>
    </w:p>
    <w:p w14:paraId="647748F0">
      <w:pPr>
        <w:pStyle w:val="4"/>
        <w:spacing w:line="220" w:lineRule="auto"/>
        <w:ind w:left="190"/>
      </w:pPr>
      <w:r>
        <w:rPr>
          <w:spacing w:val="-4"/>
        </w:rPr>
        <w:t>2.16显示屏：液晶显示屏</w:t>
      </w:r>
    </w:p>
    <w:p w14:paraId="14F04E5C">
      <w:pPr>
        <w:pStyle w:val="4"/>
        <w:spacing w:before="149" w:line="221" w:lineRule="auto"/>
        <w:ind w:left="190"/>
      </w:pPr>
      <w:r>
        <w:rPr>
          <w:spacing w:val="-3"/>
        </w:rPr>
        <w:t>2.17接口：以太网接口或</w:t>
      </w:r>
      <w:r>
        <w:rPr>
          <w:spacing w:val="-45"/>
        </w:rPr>
        <w:t xml:space="preserve"> </w:t>
      </w:r>
      <w:r>
        <w:rPr>
          <w:spacing w:val="-3"/>
        </w:rPr>
        <w:t>USB接口</w:t>
      </w:r>
    </w:p>
    <w:p w14:paraId="63010004">
      <w:pPr>
        <w:pStyle w:val="4"/>
        <w:spacing w:before="126" w:line="389" w:lineRule="exact"/>
        <w:ind w:left="190"/>
      </w:pPr>
      <w:r>
        <w:rPr>
          <w:spacing w:val="-10"/>
          <w:position w:val="12"/>
        </w:rPr>
        <w:t>2.18配置要求：具有后备电池夹、可连接</w:t>
      </w:r>
      <w:r>
        <w:rPr>
          <w:rFonts w:ascii="Times New Roman" w:hAnsi="Times New Roman" w:eastAsia="Times New Roman" w:cs="Times New Roman"/>
          <w:spacing w:val="-10"/>
          <w:position w:val="12"/>
        </w:rPr>
        <w:t>CDS</w:t>
      </w:r>
      <w:r>
        <w:rPr>
          <w:rFonts w:ascii="Times New Roman" w:hAnsi="Times New Roman" w:eastAsia="Times New Roman" w:cs="Times New Roman"/>
          <w:spacing w:val="26"/>
          <w:w w:val="101"/>
          <w:position w:val="12"/>
        </w:rPr>
        <w:t xml:space="preserve"> </w:t>
      </w:r>
      <w:r>
        <w:rPr>
          <w:spacing w:val="-10"/>
          <w:position w:val="12"/>
        </w:rPr>
        <w:t>以及</w:t>
      </w:r>
      <w:r>
        <w:rPr>
          <w:rFonts w:ascii="Times New Roman" w:hAnsi="Times New Roman" w:eastAsia="Times New Roman" w:cs="Times New Roman"/>
          <w:spacing w:val="-10"/>
          <w:position w:val="12"/>
        </w:rPr>
        <w:t>CDS PLUS</w:t>
      </w:r>
      <w:r>
        <w:rPr>
          <w:rFonts w:ascii="Times New Roman" w:hAnsi="Times New Roman" w:eastAsia="Times New Roman" w:cs="Times New Roman"/>
          <w:spacing w:val="-11"/>
          <w:position w:val="12"/>
        </w:rPr>
        <w:t xml:space="preserve"> </w:t>
      </w:r>
      <w:r>
        <w:rPr>
          <w:spacing w:val="-11"/>
          <w:position w:val="12"/>
        </w:rPr>
        <w:t>系统</w:t>
      </w:r>
    </w:p>
    <w:p w14:paraId="7BA8576E">
      <w:pPr>
        <w:pStyle w:val="4"/>
        <w:spacing w:line="219" w:lineRule="auto"/>
        <w:ind w:left="190"/>
      </w:pPr>
      <w:r>
        <w:rPr>
          <w:spacing w:val="-4"/>
        </w:rPr>
        <w:t>2.19具备自诊断程序</w:t>
      </w:r>
    </w:p>
    <w:p w14:paraId="147922B1">
      <w:pPr>
        <w:pStyle w:val="4"/>
        <w:spacing w:before="119" w:line="390" w:lineRule="exact"/>
        <w:ind w:left="190"/>
      </w:pPr>
      <w:r>
        <w:rPr>
          <w:spacing w:val="-6"/>
          <w:position w:val="12"/>
        </w:rPr>
        <w:t>2.20*存储检测数据数量：</w:t>
      </w:r>
      <w:r>
        <w:rPr>
          <w:rFonts w:hint="eastAsia"/>
          <w:spacing w:val="-6"/>
          <w:position w:val="12"/>
          <w:lang w:val="en-US" w:eastAsia="zh-CN"/>
        </w:rPr>
        <w:t>大于等于</w:t>
      </w:r>
      <w:r>
        <w:rPr>
          <w:spacing w:val="-6"/>
          <w:position w:val="12"/>
        </w:rPr>
        <w:t>5000组</w:t>
      </w:r>
    </w:p>
    <w:p w14:paraId="7C90D9CA">
      <w:pPr>
        <w:pStyle w:val="4"/>
        <w:spacing w:before="138" w:line="219" w:lineRule="auto"/>
        <w:ind w:left="190"/>
      </w:pPr>
      <w:r>
        <w:rPr>
          <w:spacing w:val="-6"/>
        </w:rPr>
        <w:t>2.2</w:t>
      </w:r>
      <w:r>
        <w:rPr>
          <w:rFonts w:hint="eastAsia"/>
          <w:spacing w:val="-6"/>
          <w:lang w:val="en-US" w:eastAsia="zh-CN"/>
        </w:rPr>
        <w:t>1</w:t>
      </w:r>
      <w:r>
        <w:rPr>
          <w:spacing w:val="-6"/>
        </w:rPr>
        <w:t>红外线扫描患者一维码基本信息，节约</w:t>
      </w:r>
      <w:r>
        <w:rPr>
          <w:spacing w:val="-7"/>
        </w:rPr>
        <w:t>更多时间</w:t>
      </w:r>
    </w:p>
    <w:p w14:paraId="7ADC3668">
      <w:pPr>
        <w:pStyle w:val="4"/>
        <w:spacing w:before="139" w:line="376" w:lineRule="exact"/>
        <w:ind w:left="190"/>
      </w:pPr>
      <w:r>
        <w:rPr>
          <w:spacing w:val="-5"/>
          <w:position w:val="11"/>
        </w:rPr>
        <w:t>2.2</w:t>
      </w:r>
      <w:r>
        <w:rPr>
          <w:rFonts w:hint="eastAsia"/>
          <w:spacing w:val="-5"/>
          <w:position w:val="11"/>
          <w:lang w:val="en-US" w:eastAsia="zh-CN"/>
        </w:rPr>
        <w:t>2中标人负责</w:t>
      </w:r>
      <w:r>
        <w:rPr>
          <w:spacing w:val="-5"/>
          <w:position w:val="11"/>
        </w:rPr>
        <w:t>连接中央数据管理系统或</w:t>
      </w:r>
      <w:r>
        <w:rPr>
          <w:rFonts w:ascii="Times New Roman" w:hAnsi="Times New Roman" w:eastAsia="Times New Roman" w:cs="Times New Roman"/>
          <w:spacing w:val="-5"/>
          <w:position w:val="11"/>
        </w:rPr>
        <w:t xml:space="preserve">LIS </w:t>
      </w:r>
      <w:r>
        <w:rPr>
          <w:spacing w:val="-5"/>
          <w:position w:val="11"/>
        </w:rPr>
        <w:t>系统，上传并保存众多测试数据</w:t>
      </w:r>
    </w:p>
    <w:p w14:paraId="65706AFE">
      <w:pPr>
        <w:pStyle w:val="4"/>
        <w:spacing w:line="212" w:lineRule="auto"/>
        <w:ind w:left="190"/>
        <w:rPr>
          <w:spacing w:val="-6"/>
        </w:rPr>
      </w:pPr>
      <w:r>
        <w:rPr>
          <w:spacing w:val="-6"/>
        </w:rPr>
        <w:t>2.24肌钙蛋白</w:t>
      </w:r>
      <w:r>
        <w:rPr>
          <w:rFonts w:ascii="Times New Roman" w:hAnsi="Times New Roman" w:eastAsia="Times New Roman" w:cs="Times New Roman"/>
          <w:spacing w:val="-6"/>
        </w:rPr>
        <w:t>(cTnI)</w:t>
      </w:r>
      <w:r>
        <w:rPr>
          <w:rFonts w:ascii="Times New Roman" w:hAnsi="Times New Roman" w:eastAsia="Times New Roman" w:cs="Times New Roman"/>
          <w:spacing w:val="-17"/>
        </w:rPr>
        <w:t xml:space="preserve"> </w:t>
      </w:r>
      <w:r>
        <w:rPr>
          <w:spacing w:val="-6"/>
        </w:rPr>
        <w:t>、</w:t>
      </w:r>
      <w:r>
        <w:rPr>
          <w:spacing w:val="-53"/>
        </w:rPr>
        <w:t xml:space="preserve"> </w:t>
      </w:r>
      <w:r>
        <w:rPr>
          <w:spacing w:val="-6"/>
        </w:rPr>
        <w:t>乳酸测定，简单方便，定量测试</w:t>
      </w:r>
    </w:p>
    <w:p w14:paraId="7D4541D1">
      <w:pPr>
        <w:pStyle w:val="4"/>
        <w:spacing w:line="212" w:lineRule="auto"/>
        <w:ind w:left="190"/>
        <w:rPr>
          <w:rFonts w:hint="default" w:eastAsia="宋体"/>
          <w:spacing w:val="-6"/>
          <w:lang w:val="en-US" w:eastAsia="zh-CN"/>
        </w:rPr>
      </w:pPr>
      <w:r>
        <w:rPr>
          <w:rFonts w:hint="eastAsia"/>
          <w:spacing w:val="-6"/>
          <w:lang w:val="en-US" w:eastAsia="zh-CN"/>
        </w:rPr>
        <w:t>2.25 使用年限大于等于5年</w:t>
      </w:r>
    </w:p>
    <w:p w14:paraId="52E88382">
      <w:pPr>
        <w:rPr>
          <w:rFonts w:ascii="仿宋" w:hAnsi="仿宋" w:eastAsia="仿宋" w:cs="仿宋"/>
          <w:b/>
          <w:color w:val="000000" w:themeColor="text1"/>
          <w:sz w:val="24"/>
        </w:rPr>
      </w:pPr>
      <w:r>
        <w:rPr>
          <w:rFonts w:hint="eastAsia" w:ascii="仿宋" w:hAnsi="仿宋" w:eastAsia="仿宋" w:cs="仿宋"/>
          <w:b/>
          <w:color w:val="000000" w:themeColor="text1"/>
          <w:sz w:val="24"/>
        </w:rPr>
        <w:br w:type="page"/>
      </w:r>
    </w:p>
    <w:p w14:paraId="2184FCF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87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94"/>
        <w:gridCol w:w="4490"/>
        <w:gridCol w:w="969"/>
        <w:gridCol w:w="920"/>
      </w:tblGrid>
      <w:tr w14:paraId="6C65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AD2FAC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694" w:type="dxa"/>
          </w:tcPr>
          <w:p w14:paraId="7F80A20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4490" w:type="dxa"/>
          </w:tcPr>
          <w:p w14:paraId="27EC7F0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1A83430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3A91EEE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5A77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tcPr>
          <w:p w14:paraId="3DA8461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694" w:type="dxa"/>
          </w:tcPr>
          <w:p w14:paraId="7DF2D8EE">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主机</w:t>
            </w:r>
          </w:p>
        </w:tc>
        <w:tc>
          <w:tcPr>
            <w:tcW w:w="4490" w:type="dxa"/>
          </w:tcPr>
          <w:p w14:paraId="4B89680C">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全新未拆封未使用</w:t>
            </w:r>
          </w:p>
        </w:tc>
        <w:tc>
          <w:tcPr>
            <w:tcW w:w="969" w:type="dxa"/>
          </w:tcPr>
          <w:p w14:paraId="719803B1">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3EE9C52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台</w:t>
            </w:r>
          </w:p>
        </w:tc>
      </w:tr>
      <w:tr w14:paraId="564A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AB8203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694" w:type="dxa"/>
          </w:tcPr>
          <w:p w14:paraId="360E1952">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底座</w:t>
            </w:r>
          </w:p>
        </w:tc>
        <w:tc>
          <w:tcPr>
            <w:tcW w:w="4490" w:type="dxa"/>
          </w:tcPr>
          <w:p w14:paraId="69BB25F2">
            <w:pPr>
              <w:spacing w:line="440" w:lineRule="exact"/>
              <w:jc w:val="center"/>
              <w:rPr>
                <w:rFonts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全新未拆封未使用</w:t>
            </w:r>
          </w:p>
        </w:tc>
        <w:tc>
          <w:tcPr>
            <w:tcW w:w="969" w:type="dxa"/>
          </w:tcPr>
          <w:p w14:paraId="1A2EF8F3">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331AF2F2">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台</w:t>
            </w:r>
          </w:p>
        </w:tc>
      </w:tr>
      <w:tr w14:paraId="4C07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tcPr>
          <w:p w14:paraId="4F2E51A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694" w:type="dxa"/>
          </w:tcPr>
          <w:p w14:paraId="6981FA78">
            <w:pPr>
              <w:numPr>
                <w:ilvl w:val="0"/>
                <w:numId w:val="0"/>
              </w:num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电池组</w:t>
            </w:r>
          </w:p>
        </w:tc>
        <w:tc>
          <w:tcPr>
            <w:tcW w:w="4490" w:type="dxa"/>
          </w:tcPr>
          <w:p w14:paraId="547DCE39">
            <w:pPr>
              <w:spacing w:line="440" w:lineRule="exact"/>
              <w:jc w:val="center"/>
              <w:rPr>
                <w:rFonts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全新未拆封未使用</w:t>
            </w:r>
          </w:p>
        </w:tc>
        <w:tc>
          <w:tcPr>
            <w:tcW w:w="969" w:type="dxa"/>
          </w:tcPr>
          <w:p w14:paraId="394714C9">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31DCE00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758D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FFF963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1694" w:type="dxa"/>
          </w:tcPr>
          <w:p w14:paraId="55C4525B">
            <w:pPr>
              <w:numPr>
                <w:ilvl w:val="0"/>
                <w:numId w:val="0"/>
              </w:num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电子模拟器</w:t>
            </w:r>
          </w:p>
        </w:tc>
        <w:tc>
          <w:tcPr>
            <w:tcW w:w="4490" w:type="dxa"/>
          </w:tcPr>
          <w:p w14:paraId="0B82B148">
            <w:pPr>
              <w:spacing w:line="440" w:lineRule="exact"/>
              <w:jc w:val="center"/>
              <w:rPr>
                <w:rFonts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全新未拆封未使用</w:t>
            </w:r>
          </w:p>
        </w:tc>
        <w:tc>
          <w:tcPr>
            <w:tcW w:w="969" w:type="dxa"/>
          </w:tcPr>
          <w:p w14:paraId="7268C37F">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097E6032">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块</w:t>
            </w:r>
          </w:p>
        </w:tc>
      </w:tr>
      <w:tr w14:paraId="71FA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28CC57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1694" w:type="dxa"/>
          </w:tcPr>
          <w:p w14:paraId="584858BB">
            <w:pPr>
              <w:numPr>
                <w:ilvl w:val="0"/>
                <w:numId w:val="0"/>
              </w:num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打印机</w:t>
            </w:r>
          </w:p>
        </w:tc>
        <w:tc>
          <w:tcPr>
            <w:tcW w:w="4490" w:type="dxa"/>
          </w:tcPr>
          <w:p w14:paraId="4BFDD891">
            <w:pPr>
              <w:spacing w:line="440" w:lineRule="exact"/>
              <w:jc w:val="center"/>
              <w:rPr>
                <w:rFonts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全新未拆封未使用</w:t>
            </w:r>
          </w:p>
        </w:tc>
        <w:tc>
          <w:tcPr>
            <w:tcW w:w="969" w:type="dxa"/>
          </w:tcPr>
          <w:p w14:paraId="562F7D31">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6AAC65FD">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台</w:t>
            </w:r>
          </w:p>
        </w:tc>
      </w:tr>
      <w:tr w14:paraId="26A5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37606A34">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lang w:val="en-US" w:eastAsia="zh-CN"/>
              </w:rPr>
              <w:t>6</w:t>
            </w:r>
          </w:p>
        </w:tc>
        <w:tc>
          <w:tcPr>
            <w:tcW w:w="1694" w:type="dxa"/>
            <w:shd w:val="clear" w:color="auto" w:fill="auto"/>
            <w:vAlign w:val="top"/>
          </w:tcPr>
          <w:p w14:paraId="7AC47F33">
            <w:pPr>
              <w:spacing w:line="440" w:lineRule="exact"/>
              <w:jc w:val="center"/>
              <w:rPr>
                <w:rFonts w:hint="default"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kern w:val="2"/>
                <w:sz w:val="24"/>
                <w:szCs w:val="24"/>
                <w:lang w:val="en-US" w:eastAsia="zh-CN" w:bidi="ar-SA"/>
              </w:rPr>
              <w:t>电池充电器（若有）</w:t>
            </w:r>
          </w:p>
        </w:tc>
        <w:tc>
          <w:tcPr>
            <w:tcW w:w="4490" w:type="dxa"/>
            <w:shd w:val="clear" w:color="auto" w:fill="auto"/>
            <w:vAlign w:val="top"/>
          </w:tcPr>
          <w:p w14:paraId="3278DA7E">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全</w:t>
            </w:r>
            <w:bookmarkStart w:id="0" w:name="_GoBack"/>
            <w:bookmarkEnd w:id="0"/>
            <w:r>
              <w:rPr>
                <w:rFonts w:hint="eastAsia" w:ascii="仿宋" w:hAnsi="仿宋" w:eastAsia="仿宋" w:cs="仿宋"/>
                <w:b w:val="0"/>
                <w:bCs/>
                <w:color w:val="000000" w:themeColor="text1"/>
                <w:sz w:val="24"/>
                <w:lang w:val="en-US" w:eastAsia="zh-CN"/>
              </w:rPr>
              <w:t>新未拆封未使用</w:t>
            </w:r>
          </w:p>
        </w:tc>
        <w:tc>
          <w:tcPr>
            <w:tcW w:w="969" w:type="dxa"/>
            <w:shd w:val="clear" w:color="auto" w:fill="auto"/>
            <w:vAlign w:val="top"/>
          </w:tcPr>
          <w:p w14:paraId="13253DF9">
            <w:pPr>
              <w:spacing w:line="440" w:lineRule="exact"/>
              <w:jc w:val="center"/>
              <w:rPr>
                <w:rFonts w:hint="default"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1</w:t>
            </w:r>
          </w:p>
        </w:tc>
        <w:tc>
          <w:tcPr>
            <w:tcW w:w="920" w:type="dxa"/>
            <w:shd w:val="clear" w:color="auto" w:fill="auto"/>
            <w:vAlign w:val="top"/>
          </w:tcPr>
          <w:p w14:paraId="415F84FF">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台</w:t>
            </w:r>
          </w:p>
        </w:tc>
      </w:tr>
      <w:tr w14:paraId="5D10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170EB9E2">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lang w:val="en-US" w:eastAsia="zh-CN"/>
              </w:rPr>
              <w:t>7</w:t>
            </w:r>
          </w:p>
        </w:tc>
        <w:tc>
          <w:tcPr>
            <w:tcW w:w="1694" w:type="dxa"/>
            <w:shd w:val="clear" w:color="auto" w:fill="auto"/>
            <w:vAlign w:val="top"/>
          </w:tcPr>
          <w:p w14:paraId="59484419">
            <w:pPr>
              <w:spacing w:line="440" w:lineRule="exact"/>
              <w:jc w:val="center"/>
              <w:rPr>
                <w:rFonts w:hint="default"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保修卡</w:t>
            </w:r>
          </w:p>
        </w:tc>
        <w:tc>
          <w:tcPr>
            <w:tcW w:w="4490" w:type="dxa"/>
            <w:shd w:val="clear" w:color="auto" w:fill="auto"/>
            <w:vAlign w:val="top"/>
          </w:tcPr>
          <w:p w14:paraId="119020D5">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w:t>
            </w:r>
          </w:p>
        </w:tc>
        <w:tc>
          <w:tcPr>
            <w:tcW w:w="969" w:type="dxa"/>
            <w:shd w:val="clear" w:color="auto" w:fill="auto"/>
            <w:vAlign w:val="top"/>
          </w:tcPr>
          <w:p w14:paraId="0D952F97">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1</w:t>
            </w:r>
          </w:p>
        </w:tc>
        <w:tc>
          <w:tcPr>
            <w:tcW w:w="920" w:type="dxa"/>
            <w:shd w:val="clear" w:color="auto" w:fill="auto"/>
            <w:vAlign w:val="top"/>
          </w:tcPr>
          <w:p w14:paraId="20C2FE91">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份</w:t>
            </w:r>
          </w:p>
        </w:tc>
      </w:tr>
      <w:tr w14:paraId="78A2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5E81B319">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lang w:val="en-US" w:eastAsia="zh-CN"/>
              </w:rPr>
              <w:t>8</w:t>
            </w:r>
          </w:p>
        </w:tc>
        <w:tc>
          <w:tcPr>
            <w:tcW w:w="1694" w:type="dxa"/>
            <w:shd w:val="clear" w:color="auto" w:fill="auto"/>
            <w:vAlign w:val="top"/>
          </w:tcPr>
          <w:p w14:paraId="7ECEE90E">
            <w:pPr>
              <w:spacing w:line="440" w:lineRule="exact"/>
              <w:jc w:val="center"/>
              <w:rPr>
                <w:rFonts w:hint="default"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合格证</w:t>
            </w:r>
          </w:p>
        </w:tc>
        <w:tc>
          <w:tcPr>
            <w:tcW w:w="4490" w:type="dxa"/>
            <w:shd w:val="clear" w:color="auto" w:fill="auto"/>
            <w:vAlign w:val="top"/>
          </w:tcPr>
          <w:p w14:paraId="68056F25">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w:t>
            </w:r>
          </w:p>
        </w:tc>
        <w:tc>
          <w:tcPr>
            <w:tcW w:w="969" w:type="dxa"/>
            <w:shd w:val="clear" w:color="auto" w:fill="auto"/>
            <w:vAlign w:val="top"/>
          </w:tcPr>
          <w:p w14:paraId="7F84A678">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1</w:t>
            </w:r>
          </w:p>
        </w:tc>
        <w:tc>
          <w:tcPr>
            <w:tcW w:w="920" w:type="dxa"/>
            <w:shd w:val="clear" w:color="auto" w:fill="auto"/>
            <w:vAlign w:val="top"/>
          </w:tcPr>
          <w:p w14:paraId="7C51B376">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份</w:t>
            </w:r>
          </w:p>
        </w:tc>
      </w:tr>
      <w:tr w14:paraId="4F4C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21F0CC3A">
            <w:pPr>
              <w:spacing w:line="440" w:lineRule="exact"/>
              <w:jc w:val="center"/>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9</w:t>
            </w:r>
          </w:p>
        </w:tc>
        <w:tc>
          <w:tcPr>
            <w:tcW w:w="1694" w:type="dxa"/>
            <w:shd w:val="clear" w:color="auto" w:fill="auto"/>
            <w:vAlign w:val="top"/>
          </w:tcPr>
          <w:p w14:paraId="29A920C9">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说明书</w:t>
            </w:r>
          </w:p>
        </w:tc>
        <w:tc>
          <w:tcPr>
            <w:tcW w:w="4490" w:type="dxa"/>
            <w:shd w:val="clear" w:color="auto" w:fill="auto"/>
            <w:vAlign w:val="top"/>
          </w:tcPr>
          <w:p w14:paraId="6334FB64">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w:t>
            </w:r>
          </w:p>
        </w:tc>
        <w:tc>
          <w:tcPr>
            <w:tcW w:w="969" w:type="dxa"/>
            <w:shd w:val="clear" w:color="auto" w:fill="auto"/>
            <w:vAlign w:val="top"/>
          </w:tcPr>
          <w:p w14:paraId="4B0BBB08">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1</w:t>
            </w:r>
          </w:p>
        </w:tc>
        <w:tc>
          <w:tcPr>
            <w:tcW w:w="920" w:type="dxa"/>
            <w:shd w:val="clear" w:color="auto" w:fill="auto"/>
            <w:vAlign w:val="top"/>
          </w:tcPr>
          <w:p w14:paraId="0D12E480">
            <w:pPr>
              <w:spacing w:line="440" w:lineRule="exact"/>
              <w:jc w:val="center"/>
              <w:rPr>
                <w:rFonts w:hint="eastAsia" w:ascii="仿宋" w:hAnsi="仿宋" w:eastAsia="仿宋" w:cs="仿宋"/>
                <w:b w:val="0"/>
                <w:bCs/>
                <w:color w:val="000000" w:themeColor="text1"/>
                <w:kern w:val="2"/>
                <w:sz w:val="24"/>
                <w:szCs w:val="24"/>
                <w:lang w:val="en-US" w:eastAsia="zh-CN" w:bidi="ar-SA"/>
              </w:rPr>
            </w:pPr>
            <w:r>
              <w:rPr>
                <w:rFonts w:hint="eastAsia" w:ascii="仿宋" w:hAnsi="仿宋" w:eastAsia="仿宋" w:cs="仿宋"/>
                <w:b w:val="0"/>
                <w:bCs/>
                <w:color w:val="000000" w:themeColor="text1"/>
                <w:sz w:val="24"/>
                <w:lang w:val="en-US" w:eastAsia="zh-CN"/>
              </w:rPr>
              <w:t>份</w:t>
            </w:r>
          </w:p>
        </w:tc>
      </w:tr>
    </w:tbl>
    <w:p w14:paraId="312E3316">
      <w:pPr>
        <w:spacing w:line="440" w:lineRule="exact"/>
        <w:rPr>
          <w:rFonts w:ascii="仿宋" w:hAnsi="仿宋" w:eastAsia="仿宋" w:cs="仿宋"/>
          <w:b/>
          <w:color w:val="000000" w:themeColor="text1"/>
          <w:sz w:val="24"/>
        </w:rPr>
      </w:pPr>
    </w:p>
    <w:p w14:paraId="7210E08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192A1F12">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836601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76A78A2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42C3421C">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rPr>
        <w:t>且原装进口产品生产日期与交货日期差值≤6个月；国产产品生产日期与交货日期差值≤3个月。</w:t>
      </w:r>
    </w:p>
    <w:p w14:paraId="065FCA0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271F269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017E269B">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349DE4F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1D34344A">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375757C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1EC4B59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4130DF87">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02F9D8C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highlight w:val="none"/>
        </w:rPr>
        <w:t>2.5在合同履行期间，若中山市医保价格出现下调，则相应检测项目的成本应按同比例减少；若本合同所涉及的检测项目被纳入广东省集中采购目录，则应按照集中采购的定价执行。</w:t>
      </w:r>
    </w:p>
    <w:p w14:paraId="10966A24">
      <w:pPr>
        <w:spacing w:line="440" w:lineRule="exact"/>
        <w:rPr>
          <w:rFonts w:ascii="仿宋" w:hAnsi="仿宋" w:eastAsia="仿宋" w:cs="仿宋"/>
          <w:b/>
          <w:color w:val="000000" w:themeColor="text1"/>
          <w:sz w:val="24"/>
        </w:rPr>
      </w:pPr>
    </w:p>
    <w:p w14:paraId="0F58D1FA">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55176AA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3CA0881C">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17B97EDC">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78F954D9">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CBBF426">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rPr>
        <w:t xml:space="preserve"> 质保期满</w:t>
      </w:r>
      <w:r>
        <w:rPr>
          <w:rFonts w:hint="eastAsia" w:ascii="仿宋" w:hAnsi="仿宋" w:eastAsia="仿宋" w:cs="仿宋"/>
          <w:color w:val="000000" w:themeColor="text1"/>
          <w:sz w:val="24"/>
          <w:highlight w:val="none"/>
        </w:rPr>
        <w:t>后一次性无息支付。</w:t>
      </w:r>
    </w:p>
    <w:p w14:paraId="6C590FAD">
      <w:pPr>
        <w:spacing w:line="440" w:lineRule="exact"/>
        <w:ind w:firstLine="480" w:firstLineChars="200"/>
        <w:rPr>
          <w:rFonts w:ascii="仿宋" w:hAnsi="仿宋" w:eastAsia="仿宋" w:cs="仿宋"/>
          <w:color w:val="000000" w:themeColor="text1"/>
          <w:sz w:val="24"/>
        </w:rPr>
      </w:pPr>
    </w:p>
    <w:p w14:paraId="1A766D50">
      <w:pPr>
        <w:spacing w:line="440" w:lineRule="exact"/>
        <w:rPr>
          <w:rFonts w:ascii="仿宋" w:hAnsi="仿宋" w:eastAsia="仿宋" w:cs="仿宋"/>
          <w:b/>
          <w:bCs/>
          <w:color w:val="000000" w:themeColor="text1"/>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8FF0469"/>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8B5653D"/>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B8421ED"/>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1961</Words>
  <Characters>2340</Characters>
  <Lines>21</Lines>
  <Paragraphs>5</Paragraphs>
  <TotalTime>3</TotalTime>
  <ScaleCrop>false</ScaleCrop>
  <LinksUpToDate>false</LinksUpToDate>
  <CharactersWithSpaces>2452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2025-06-17T09:15:52Z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3D822DBC6B0043ACAB372B0AB2E84D24</vt:lpwstr>
  </property>
</Properties>
</file>