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1240B">
      <w:pPr>
        <w:pStyle w:val="3"/>
        <w:widowControl/>
        <w:rPr>
          <w:b/>
          <w:bCs/>
        </w:rPr>
      </w:pPr>
      <w:r>
        <w:rPr>
          <w:rFonts w:hint="eastAsia"/>
          <w:b/>
          <w:bCs/>
        </w:rPr>
        <w:t>附件：</w:t>
      </w:r>
    </w:p>
    <w:p w14:paraId="11219EAA">
      <w:pPr>
        <w:spacing w:line="360" w:lineRule="auto"/>
        <w:rPr>
          <w:rFonts w:ascii="宋体" w:hAnsi="宋体" w:cs="宋体"/>
          <w:b/>
          <w:bCs/>
          <w:szCs w:val="21"/>
        </w:rPr>
      </w:pPr>
      <w:r>
        <w:rPr>
          <w:rFonts w:hint="eastAsia" w:ascii="宋体" w:hAnsi="宋体" w:cs="宋体"/>
          <w:b/>
          <w:bCs/>
          <w:szCs w:val="21"/>
        </w:rPr>
        <w:t>（一）商务要求</w:t>
      </w:r>
    </w:p>
    <w:p w14:paraId="737C0463">
      <w:pPr>
        <w:spacing w:line="360" w:lineRule="auto"/>
        <w:rPr>
          <w:rFonts w:ascii="宋体" w:hAnsi="宋体" w:cs="宋体"/>
          <w:szCs w:val="18"/>
        </w:rPr>
      </w:pPr>
      <w:r>
        <w:rPr>
          <w:rFonts w:hint="eastAsia" w:ascii="宋体" w:hAnsi="宋体" w:cs="宋体"/>
          <w:szCs w:val="18"/>
        </w:rPr>
        <w:t>★1.根据医院现场情况提供静配中心及值班室的相关实施运行服务，符合国家卫生健康委办公厅2021年更新的《静脉用药调配中心建设与管理指南（试行）》规范。能通过</w:t>
      </w:r>
      <w:bookmarkStart w:id="0" w:name="OLE_LINK4"/>
      <w:r>
        <w:rPr>
          <w:rFonts w:hint="eastAsia" w:ascii="宋体" w:hAnsi="宋体" w:cs="宋体"/>
          <w:szCs w:val="18"/>
        </w:rPr>
        <w:t>广东省药学会静脉药物调配（PIVAS）专业委员会制定的静脉用药调配中心（室）的</w:t>
      </w:r>
      <w:bookmarkEnd w:id="0"/>
      <w:r>
        <w:rPr>
          <w:rFonts w:hint="eastAsia" w:ascii="宋体" w:hAnsi="宋体" w:cs="宋体"/>
          <w:szCs w:val="18"/>
        </w:rPr>
        <w:t>现场评估验收标准。一切费用由中标方承担。</w:t>
      </w:r>
    </w:p>
    <w:p w14:paraId="75EB184E">
      <w:pPr>
        <w:spacing w:line="360" w:lineRule="auto"/>
        <w:rPr>
          <w:rFonts w:ascii="宋体" w:hAnsi="宋体" w:cs="宋体"/>
          <w:szCs w:val="18"/>
        </w:rPr>
      </w:pPr>
      <w:r>
        <w:rPr>
          <w:rFonts w:hint="eastAsia" w:ascii="宋体" w:hAnsi="宋体" w:cs="宋体"/>
          <w:szCs w:val="18"/>
        </w:rPr>
        <w:t>★2.</w:t>
      </w:r>
      <w:r>
        <w:rPr>
          <w:rFonts w:ascii="宋体" w:hAnsi="宋体" w:cs="宋体"/>
          <w:szCs w:val="18"/>
        </w:rPr>
        <w:t>中标人</w:t>
      </w:r>
      <w:r>
        <w:rPr>
          <w:rFonts w:hint="eastAsia" w:ascii="宋体" w:hAnsi="宋体" w:cs="宋体"/>
          <w:szCs w:val="18"/>
        </w:rPr>
        <w:t>承担整体静配中心运行所有必要的基础配套设备设施及安装服务</w:t>
      </w:r>
      <w:r>
        <w:rPr>
          <w:rFonts w:ascii="宋体" w:hAnsi="宋体" w:cs="宋体"/>
          <w:szCs w:val="18"/>
        </w:rPr>
        <w:t>，即交钥匙项目</w:t>
      </w:r>
      <w:r>
        <w:rPr>
          <w:rFonts w:hint="eastAsia" w:ascii="宋体" w:hAnsi="宋体" w:cs="宋体"/>
          <w:szCs w:val="18"/>
        </w:rPr>
        <w:t>，相关建设要求和配套设施要求以科室最终签字要求为准</w:t>
      </w:r>
      <w:r>
        <w:rPr>
          <w:rFonts w:ascii="宋体" w:hAnsi="宋体" w:cs="宋体"/>
          <w:szCs w:val="18"/>
        </w:rPr>
        <w:t>。</w:t>
      </w:r>
    </w:p>
    <w:p w14:paraId="34536EFB">
      <w:pPr>
        <w:spacing w:line="360" w:lineRule="auto"/>
        <w:rPr>
          <w:rFonts w:ascii="宋体" w:hAnsi="宋体" w:cs="宋体"/>
          <w:szCs w:val="18"/>
        </w:rPr>
      </w:pPr>
      <w:r>
        <w:rPr>
          <w:rFonts w:hint="eastAsia" w:ascii="宋体" w:hAnsi="宋体" w:cs="宋体"/>
          <w:szCs w:val="18"/>
        </w:rPr>
        <w:t>★3.</w:t>
      </w:r>
      <w:r>
        <w:rPr>
          <w:rFonts w:hint="eastAsia"/>
        </w:rPr>
        <w:t>中标人需提供设备安装、调试、培训及</w:t>
      </w:r>
      <w:r>
        <w:rPr>
          <w:rFonts w:hint="eastAsia" w:ascii="宋体" w:hAnsi="宋体" w:cs="宋体"/>
          <w:szCs w:val="18"/>
        </w:rPr>
        <w:t>整体静配中心运行</w:t>
      </w:r>
      <w:r>
        <w:rPr>
          <w:rFonts w:hint="eastAsia"/>
        </w:rPr>
        <w:t>维护的3年售后服务。</w:t>
      </w:r>
    </w:p>
    <w:p w14:paraId="26E47B8B">
      <w:pPr>
        <w:spacing w:line="360" w:lineRule="auto"/>
        <w:rPr>
          <w:rFonts w:ascii="宋体" w:hAnsi="宋体" w:cs="宋体"/>
          <w:szCs w:val="18"/>
        </w:rPr>
      </w:pPr>
    </w:p>
    <w:p w14:paraId="388AFD7C">
      <w:pPr>
        <w:spacing w:line="360" w:lineRule="auto"/>
        <w:rPr>
          <w:rFonts w:ascii="宋体" w:hAnsi="宋体" w:cs="宋体"/>
          <w:b/>
          <w:bCs/>
          <w:szCs w:val="21"/>
        </w:rPr>
      </w:pPr>
      <w:r>
        <w:rPr>
          <w:rFonts w:hint="eastAsia" w:ascii="宋体" w:hAnsi="宋体" w:cs="宋体"/>
          <w:b/>
          <w:bCs/>
          <w:szCs w:val="21"/>
        </w:rPr>
        <w:t>（二）配置要求</w:t>
      </w:r>
    </w:p>
    <w:tbl>
      <w:tblPr>
        <w:tblStyle w:val="5"/>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103"/>
        <w:gridCol w:w="1418"/>
        <w:gridCol w:w="1418"/>
      </w:tblGrid>
      <w:tr w14:paraId="5662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97727F1">
            <w:pPr>
              <w:spacing w:line="360" w:lineRule="auto"/>
              <w:jc w:val="center"/>
              <w:rPr>
                <w:rFonts w:ascii="宋体" w:hAnsi="宋体" w:cs="宋体"/>
                <w:szCs w:val="18"/>
              </w:rPr>
            </w:pPr>
            <w:r>
              <w:rPr>
                <w:rFonts w:hint="eastAsia" w:ascii="宋体" w:hAnsi="宋体" w:cs="宋体"/>
                <w:szCs w:val="18"/>
              </w:rPr>
              <w:t>序号</w:t>
            </w:r>
          </w:p>
        </w:tc>
        <w:tc>
          <w:tcPr>
            <w:tcW w:w="5103" w:type="dxa"/>
          </w:tcPr>
          <w:p w14:paraId="67DB880C">
            <w:pPr>
              <w:spacing w:line="360" w:lineRule="auto"/>
              <w:rPr>
                <w:rFonts w:ascii="宋体" w:hAnsi="宋体" w:cs="宋体"/>
                <w:szCs w:val="18"/>
              </w:rPr>
            </w:pPr>
            <w:r>
              <w:rPr>
                <w:rFonts w:hint="eastAsia" w:ascii="宋体" w:hAnsi="宋体" w:cs="宋体"/>
                <w:szCs w:val="18"/>
              </w:rPr>
              <w:t>项目名称</w:t>
            </w:r>
          </w:p>
        </w:tc>
        <w:tc>
          <w:tcPr>
            <w:tcW w:w="1418" w:type="dxa"/>
          </w:tcPr>
          <w:p w14:paraId="6C929C98">
            <w:pPr>
              <w:spacing w:line="360" w:lineRule="auto"/>
              <w:jc w:val="center"/>
              <w:rPr>
                <w:rFonts w:ascii="宋体" w:hAnsi="宋体" w:cs="宋体"/>
                <w:szCs w:val="18"/>
              </w:rPr>
            </w:pPr>
            <w:r>
              <w:rPr>
                <w:rFonts w:hint="eastAsia" w:ascii="宋体" w:hAnsi="宋体" w:cs="宋体"/>
                <w:szCs w:val="18"/>
              </w:rPr>
              <w:t>单位</w:t>
            </w:r>
          </w:p>
        </w:tc>
        <w:tc>
          <w:tcPr>
            <w:tcW w:w="1418" w:type="dxa"/>
          </w:tcPr>
          <w:p w14:paraId="683E8DF8">
            <w:pPr>
              <w:spacing w:line="360" w:lineRule="auto"/>
              <w:jc w:val="center"/>
              <w:rPr>
                <w:rFonts w:ascii="宋体" w:hAnsi="宋体" w:cs="宋体"/>
                <w:szCs w:val="18"/>
              </w:rPr>
            </w:pPr>
            <w:r>
              <w:rPr>
                <w:rFonts w:hint="eastAsia" w:ascii="宋体" w:hAnsi="宋体" w:cs="宋体"/>
                <w:szCs w:val="18"/>
              </w:rPr>
              <w:t>数量</w:t>
            </w:r>
          </w:p>
        </w:tc>
      </w:tr>
      <w:tr w14:paraId="10B0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12099FD">
            <w:pPr>
              <w:spacing w:line="360" w:lineRule="auto"/>
              <w:jc w:val="center"/>
              <w:rPr>
                <w:rFonts w:ascii="宋体" w:hAnsi="宋体" w:cs="宋体"/>
                <w:szCs w:val="18"/>
              </w:rPr>
            </w:pPr>
            <w:r>
              <w:rPr>
                <w:rFonts w:hint="eastAsia" w:ascii="宋体" w:hAnsi="宋体" w:cs="宋体"/>
                <w:szCs w:val="18"/>
              </w:rPr>
              <w:t>1</w:t>
            </w:r>
          </w:p>
        </w:tc>
        <w:tc>
          <w:tcPr>
            <w:tcW w:w="5103" w:type="dxa"/>
          </w:tcPr>
          <w:p w14:paraId="26501190">
            <w:pPr>
              <w:spacing w:line="360" w:lineRule="auto"/>
              <w:rPr>
                <w:rFonts w:ascii="宋体" w:hAnsi="宋体" w:cs="宋体"/>
                <w:szCs w:val="18"/>
              </w:rPr>
            </w:pPr>
            <w:r>
              <w:rPr>
                <w:rFonts w:hint="eastAsia" w:ascii="Arial" w:hAnsi="Arial" w:cs="Arial"/>
                <w:color w:val="333333"/>
                <w:shd w:val="clear" w:color="auto" w:fill="FFFFFF"/>
              </w:rPr>
              <w:t>△</w:t>
            </w:r>
            <w:r>
              <w:rPr>
                <w:rFonts w:hint="eastAsia" w:ascii="宋体" w:hAnsi="宋体" w:cs="宋体"/>
                <w:szCs w:val="18"/>
              </w:rPr>
              <w:t>静配中心摆药流水线</w:t>
            </w:r>
          </w:p>
        </w:tc>
        <w:tc>
          <w:tcPr>
            <w:tcW w:w="1418" w:type="dxa"/>
          </w:tcPr>
          <w:p w14:paraId="6D49CF34">
            <w:pPr>
              <w:spacing w:line="360" w:lineRule="auto"/>
              <w:jc w:val="center"/>
              <w:rPr>
                <w:rFonts w:ascii="宋体" w:hAnsi="宋体" w:cs="宋体"/>
                <w:szCs w:val="18"/>
              </w:rPr>
            </w:pPr>
            <w:r>
              <w:rPr>
                <w:rFonts w:hint="eastAsia" w:ascii="宋体" w:hAnsi="宋体" w:cs="宋体"/>
                <w:szCs w:val="18"/>
              </w:rPr>
              <w:t>套</w:t>
            </w:r>
          </w:p>
        </w:tc>
        <w:tc>
          <w:tcPr>
            <w:tcW w:w="1418" w:type="dxa"/>
          </w:tcPr>
          <w:p w14:paraId="28AAC23F">
            <w:pPr>
              <w:spacing w:line="360" w:lineRule="auto"/>
              <w:jc w:val="center"/>
              <w:rPr>
                <w:rFonts w:ascii="宋体" w:hAnsi="宋体" w:cs="宋体"/>
                <w:szCs w:val="18"/>
              </w:rPr>
            </w:pPr>
            <w:r>
              <w:rPr>
                <w:rFonts w:hint="eastAsia" w:ascii="宋体" w:hAnsi="宋体" w:cs="宋体"/>
                <w:szCs w:val="18"/>
              </w:rPr>
              <w:t>1</w:t>
            </w:r>
          </w:p>
        </w:tc>
      </w:tr>
      <w:tr w14:paraId="221B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8D8AA7A">
            <w:pPr>
              <w:spacing w:line="360" w:lineRule="auto"/>
              <w:jc w:val="center"/>
              <w:rPr>
                <w:rFonts w:ascii="宋体" w:hAnsi="宋体" w:cs="宋体"/>
                <w:szCs w:val="18"/>
              </w:rPr>
            </w:pPr>
            <w:r>
              <w:rPr>
                <w:rFonts w:hint="eastAsia" w:ascii="宋体" w:hAnsi="宋体" w:cs="宋体"/>
                <w:szCs w:val="18"/>
              </w:rPr>
              <w:t>2</w:t>
            </w:r>
          </w:p>
        </w:tc>
        <w:tc>
          <w:tcPr>
            <w:tcW w:w="5103" w:type="dxa"/>
          </w:tcPr>
          <w:p w14:paraId="3AF782B8">
            <w:pPr>
              <w:spacing w:line="360" w:lineRule="auto"/>
              <w:rPr>
                <w:rFonts w:ascii="宋体" w:hAnsi="宋体" w:cs="宋体"/>
                <w:szCs w:val="18"/>
              </w:rPr>
            </w:pPr>
            <w:r>
              <w:rPr>
                <w:rFonts w:hint="eastAsia" w:ascii="宋体" w:hAnsi="宋体" w:cs="宋体"/>
                <w:szCs w:val="18"/>
              </w:rPr>
              <w:t>成品输液分拣机</w:t>
            </w:r>
          </w:p>
        </w:tc>
        <w:tc>
          <w:tcPr>
            <w:tcW w:w="1418" w:type="dxa"/>
          </w:tcPr>
          <w:p w14:paraId="359B0DEF">
            <w:pPr>
              <w:spacing w:line="360" w:lineRule="auto"/>
              <w:jc w:val="center"/>
              <w:rPr>
                <w:rFonts w:ascii="宋体" w:hAnsi="宋体" w:cs="宋体"/>
                <w:szCs w:val="18"/>
              </w:rPr>
            </w:pPr>
            <w:r>
              <w:rPr>
                <w:rFonts w:hint="eastAsia" w:ascii="宋体" w:hAnsi="宋体" w:cs="宋体"/>
                <w:szCs w:val="18"/>
              </w:rPr>
              <w:t>台</w:t>
            </w:r>
          </w:p>
        </w:tc>
        <w:tc>
          <w:tcPr>
            <w:tcW w:w="1418" w:type="dxa"/>
          </w:tcPr>
          <w:p w14:paraId="2E5ADBC7">
            <w:pPr>
              <w:spacing w:line="360" w:lineRule="auto"/>
              <w:jc w:val="center"/>
              <w:rPr>
                <w:rFonts w:ascii="宋体" w:hAnsi="宋体" w:cs="宋体"/>
                <w:szCs w:val="18"/>
              </w:rPr>
            </w:pPr>
            <w:r>
              <w:rPr>
                <w:rFonts w:hint="eastAsia" w:ascii="宋体" w:hAnsi="宋体" w:cs="宋体"/>
                <w:szCs w:val="18"/>
              </w:rPr>
              <w:t>1</w:t>
            </w:r>
          </w:p>
        </w:tc>
      </w:tr>
      <w:tr w14:paraId="181F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3F795EE">
            <w:pPr>
              <w:spacing w:line="360" w:lineRule="auto"/>
              <w:jc w:val="center"/>
              <w:rPr>
                <w:rFonts w:ascii="宋体" w:hAnsi="宋体" w:cs="宋体"/>
                <w:szCs w:val="18"/>
              </w:rPr>
            </w:pPr>
            <w:r>
              <w:rPr>
                <w:rFonts w:hint="eastAsia" w:ascii="宋体" w:hAnsi="宋体" w:cs="宋体"/>
                <w:szCs w:val="18"/>
              </w:rPr>
              <w:t>3</w:t>
            </w:r>
          </w:p>
        </w:tc>
        <w:tc>
          <w:tcPr>
            <w:tcW w:w="5103" w:type="dxa"/>
          </w:tcPr>
          <w:p w14:paraId="510FBFCA">
            <w:pPr>
              <w:spacing w:line="360" w:lineRule="auto"/>
              <w:rPr>
                <w:rFonts w:ascii="宋体" w:hAnsi="宋体" w:cs="宋体"/>
                <w:szCs w:val="18"/>
              </w:rPr>
            </w:pPr>
            <w:r>
              <w:rPr>
                <w:rFonts w:hint="eastAsia" w:ascii="宋体" w:hAnsi="宋体" w:cs="宋体"/>
                <w:szCs w:val="18"/>
              </w:rPr>
              <w:t>超声波洗筐机</w:t>
            </w:r>
          </w:p>
        </w:tc>
        <w:tc>
          <w:tcPr>
            <w:tcW w:w="1418" w:type="dxa"/>
          </w:tcPr>
          <w:p w14:paraId="7A3B73D5">
            <w:pPr>
              <w:spacing w:line="360" w:lineRule="auto"/>
              <w:jc w:val="center"/>
              <w:rPr>
                <w:rFonts w:ascii="宋体" w:hAnsi="宋体" w:cs="宋体"/>
                <w:szCs w:val="18"/>
              </w:rPr>
            </w:pPr>
            <w:r>
              <w:rPr>
                <w:rFonts w:hint="eastAsia" w:ascii="宋体" w:hAnsi="宋体" w:cs="宋体"/>
                <w:szCs w:val="18"/>
              </w:rPr>
              <w:t>台</w:t>
            </w:r>
          </w:p>
        </w:tc>
        <w:tc>
          <w:tcPr>
            <w:tcW w:w="1418" w:type="dxa"/>
          </w:tcPr>
          <w:p w14:paraId="57152472">
            <w:pPr>
              <w:spacing w:line="360" w:lineRule="auto"/>
              <w:jc w:val="center"/>
              <w:rPr>
                <w:rFonts w:ascii="宋体" w:hAnsi="宋体" w:cs="宋体"/>
                <w:szCs w:val="18"/>
              </w:rPr>
            </w:pPr>
            <w:r>
              <w:rPr>
                <w:rFonts w:hint="eastAsia" w:ascii="宋体" w:hAnsi="宋体" w:cs="宋体"/>
                <w:szCs w:val="18"/>
              </w:rPr>
              <w:t>1</w:t>
            </w:r>
          </w:p>
        </w:tc>
      </w:tr>
      <w:tr w14:paraId="364A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5274D28F">
            <w:pPr>
              <w:spacing w:line="360" w:lineRule="auto"/>
              <w:jc w:val="center"/>
              <w:rPr>
                <w:rFonts w:ascii="宋体" w:hAnsi="宋体" w:cs="宋体"/>
                <w:szCs w:val="18"/>
              </w:rPr>
            </w:pPr>
            <w:r>
              <w:rPr>
                <w:rFonts w:hint="eastAsia" w:ascii="宋体" w:hAnsi="宋体" w:cs="宋体"/>
                <w:szCs w:val="18"/>
              </w:rPr>
              <w:t>4</w:t>
            </w:r>
          </w:p>
        </w:tc>
        <w:tc>
          <w:tcPr>
            <w:tcW w:w="5103" w:type="dxa"/>
          </w:tcPr>
          <w:p w14:paraId="30D732E8">
            <w:pPr>
              <w:spacing w:line="360" w:lineRule="auto"/>
              <w:rPr>
                <w:rFonts w:ascii="宋体" w:hAnsi="宋体" w:cs="宋体"/>
                <w:szCs w:val="18"/>
              </w:rPr>
            </w:pPr>
            <w:r>
              <w:rPr>
                <w:rFonts w:hint="eastAsia" w:ascii="宋体" w:hAnsi="宋体" w:cs="宋体"/>
                <w:szCs w:val="18"/>
              </w:rPr>
              <w:t>医用冰箱</w:t>
            </w:r>
          </w:p>
        </w:tc>
        <w:tc>
          <w:tcPr>
            <w:tcW w:w="1418" w:type="dxa"/>
          </w:tcPr>
          <w:p w14:paraId="5F1E99CE">
            <w:pPr>
              <w:spacing w:line="360" w:lineRule="auto"/>
              <w:jc w:val="center"/>
              <w:rPr>
                <w:rFonts w:ascii="宋体" w:hAnsi="宋体" w:cs="宋体"/>
                <w:szCs w:val="18"/>
              </w:rPr>
            </w:pPr>
            <w:r>
              <w:rPr>
                <w:rFonts w:hint="eastAsia" w:ascii="宋体" w:hAnsi="宋体" w:cs="宋体"/>
                <w:szCs w:val="18"/>
              </w:rPr>
              <w:t>台</w:t>
            </w:r>
          </w:p>
        </w:tc>
        <w:tc>
          <w:tcPr>
            <w:tcW w:w="1418" w:type="dxa"/>
          </w:tcPr>
          <w:p w14:paraId="08C0F187">
            <w:pPr>
              <w:spacing w:line="360" w:lineRule="auto"/>
              <w:jc w:val="center"/>
              <w:rPr>
                <w:rFonts w:ascii="宋体" w:hAnsi="宋体" w:cs="宋体"/>
                <w:szCs w:val="18"/>
              </w:rPr>
            </w:pPr>
            <w:r>
              <w:rPr>
                <w:rFonts w:hint="eastAsia" w:ascii="宋体" w:hAnsi="宋体" w:cs="宋体"/>
                <w:szCs w:val="18"/>
              </w:rPr>
              <w:t>8</w:t>
            </w:r>
          </w:p>
        </w:tc>
      </w:tr>
      <w:tr w14:paraId="6829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6AE549C">
            <w:pPr>
              <w:spacing w:line="360" w:lineRule="auto"/>
              <w:jc w:val="center"/>
              <w:rPr>
                <w:rFonts w:ascii="宋体" w:hAnsi="宋体" w:cs="宋体"/>
                <w:szCs w:val="18"/>
              </w:rPr>
            </w:pPr>
            <w:r>
              <w:rPr>
                <w:rFonts w:hint="eastAsia" w:ascii="宋体" w:hAnsi="宋体" w:cs="宋体"/>
                <w:szCs w:val="18"/>
              </w:rPr>
              <w:t>5</w:t>
            </w:r>
          </w:p>
        </w:tc>
        <w:tc>
          <w:tcPr>
            <w:tcW w:w="5103" w:type="dxa"/>
          </w:tcPr>
          <w:p w14:paraId="49592967">
            <w:pPr>
              <w:spacing w:line="360" w:lineRule="auto"/>
              <w:rPr>
                <w:rFonts w:ascii="宋体" w:hAnsi="宋体" w:cs="宋体"/>
                <w:szCs w:val="18"/>
              </w:rPr>
            </w:pPr>
            <w:r>
              <w:rPr>
                <w:rFonts w:hint="eastAsia" w:ascii="宋体" w:hAnsi="宋体" w:cs="宋体"/>
                <w:szCs w:val="18"/>
              </w:rPr>
              <w:t>超净工作台</w:t>
            </w:r>
          </w:p>
        </w:tc>
        <w:tc>
          <w:tcPr>
            <w:tcW w:w="1418" w:type="dxa"/>
          </w:tcPr>
          <w:p w14:paraId="3F8D840F">
            <w:pPr>
              <w:spacing w:line="360" w:lineRule="auto"/>
              <w:jc w:val="center"/>
              <w:rPr>
                <w:rFonts w:ascii="宋体" w:hAnsi="宋体" w:cs="宋体"/>
                <w:szCs w:val="18"/>
              </w:rPr>
            </w:pPr>
            <w:r>
              <w:rPr>
                <w:rFonts w:hint="eastAsia" w:ascii="宋体" w:hAnsi="宋体" w:cs="宋体"/>
                <w:szCs w:val="18"/>
              </w:rPr>
              <w:t>台</w:t>
            </w:r>
          </w:p>
        </w:tc>
        <w:tc>
          <w:tcPr>
            <w:tcW w:w="1418" w:type="dxa"/>
          </w:tcPr>
          <w:p w14:paraId="532A1706">
            <w:pPr>
              <w:spacing w:line="360" w:lineRule="auto"/>
              <w:jc w:val="center"/>
              <w:rPr>
                <w:rFonts w:ascii="宋体" w:hAnsi="宋体" w:cs="宋体"/>
                <w:szCs w:val="18"/>
              </w:rPr>
            </w:pPr>
            <w:r>
              <w:rPr>
                <w:rFonts w:hint="eastAsia" w:ascii="宋体" w:hAnsi="宋体" w:cs="宋体"/>
                <w:szCs w:val="18"/>
              </w:rPr>
              <w:t>5</w:t>
            </w:r>
          </w:p>
        </w:tc>
      </w:tr>
      <w:tr w14:paraId="50B4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731C438">
            <w:pPr>
              <w:spacing w:line="360" w:lineRule="auto"/>
              <w:jc w:val="center"/>
              <w:rPr>
                <w:rFonts w:ascii="宋体" w:hAnsi="宋体" w:cs="宋体"/>
                <w:szCs w:val="18"/>
              </w:rPr>
            </w:pPr>
            <w:r>
              <w:rPr>
                <w:rFonts w:hint="eastAsia" w:ascii="宋体" w:hAnsi="宋体" w:cs="宋体"/>
                <w:szCs w:val="18"/>
              </w:rPr>
              <w:t>6</w:t>
            </w:r>
          </w:p>
        </w:tc>
        <w:tc>
          <w:tcPr>
            <w:tcW w:w="5103" w:type="dxa"/>
          </w:tcPr>
          <w:p w14:paraId="278E0427">
            <w:pPr>
              <w:spacing w:line="360" w:lineRule="auto"/>
              <w:rPr>
                <w:rFonts w:ascii="宋体" w:hAnsi="宋体" w:cs="宋体"/>
                <w:szCs w:val="18"/>
              </w:rPr>
            </w:pPr>
            <w:r>
              <w:rPr>
                <w:rFonts w:hint="eastAsia" w:ascii="宋体" w:hAnsi="宋体" w:cs="宋体"/>
                <w:szCs w:val="18"/>
              </w:rPr>
              <w:t>生物安全柜ⅡA2型</w:t>
            </w:r>
          </w:p>
        </w:tc>
        <w:tc>
          <w:tcPr>
            <w:tcW w:w="1418" w:type="dxa"/>
          </w:tcPr>
          <w:p w14:paraId="7A2F0F73">
            <w:pPr>
              <w:spacing w:line="360" w:lineRule="auto"/>
              <w:jc w:val="center"/>
              <w:rPr>
                <w:rFonts w:ascii="宋体" w:hAnsi="宋体" w:cs="宋体"/>
                <w:szCs w:val="18"/>
              </w:rPr>
            </w:pPr>
            <w:r>
              <w:rPr>
                <w:rFonts w:hint="eastAsia" w:ascii="宋体" w:hAnsi="宋体" w:cs="宋体"/>
                <w:szCs w:val="18"/>
              </w:rPr>
              <w:t>台</w:t>
            </w:r>
          </w:p>
        </w:tc>
        <w:tc>
          <w:tcPr>
            <w:tcW w:w="1418" w:type="dxa"/>
          </w:tcPr>
          <w:p w14:paraId="6C8FBC84">
            <w:pPr>
              <w:spacing w:line="360" w:lineRule="auto"/>
              <w:jc w:val="center"/>
              <w:rPr>
                <w:rFonts w:ascii="宋体" w:hAnsi="宋体" w:cs="宋体"/>
                <w:szCs w:val="18"/>
              </w:rPr>
            </w:pPr>
            <w:r>
              <w:rPr>
                <w:rFonts w:hint="eastAsia" w:ascii="宋体" w:hAnsi="宋体" w:cs="宋体"/>
                <w:szCs w:val="18"/>
              </w:rPr>
              <w:t>8</w:t>
            </w:r>
          </w:p>
        </w:tc>
      </w:tr>
      <w:tr w14:paraId="2278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031E0EA">
            <w:pPr>
              <w:spacing w:line="360" w:lineRule="auto"/>
              <w:jc w:val="center"/>
              <w:rPr>
                <w:rFonts w:ascii="宋体" w:hAnsi="宋体" w:cs="宋体"/>
                <w:szCs w:val="18"/>
              </w:rPr>
            </w:pPr>
            <w:r>
              <w:rPr>
                <w:rFonts w:hint="eastAsia" w:ascii="宋体" w:hAnsi="宋体" w:cs="宋体"/>
                <w:szCs w:val="18"/>
              </w:rPr>
              <w:t>7</w:t>
            </w:r>
          </w:p>
        </w:tc>
        <w:tc>
          <w:tcPr>
            <w:tcW w:w="5103" w:type="dxa"/>
          </w:tcPr>
          <w:p w14:paraId="0B6C888D">
            <w:pPr>
              <w:spacing w:line="360" w:lineRule="auto"/>
              <w:rPr>
                <w:rFonts w:ascii="宋体" w:hAnsi="宋体" w:cs="宋体"/>
                <w:szCs w:val="18"/>
              </w:rPr>
            </w:pPr>
            <w:r>
              <w:rPr>
                <w:rFonts w:hint="eastAsia" w:ascii="宋体" w:hAnsi="宋体" w:cs="宋体"/>
                <w:szCs w:val="18"/>
              </w:rPr>
              <w:t>配套设备设施及安装服务</w:t>
            </w:r>
          </w:p>
        </w:tc>
        <w:tc>
          <w:tcPr>
            <w:tcW w:w="1418" w:type="dxa"/>
          </w:tcPr>
          <w:p w14:paraId="35ECF6F4">
            <w:pPr>
              <w:spacing w:line="360" w:lineRule="auto"/>
              <w:jc w:val="center"/>
              <w:rPr>
                <w:rFonts w:ascii="宋体" w:hAnsi="宋体" w:cs="宋体"/>
                <w:szCs w:val="18"/>
              </w:rPr>
            </w:pPr>
            <w:r>
              <w:rPr>
                <w:rFonts w:hint="eastAsia" w:ascii="宋体" w:hAnsi="宋体" w:cs="宋体"/>
                <w:szCs w:val="18"/>
              </w:rPr>
              <w:t>项</w:t>
            </w:r>
          </w:p>
        </w:tc>
        <w:tc>
          <w:tcPr>
            <w:tcW w:w="1418" w:type="dxa"/>
          </w:tcPr>
          <w:p w14:paraId="6FE17AE3">
            <w:pPr>
              <w:spacing w:line="360" w:lineRule="auto"/>
              <w:jc w:val="center"/>
              <w:rPr>
                <w:rFonts w:ascii="宋体" w:hAnsi="宋体" w:cs="宋体"/>
                <w:szCs w:val="18"/>
              </w:rPr>
            </w:pPr>
            <w:r>
              <w:rPr>
                <w:rFonts w:hint="eastAsia" w:ascii="宋体" w:hAnsi="宋体" w:cs="宋体"/>
                <w:szCs w:val="18"/>
              </w:rPr>
              <w:t>1</w:t>
            </w:r>
          </w:p>
        </w:tc>
      </w:tr>
    </w:tbl>
    <w:p w14:paraId="29F941F6">
      <w:pPr>
        <w:pStyle w:val="2"/>
      </w:pPr>
      <w:r>
        <w:rPr>
          <w:rFonts w:hint="eastAsia"/>
        </w:rPr>
        <w:t>注：“</w:t>
      </w:r>
      <w:r>
        <w:rPr>
          <w:rFonts w:hint="eastAsia" w:ascii="Arial" w:hAnsi="Arial" w:cs="Arial"/>
          <w:color w:val="333333"/>
          <w:shd w:val="clear" w:color="auto" w:fill="FFFFFF"/>
        </w:rPr>
        <w:t>△</w:t>
      </w:r>
      <w:r>
        <w:rPr>
          <w:rFonts w:hint="eastAsia"/>
        </w:rPr>
        <w:t>”为核心设备。</w:t>
      </w:r>
    </w:p>
    <w:p w14:paraId="457ED0A7">
      <w:pPr>
        <w:tabs>
          <w:tab w:val="left" w:pos="709"/>
        </w:tabs>
        <w:spacing w:line="360" w:lineRule="auto"/>
      </w:pPr>
    </w:p>
    <w:p w14:paraId="3F90BBFB">
      <w:pPr>
        <w:spacing w:line="360" w:lineRule="auto"/>
        <w:rPr>
          <w:rFonts w:ascii="宋体" w:hAnsi="宋体" w:cs="宋体"/>
          <w:b/>
          <w:bCs/>
          <w:szCs w:val="21"/>
        </w:rPr>
      </w:pPr>
      <w:r>
        <w:rPr>
          <w:rFonts w:hint="eastAsia" w:ascii="宋体" w:hAnsi="宋体" w:cs="宋体"/>
          <w:b/>
          <w:bCs/>
          <w:szCs w:val="21"/>
        </w:rPr>
        <w:t>（三）技术参数要求</w:t>
      </w: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080"/>
      </w:tblGrid>
      <w:tr w14:paraId="4616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DB76234">
            <w:pPr>
              <w:spacing w:line="360" w:lineRule="auto"/>
              <w:jc w:val="center"/>
              <w:rPr>
                <w:rFonts w:ascii="宋体" w:hAnsi="宋体" w:cs="宋体"/>
                <w:b/>
                <w:bCs/>
                <w:szCs w:val="18"/>
              </w:rPr>
            </w:pPr>
            <w:r>
              <w:rPr>
                <w:rFonts w:hint="eastAsia" w:ascii="宋体" w:hAnsi="宋体" w:cs="宋体"/>
                <w:b/>
                <w:bCs/>
                <w:szCs w:val="18"/>
              </w:rPr>
              <w:t>序号</w:t>
            </w:r>
          </w:p>
        </w:tc>
        <w:tc>
          <w:tcPr>
            <w:tcW w:w="8080" w:type="dxa"/>
            <w:vAlign w:val="center"/>
          </w:tcPr>
          <w:p w14:paraId="095CDC53">
            <w:pPr>
              <w:spacing w:line="360" w:lineRule="auto"/>
              <w:rPr>
                <w:rFonts w:ascii="宋体" w:hAnsi="宋体" w:cs="宋体"/>
                <w:b/>
                <w:bCs/>
                <w:szCs w:val="18"/>
              </w:rPr>
            </w:pPr>
            <w:r>
              <w:rPr>
                <w:rFonts w:hint="eastAsia" w:ascii="宋体" w:hAnsi="宋体" w:cs="宋体"/>
                <w:b/>
                <w:bCs/>
                <w:szCs w:val="18"/>
              </w:rPr>
              <w:t>技术要求</w:t>
            </w:r>
          </w:p>
        </w:tc>
      </w:tr>
      <w:tr w14:paraId="24C0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BDE4CD0">
            <w:pPr>
              <w:spacing w:line="360" w:lineRule="auto"/>
              <w:jc w:val="center"/>
              <w:rPr>
                <w:rFonts w:ascii="宋体" w:hAnsi="宋体" w:cs="宋体"/>
                <w:b/>
                <w:bCs/>
                <w:szCs w:val="18"/>
              </w:rPr>
            </w:pPr>
            <w:r>
              <w:rPr>
                <w:rFonts w:hint="eastAsia" w:ascii="宋体" w:hAnsi="宋体" w:cs="宋体"/>
                <w:b/>
                <w:bCs/>
                <w:szCs w:val="18"/>
              </w:rPr>
              <w:t>一</w:t>
            </w:r>
          </w:p>
        </w:tc>
        <w:tc>
          <w:tcPr>
            <w:tcW w:w="8080" w:type="dxa"/>
            <w:vAlign w:val="center"/>
          </w:tcPr>
          <w:p w14:paraId="61EFCC1E">
            <w:pPr>
              <w:spacing w:line="360" w:lineRule="auto"/>
              <w:rPr>
                <w:rFonts w:ascii="宋体" w:hAnsi="宋体" w:cs="宋体"/>
                <w:b/>
                <w:bCs/>
                <w:szCs w:val="18"/>
              </w:rPr>
            </w:pPr>
            <w:r>
              <w:rPr>
                <w:rFonts w:hint="eastAsia" w:ascii="宋体" w:hAnsi="宋体" w:cs="宋体"/>
                <w:b/>
                <w:bCs/>
                <w:szCs w:val="18"/>
              </w:rPr>
              <w:t>基本要求</w:t>
            </w:r>
          </w:p>
        </w:tc>
      </w:tr>
      <w:tr w14:paraId="6E33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CC3FC3D">
            <w:pPr>
              <w:spacing w:line="360" w:lineRule="auto"/>
              <w:jc w:val="center"/>
              <w:rPr>
                <w:rFonts w:ascii="宋体" w:hAnsi="宋体" w:cs="宋体"/>
                <w:szCs w:val="18"/>
              </w:rPr>
            </w:pPr>
            <w:r>
              <w:rPr>
                <w:rFonts w:hint="eastAsia" w:ascii="宋体" w:hAnsi="宋体" w:cs="宋体"/>
                <w:szCs w:val="18"/>
              </w:rPr>
              <w:t>1.1</w:t>
            </w:r>
          </w:p>
        </w:tc>
        <w:tc>
          <w:tcPr>
            <w:tcW w:w="8080" w:type="dxa"/>
            <w:vAlign w:val="center"/>
          </w:tcPr>
          <w:p w14:paraId="5DC14F81">
            <w:pPr>
              <w:spacing w:line="360" w:lineRule="auto"/>
              <w:rPr>
                <w:rFonts w:ascii="宋体" w:hAnsi="宋体" w:cs="宋体"/>
                <w:szCs w:val="18"/>
              </w:rPr>
            </w:pPr>
            <w:r>
              <w:rPr>
                <w:rFonts w:ascii="宋体" w:hAnsi="宋体" w:cs="宋体"/>
                <w:szCs w:val="18"/>
              </w:rPr>
              <w:t>所投标智能化</w:t>
            </w:r>
            <w:r>
              <w:rPr>
                <w:rFonts w:hint="eastAsia" w:ascii="宋体" w:hAnsi="宋体" w:cs="宋体"/>
                <w:szCs w:val="18"/>
              </w:rPr>
              <w:t>设备</w:t>
            </w:r>
            <w:r>
              <w:rPr>
                <w:rFonts w:ascii="宋体" w:hAnsi="宋体" w:cs="宋体"/>
                <w:szCs w:val="18"/>
              </w:rPr>
              <w:t>必须能够与医院信息系统实现无缝隙对，确保医嘱或处方信息无障碍传输，所有设备系统的控制软件操作界面为简体中文。</w:t>
            </w:r>
          </w:p>
        </w:tc>
      </w:tr>
      <w:tr w14:paraId="1193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0B9A16B">
            <w:pPr>
              <w:spacing w:line="360" w:lineRule="auto"/>
              <w:jc w:val="center"/>
              <w:rPr>
                <w:rFonts w:ascii="宋体" w:hAnsi="宋体" w:cs="宋体"/>
                <w:szCs w:val="18"/>
              </w:rPr>
            </w:pPr>
            <w:r>
              <w:rPr>
                <w:rFonts w:hint="eastAsia" w:ascii="宋体" w:hAnsi="宋体" w:cs="宋体"/>
                <w:szCs w:val="18"/>
              </w:rPr>
              <w:t>1.2</w:t>
            </w:r>
          </w:p>
        </w:tc>
        <w:tc>
          <w:tcPr>
            <w:tcW w:w="8080" w:type="dxa"/>
            <w:vAlign w:val="center"/>
          </w:tcPr>
          <w:p w14:paraId="1C9AD16B">
            <w:pPr>
              <w:spacing w:line="360" w:lineRule="auto"/>
              <w:rPr>
                <w:rFonts w:ascii="宋体" w:hAnsi="宋体" w:cs="宋体"/>
                <w:szCs w:val="18"/>
              </w:rPr>
            </w:pPr>
            <w:r>
              <w:rPr>
                <w:rFonts w:ascii="宋体" w:hAnsi="宋体" w:cs="宋体"/>
                <w:szCs w:val="18"/>
              </w:rPr>
              <w:t>投标人提供静配中心智能化系统详细的设计方案。在满足工作流程和总体功能要求的前提下，对</w:t>
            </w:r>
            <w:r>
              <w:rPr>
                <w:rFonts w:hint="eastAsia" w:ascii="宋体" w:hAnsi="宋体" w:cs="宋体"/>
                <w:szCs w:val="18"/>
              </w:rPr>
              <w:t>静配中心</w:t>
            </w:r>
            <w:r>
              <w:rPr>
                <w:rFonts w:ascii="宋体" w:hAnsi="宋体" w:cs="宋体"/>
                <w:szCs w:val="18"/>
              </w:rPr>
              <w:t>空间及人流、物流进行最优化设计。</w:t>
            </w:r>
          </w:p>
        </w:tc>
      </w:tr>
      <w:tr w14:paraId="5A5E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EABF468">
            <w:pPr>
              <w:spacing w:line="360" w:lineRule="auto"/>
              <w:jc w:val="center"/>
              <w:rPr>
                <w:rFonts w:ascii="宋体" w:hAnsi="宋体" w:cs="宋体"/>
                <w:szCs w:val="18"/>
              </w:rPr>
            </w:pPr>
            <w:r>
              <w:rPr>
                <w:rFonts w:hint="eastAsia" w:ascii="宋体" w:hAnsi="宋体" w:cs="宋体"/>
                <w:szCs w:val="18"/>
              </w:rPr>
              <w:t>1.3</w:t>
            </w:r>
          </w:p>
        </w:tc>
        <w:tc>
          <w:tcPr>
            <w:tcW w:w="8080" w:type="dxa"/>
            <w:vAlign w:val="center"/>
          </w:tcPr>
          <w:p w14:paraId="013E8517">
            <w:pPr>
              <w:spacing w:line="360" w:lineRule="auto"/>
              <w:rPr>
                <w:rFonts w:ascii="宋体" w:hAnsi="宋体" w:cs="宋体"/>
                <w:szCs w:val="18"/>
              </w:rPr>
            </w:pPr>
            <w:r>
              <w:rPr>
                <w:rFonts w:ascii="宋体" w:hAnsi="宋体" w:cs="宋体"/>
                <w:szCs w:val="18"/>
              </w:rPr>
              <w:t>所有</w:t>
            </w:r>
            <w:r>
              <w:rPr>
                <w:rFonts w:hint="eastAsia" w:ascii="宋体" w:hAnsi="宋体" w:cs="宋体"/>
                <w:szCs w:val="18"/>
              </w:rPr>
              <w:t>设备</w:t>
            </w:r>
            <w:r>
              <w:rPr>
                <w:rFonts w:ascii="宋体" w:hAnsi="宋体" w:cs="宋体"/>
                <w:szCs w:val="18"/>
              </w:rPr>
              <w:t>必须保证产品知识产权及软件著作的合规性和独立性。</w:t>
            </w:r>
          </w:p>
        </w:tc>
      </w:tr>
      <w:tr w14:paraId="0EAE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6A054C5">
            <w:pPr>
              <w:spacing w:line="360" w:lineRule="auto"/>
              <w:jc w:val="center"/>
              <w:rPr>
                <w:rFonts w:ascii="宋体" w:hAnsi="宋体" w:cs="宋体"/>
                <w:b/>
                <w:bCs/>
                <w:szCs w:val="18"/>
              </w:rPr>
            </w:pPr>
            <w:r>
              <w:rPr>
                <w:rFonts w:hint="eastAsia" w:ascii="宋体" w:hAnsi="宋体" w:cs="宋体"/>
                <w:b/>
                <w:bCs/>
                <w:szCs w:val="18"/>
              </w:rPr>
              <w:t>二</w:t>
            </w:r>
          </w:p>
        </w:tc>
        <w:tc>
          <w:tcPr>
            <w:tcW w:w="8080" w:type="dxa"/>
            <w:vAlign w:val="center"/>
          </w:tcPr>
          <w:p w14:paraId="29CAD30B">
            <w:pPr>
              <w:spacing w:line="360" w:lineRule="auto"/>
              <w:rPr>
                <w:rFonts w:ascii="宋体" w:hAnsi="宋体" w:cs="宋体"/>
                <w:b/>
                <w:bCs/>
                <w:szCs w:val="18"/>
              </w:rPr>
            </w:pPr>
            <w:r>
              <w:rPr>
                <w:rFonts w:hint="eastAsia" w:ascii="宋体" w:hAnsi="宋体" w:cs="宋体"/>
                <w:b/>
                <w:bCs/>
                <w:szCs w:val="18"/>
              </w:rPr>
              <w:t>静配中心摆药流水线</w:t>
            </w:r>
          </w:p>
        </w:tc>
      </w:tr>
      <w:tr w14:paraId="3CAB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217A4B3">
            <w:pPr>
              <w:spacing w:line="360" w:lineRule="auto"/>
              <w:jc w:val="center"/>
              <w:rPr>
                <w:rFonts w:ascii="宋体" w:hAnsi="宋体" w:cs="宋体"/>
                <w:b/>
                <w:bCs/>
                <w:szCs w:val="18"/>
              </w:rPr>
            </w:pPr>
            <w:r>
              <w:rPr>
                <w:rFonts w:hint="eastAsia" w:ascii="宋体" w:hAnsi="宋体" w:cs="宋体"/>
                <w:szCs w:val="18"/>
              </w:rPr>
              <w:t>2.1</w:t>
            </w:r>
          </w:p>
        </w:tc>
        <w:tc>
          <w:tcPr>
            <w:tcW w:w="8080" w:type="dxa"/>
            <w:vAlign w:val="center"/>
          </w:tcPr>
          <w:p w14:paraId="32E61C54">
            <w:pPr>
              <w:spacing w:line="360" w:lineRule="auto"/>
              <w:rPr>
                <w:rFonts w:ascii="宋体" w:hAnsi="宋体" w:cs="宋体"/>
                <w:b/>
                <w:bCs/>
                <w:szCs w:val="18"/>
              </w:rPr>
            </w:pPr>
            <w:r>
              <w:rPr>
                <w:rFonts w:hint="eastAsia" w:ascii="Arial" w:hAnsi="Arial" w:cs="Arial"/>
                <w:color w:val="333333"/>
                <w:shd w:val="clear" w:color="auto" w:fill="FFFFFF"/>
              </w:rPr>
              <w:t>与医院信息系统或PIVAS管理系统无缝对接，</w:t>
            </w:r>
            <w:r>
              <w:rPr>
                <w:rFonts w:hint="eastAsia" w:ascii="宋体" w:hAnsi="宋体" w:cs="宋体"/>
                <w:szCs w:val="18"/>
              </w:rPr>
              <w:t>可根据医嘱信息自动将输液袋与针剂完成分筐摆药工作。</w:t>
            </w:r>
            <w:r>
              <w:rPr>
                <w:rFonts w:hint="eastAsia" w:ascii="Arial" w:hAnsi="Arial" w:cs="Arial"/>
                <w:color w:val="333333"/>
                <w:shd w:val="clear" w:color="auto" w:fill="FFFFFF"/>
              </w:rPr>
              <w:t>自动完成静配中心溶媒贴签、分筐及摆药工作。</w:t>
            </w:r>
          </w:p>
        </w:tc>
      </w:tr>
      <w:tr w14:paraId="72D1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BECEA4D">
            <w:pPr>
              <w:spacing w:line="360" w:lineRule="auto"/>
              <w:jc w:val="center"/>
              <w:rPr>
                <w:rFonts w:ascii="宋体" w:hAnsi="宋体" w:cs="宋体"/>
                <w:szCs w:val="18"/>
              </w:rPr>
            </w:pPr>
            <w:r>
              <w:rPr>
                <w:rFonts w:hint="eastAsia" w:ascii="宋体" w:hAnsi="宋体" w:cs="宋体"/>
                <w:szCs w:val="18"/>
              </w:rPr>
              <w:t>2.2</w:t>
            </w:r>
          </w:p>
        </w:tc>
        <w:tc>
          <w:tcPr>
            <w:tcW w:w="8080" w:type="dxa"/>
          </w:tcPr>
          <w:p w14:paraId="1B2D951C">
            <w:pPr>
              <w:spacing w:line="360" w:lineRule="auto"/>
              <w:rPr>
                <w:rFonts w:ascii="宋体" w:hAnsi="宋体" w:cs="宋体"/>
                <w:szCs w:val="18"/>
              </w:rPr>
            </w:pPr>
            <w:r>
              <w:rPr>
                <w:rFonts w:hint="eastAsia" w:ascii="宋体" w:hAnsi="宋体" w:cs="宋体"/>
                <w:szCs w:val="18"/>
              </w:rPr>
              <w:t>必须具备</w:t>
            </w:r>
            <w:r>
              <w:rPr>
                <w:rFonts w:ascii="宋体" w:hAnsi="宋体" w:cs="宋体"/>
                <w:szCs w:val="18"/>
              </w:rPr>
              <w:t>输液智能存取与发放</w:t>
            </w:r>
            <w:r>
              <w:rPr>
                <w:rFonts w:hint="eastAsia" w:ascii="宋体" w:hAnsi="宋体" w:cs="宋体"/>
                <w:szCs w:val="18"/>
              </w:rPr>
              <w:t>功能、输液自动抓取与传输功能、输液贴签功能、自动发筐功能、药筐自动接收输液与主药的功能、自动传输药筐的功能、主药（西林瓶与安瓿瓶）智能存取与自动发放功能、进仓前的药筐缓存功能，全流程一体化，无需人工参与。</w:t>
            </w:r>
          </w:p>
        </w:tc>
      </w:tr>
      <w:tr w14:paraId="3C92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7AF8BB4">
            <w:pPr>
              <w:spacing w:line="360" w:lineRule="auto"/>
              <w:jc w:val="center"/>
              <w:rPr>
                <w:rFonts w:ascii="宋体" w:hAnsi="宋体" w:cs="宋体"/>
                <w:szCs w:val="18"/>
              </w:rPr>
            </w:pPr>
            <w:r>
              <w:rPr>
                <w:rFonts w:hint="eastAsia" w:ascii="宋体" w:hAnsi="宋体" w:cs="宋体"/>
                <w:szCs w:val="18"/>
              </w:rPr>
              <w:t>2.3</w:t>
            </w:r>
          </w:p>
        </w:tc>
        <w:tc>
          <w:tcPr>
            <w:tcW w:w="8080" w:type="dxa"/>
          </w:tcPr>
          <w:p w14:paraId="2583A111">
            <w:pPr>
              <w:spacing w:line="360" w:lineRule="auto"/>
              <w:rPr>
                <w:rFonts w:ascii="宋体" w:hAnsi="宋体" w:cs="宋体"/>
                <w:szCs w:val="18"/>
              </w:rPr>
            </w:pPr>
            <w:r>
              <w:rPr>
                <w:rFonts w:hint="eastAsia" w:ascii="宋体" w:hAnsi="宋体" w:cs="宋体"/>
                <w:szCs w:val="18"/>
              </w:rPr>
              <w:t>设备支持5</w:t>
            </w:r>
            <w:r>
              <w:rPr>
                <w:rFonts w:ascii="宋体" w:hAnsi="宋体" w:cs="宋体"/>
                <w:szCs w:val="18"/>
              </w:rPr>
              <w:t>00</w:t>
            </w:r>
            <w:r>
              <w:rPr>
                <w:rFonts w:hint="eastAsia" w:ascii="宋体" w:hAnsi="宋体" w:cs="宋体"/>
                <w:szCs w:val="18"/>
              </w:rPr>
              <w:t>ML及以下软袋、可立瓶/袋的输液发放，3</w:t>
            </w:r>
            <w:r>
              <w:rPr>
                <w:rFonts w:ascii="宋体" w:hAnsi="宋体" w:cs="宋体"/>
                <w:szCs w:val="18"/>
              </w:rPr>
              <w:t>0ml</w:t>
            </w:r>
            <w:r>
              <w:rPr>
                <w:rFonts w:hint="eastAsia" w:ascii="宋体" w:hAnsi="宋体" w:cs="宋体"/>
                <w:szCs w:val="18"/>
              </w:rPr>
              <w:t>以下西林瓶、安瓿瓶的针剂发放。</w:t>
            </w:r>
          </w:p>
        </w:tc>
      </w:tr>
      <w:tr w14:paraId="3543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07548F6">
            <w:pPr>
              <w:spacing w:line="360" w:lineRule="auto"/>
              <w:jc w:val="center"/>
              <w:rPr>
                <w:rFonts w:ascii="宋体" w:hAnsi="宋体" w:cs="宋体"/>
                <w:szCs w:val="18"/>
              </w:rPr>
            </w:pPr>
            <w:r>
              <w:rPr>
                <w:rFonts w:hint="eastAsia" w:ascii="宋体" w:hAnsi="宋体" w:cs="宋体"/>
                <w:szCs w:val="18"/>
              </w:rPr>
              <w:t>2.4</w:t>
            </w:r>
          </w:p>
        </w:tc>
        <w:tc>
          <w:tcPr>
            <w:tcW w:w="8080" w:type="dxa"/>
          </w:tcPr>
          <w:p w14:paraId="7061F4CE">
            <w:pPr>
              <w:spacing w:line="360" w:lineRule="auto"/>
              <w:rPr>
                <w:rFonts w:ascii="宋体" w:hAnsi="宋体" w:cs="宋体"/>
                <w:szCs w:val="18"/>
              </w:rPr>
            </w:pPr>
            <w:r>
              <w:rPr>
                <w:rFonts w:hint="eastAsia" w:ascii="宋体" w:hAnsi="宋体" w:cs="宋体"/>
                <w:szCs w:val="18"/>
              </w:rPr>
              <w:t>设备完成单袋输液自动抓取、打印标签、针剂摆药等流程，整体效率可达600袋/小时。</w:t>
            </w:r>
          </w:p>
        </w:tc>
      </w:tr>
      <w:tr w14:paraId="1986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11C7AED">
            <w:pPr>
              <w:spacing w:line="360" w:lineRule="auto"/>
              <w:jc w:val="center"/>
              <w:rPr>
                <w:rFonts w:ascii="宋体" w:hAnsi="宋体" w:cs="宋体"/>
                <w:szCs w:val="18"/>
              </w:rPr>
            </w:pPr>
            <w:r>
              <w:rPr>
                <w:rFonts w:hint="eastAsia" w:ascii="宋体" w:hAnsi="宋体" w:cs="宋体"/>
                <w:szCs w:val="18"/>
              </w:rPr>
              <w:t>2.5</w:t>
            </w:r>
          </w:p>
        </w:tc>
        <w:tc>
          <w:tcPr>
            <w:tcW w:w="8080" w:type="dxa"/>
          </w:tcPr>
          <w:p w14:paraId="4E63A41D">
            <w:pPr>
              <w:spacing w:line="360" w:lineRule="auto"/>
              <w:rPr>
                <w:rFonts w:ascii="宋体" w:hAnsi="宋体"/>
                <w:b/>
                <w:bCs/>
                <w:kern w:val="0"/>
                <w:szCs w:val="21"/>
              </w:rPr>
            </w:pPr>
            <w:r>
              <w:rPr>
                <w:rFonts w:hint="eastAsia"/>
              </w:rPr>
              <w:t>整套静配中心摆药流水线设备完成单袋输液抓取传输、贴签、分筐、摆药、缓存等流程，</w:t>
            </w:r>
            <w:r>
              <w:rPr>
                <w:rFonts w:hint="eastAsia" w:ascii="宋体" w:hAnsi="宋体"/>
                <w:kern w:val="0"/>
                <w:szCs w:val="21"/>
              </w:rPr>
              <w:t>整体采用一体化设计理念，整个设备属于一个整体，不能由多个设备拼接组成。</w:t>
            </w:r>
          </w:p>
        </w:tc>
      </w:tr>
      <w:tr w14:paraId="612C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17263A9">
            <w:pPr>
              <w:spacing w:line="360" w:lineRule="auto"/>
              <w:jc w:val="center"/>
              <w:rPr>
                <w:rFonts w:ascii="宋体" w:hAnsi="宋体" w:cs="宋体"/>
                <w:szCs w:val="18"/>
              </w:rPr>
            </w:pPr>
            <w:r>
              <w:rPr>
                <w:rFonts w:hint="eastAsia" w:ascii="宋体" w:hAnsi="宋体" w:cs="宋体"/>
                <w:szCs w:val="18"/>
              </w:rPr>
              <w:t>2.6</w:t>
            </w:r>
          </w:p>
        </w:tc>
        <w:tc>
          <w:tcPr>
            <w:tcW w:w="8080" w:type="dxa"/>
          </w:tcPr>
          <w:p w14:paraId="55D42C99">
            <w:pPr>
              <w:spacing w:line="360" w:lineRule="auto"/>
              <w:rPr>
                <w:rFonts w:ascii="宋体" w:hAnsi="宋体"/>
                <w:kern w:val="0"/>
                <w:szCs w:val="21"/>
              </w:rPr>
            </w:pPr>
            <w:r>
              <w:rPr>
                <w:rFonts w:hint="eastAsia" w:ascii="宋体" w:hAnsi="宋体"/>
                <w:kern w:val="0"/>
                <w:szCs w:val="21"/>
              </w:rPr>
              <w:t>设备整体占地面积≤30㎡。提供尺寸说明。</w:t>
            </w:r>
          </w:p>
        </w:tc>
      </w:tr>
      <w:tr w14:paraId="030E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47BEFF2">
            <w:pPr>
              <w:spacing w:line="360" w:lineRule="auto"/>
              <w:jc w:val="center"/>
              <w:rPr>
                <w:rFonts w:ascii="宋体" w:hAnsi="宋体" w:cs="宋体"/>
                <w:szCs w:val="18"/>
              </w:rPr>
            </w:pPr>
            <w:r>
              <w:rPr>
                <w:rFonts w:hint="eastAsia" w:ascii="宋体" w:hAnsi="宋体" w:cs="宋体"/>
                <w:szCs w:val="18"/>
              </w:rPr>
              <w:t>2.7</w:t>
            </w:r>
          </w:p>
        </w:tc>
        <w:tc>
          <w:tcPr>
            <w:tcW w:w="8080" w:type="dxa"/>
          </w:tcPr>
          <w:p w14:paraId="3B77A9D0">
            <w:pPr>
              <w:spacing w:line="360" w:lineRule="auto"/>
              <w:rPr>
                <w:rFonts w:ascii="宋体" w:hAnsi="宋体"/>
                <w:kern w:val="0"/>
                <w:szCs w:val="21"/>
              </w:rPr>
            </w:pPr>
            <w:r>
              <w:rPr>
                <w:rFonts w:hint="eastAsia" w:ascii="宋体" w:hAnsi="宋体"/>
                <w:kern w:val="0"/>
                <w:szCs w:val="21"/>
              </w:rPr>
              <w:t>整机内置贴签模块，可实现正反面贴签、正反面识别功能。</w:t>
            </w:r>
          </w:p>
        </w:tc>
      </w:tr>
      <w:tr w14:paraId="370E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FA8EF67">
            <w:pPr>
              <w:spacing w:line="360" w:lineRule="auto"/>
              <w:jc w:val="center"/>
              <w:rPr>
                <w:rFonts w:ascii="宋体" w:hAnsi="宋体" w:cs="宋体"/>
                <w:szCs w:val="18"/>
              </w:rPr>
            </w:pPr>
            <w:r>
              <w:rPr>
                <w:rFonts w:hint="eastAsia" w:ascii="宋体" w:hAnsi="宋体" w:cs="宋体"/>
                <w:szCs w:val="18"/>
              </w:rPr>
              <w:t>2.8</w:t>
            </w:r>
          </w:p>
        </w:tc>
        <w:tc>
          <w:tcPr>
            <w:tcW w:w="8080" w:type="dxa"/>
            <w:vAlign w:val="center"/>
          </w:tcPr>
          <w:p w14:paraId="708566B2">
            <w:pPr>
              <w:spacing w:line="360" w:lineRule="auto"/>
              <w:rPr>
                <w:rFonts w:ascii="宋体" w:hAnsi="宋体" w:cs="宋体"/>
                <w:szCs w:val="18"/>
              </w:rPr>
            </w:pPr>
            <w:r>
              <w:rPr>
                <w:rFonts w:hint="eastAsia" w:ascii="宋体" w:hAnsi="宋体" w:cs="宋体"/>
                <w:szCs w:val="18"/>
              </w:rPr>
              <w:t>整机不少于400种储存品种，可存储针剂不少于10000支。</w:t>
            </w:r>
          </w:p>
        </w:tc>
      </w:tr>
      <w:tr w14:paraId="40A6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3CCF4B9">
            <w:pPr>
              <w:spacing w:line="360" w:lineRule="auto"/>
              <w:jc w:val="center"/>
              <w:rPr>
                <w:rFonts w:ascii="宋体" w:hAnsi="宋体" w:cs="宋体"/>
                <w:szCs w:val="18"/>
              </w:rPr>
            </w:pPr>
            <w:r>
              <w:rPr>
                <w:rFonts w:hint="eastAsia" w:ascii="宋体" w:hAnsi="宋体" w:cs="宋体"/>
                <w:szCs w:val="18"/>
              </w:rPr>
              <w:t>2.9</w:t>
            </w:r>
          </w:p>
        </w:tc>
        <w:tc>
          <w:tcPr>
            <w:tcW w:w="8080" w:type="dxa"/>
            <w:vAlign w:val="center"/>
          </w:tcPr>
          <w:p w14:paraId="196D46DD">
            <w:pPr>
              <w:spacing w:line="360" w:lineRule="auto"/>
              <w:rPr>
                <w:rFonts w:ascii="宋体" w:hAnsi="宋体" w:cs="宋体"/>
                <w:szCs w:val="18"/>
              </w:rPr>
            </w:pPr>
            <w:r>
              <w:rPr>
                <w:rFonts w:hint="eastAsia" w:ascii="宋体" w:hAnsi="宋体" w:cs="宋体"/>
                <w:szCs w:val="18"/>
              </w:rPr>
              <w:t>针剂发药模块具备针剂缓存仓，同一处方内不同品种药品、不同数量药品一次即可发放完毕，无需多次取药。</w:t>
            </w:r>
          </w:p>
        </w:tc>
      </w:tr>
      <w:tr w14:paraId="0F69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6122DBF">
            <w:pPr>
              <w:spacing w:line="360" w:lineRule="auto"/>
              <w:jc w:val="center"/>
              <w:rPr>
                <w:rFonts w:ascii="宋体" w:hAnsi="宋体" w:cs="宋体"/>
                <w:szCs w:val="18"/>
              </w:rPr>
            </w:pPr>
            <w:r>
              <w:rPr>
                <w:rFonts w:hint="eastAsia" w:ascii="宋体" w:hAnsi="宋体" w:cs="宋体"/>
                <w:szCs w:val="18"/>
              </w:rPr>
              <w:t>2.10</w:t>
            </w:r>
          </w:p>
        </w:tc>
        <w:tc>
          <w:tcPr>
            <w:tcW w:w="8080" w:type="dxa"/>
            <w:vAlign w:val="center"/>
          </w:tcPr>
          <w:p w14:paraId="082B0038">
            <w:pPr>
              <w:spacing w:line="360" w:lineRule="auto"/>
              <w:rPr>
                <w:rFonts w:ascii="宋体" w:hAnsi="宋体" w:cs="宋体"/>
                <w:szCs w:val="18"/>
              </w:rPr>
            </w:pPr>
            <w:r>
              <w:rPr>
                <w:rFonts w:hint="eastAsia" w:ascii="宋体" w:hAnsi="宋体" w:cs="宋体"/>
                <w:szCs w:val="18"/>
              </w:rPr>
              <w:t>整机可根据医院排药需求实现单排和统排等多种工作模式。</w:t>
            </w:r>
          </w:p>
        </w:tc>
      </w:tr>
      <w:tr w14:paraId="7510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61868DC">
            <w:pPr>
              <w:spacing w:line="360" w:lineRule="auto"/>
              <w:jc w:val="center"/>
              <w:rPr>
                <w:rFonts w:ascii="宋体" w:hAnsi="宋体" w:cs="宋体"/>
                <w:szCs w:val="18"/>
              </w:rPr>
            </w:pPr>
            <w:r>
              <w:rPr>
                <w:rFonts w:hint="eastAsia" w:ascii="宋体" w:hAnsi="宋体" w:cs="宋体"/>
                <w:szCs w:val="18"/>
              </w:rPr>
              <w:t>2.11</w:t>
            </w:r>
          </w:p>
        </w:tc>
        <w:tc>
          <w:tcPr>
            <w:tcW w:w="8080" w:type="dxa"/>
            <w:vAlign w:val="center"/>
          </w:tcPr>
          <w:p w14:paraId="2C55C4B0">
            <w:pPr>
              <w:spacing w:line="360" w:lineRule="auto"/>
              <w:rPr>
                <w:rFonts w:ascii="宋体" w:hAnsi="宋体" w:cs="宋体"/>
                <w:szCs w:val="18"/>
              </w:rPr>
            </w:pPr>
            <w:r>
              <w:rPr>
                <w:rFonts w:hint="eastAsia" w:ascii="宋体" w:hAnsi="宋体" w:cs="宋体"/>
                <w:szCs w:val="18"/>
              </w:rPr>
              <w:t>配置多个药筐自动回收系统，支持多个药筐同时回收。</w:t>
            </w:r>
          </w:p>
        </w:tc>
      </w:tr>
      <w:tr w14:paraId="3B7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9407753">
            <w:pPr>
              <w:spacing w:line="360" w:lineRule="auto"/>
              <w:jc w:val="center"/>
              <w:rPr>
                <w:rFonts w:ascii="宋体" w:hAnsi="宋体" w:cs="宋体"/>
                <w:szCs w:val="18"/>
              </w:rPr>
            </w:pPr>
            <w:r>
              <w:rPr>
                <w:rFonts w:hint="eastAsia" w:ascii="宋体" w:hAnsi="宋体" w:cs="宋体"/>
                <w:szCs w:val="18"/>
              </w:rPr>
              <w:t>2.12</w:t>
            </w:r>
          </w:p>
        </w:tc>
        <w:tc>
          <w:tcPr>
            <w:tcW w:w="8080" w:type="dxa"/>
            <w:vAlign w:val="center"/>
          </w:tcPr>
          <w:p w14:paraId="598544EA">
            <w:pPr>
              <w:spacing w:line="360" w:lineRule="auto"/>
              <w:rPr>
                <w:rFonts w:ascii="宋体" w:hAnsi="宋体" w:cs="宋体"/>
                <w:szCs w:val="18"/>
              </w:rPr>
            </w:pPr>
            <w:r>
              <w:rPr>
                <w:rFonts w:hint="eastAsia" w:ascii="宋体" w:hAnsi="宋体" w:cs="宋体"/>
                <w:szCs w:val="18"/>
              </w:rPr>
              <w:t>具备批号效期的导入及录入供能，并进行先进先出的管理，药品近效期提示等。提供报表可实时查询对应批次的发药数量。</w:t>
            </w:r>
          </w:p>
        </w:tc>
      </w:tr>
      <w:tr w14:paraId="41D1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60B89F5">
            <w:pPr>
              <w:spacing w:line="360" w:lineRule="auto"/>
              <w:jc w:val="center"/>
              <w:rPr>
                <w:rFonts w:ascii="宋体" w:hAnsi="宋体" w:cs="宋体"/>
                <w:b/>
                <w:bCs/>
                <w:szCs w:val="18"/>
              </w:rPr>
            </w:pPr>
            <w:r>
              <w:rPr>
                <w:rFonts w:hint="eastAsia" w:ascii="宋体" w:hAnsi="宋体" w:cs="宋体"/>
                <w:b/>
                <w:bCs/>
                <w:szCs w:val="18"/>
              </w:rPr>
              <w:t>三</w:t>
            </w:r>
          </w:p>
        </w:tc>
        <w:tc>
          <w:tcPr>
            <w:tcW w:w="8080" w:type="dxa"/>
            <w:vAlign w:val="center"/>
          </w:tcPr>
          <w:p w14:paraId="378E5EEC">
            <w:pPr>
              <w:spacing w:line="360" w:lineRule="auto"/>
              <w:rPr>
                <w:rFonts w:ascii="宋体" w:hAnsi="宋体" w:cs="宋体"/>
                <w:b/>
                <w:bCs/>
                <w:szCs w:val="18"/>
              </w:rPr>
            </w:pPr>
            <w:r>
              <w:rPr>
                <w:rFonts w:hint="eastAsia" w:ascii="宋体" w:hAnsi="宋体" w:cs="宋体"/>
                <w:b/>
                <w:bCs/>
                <w:szCs w:val="18"/>
              </w:rPr>
              <w:t>自动分拣机</w:t>
            </w:r>
          </w:p>
        </w:tc>
      </w:tr>
      <w:tr w14:paraId="31CB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2072205">
            <w:pPr>
              <w:spacing w:line="360" w:lineRule="auto"/>
              <w:jc w:val="center"/>
              <w:rPr>
                <w:rFonts w:ascii="宋体" w:hAnsi="宋体" w:cs="宋体"/>
                <w:szCs w:val="18"/>
              </w:rPr>
            </w:pPr>
            <w:r>
              <w:rPr>
                <w:rFonts w:hint="eastAsia" w:ascii="宋体" w:hAnsi="宋体" w:cs="宋体"/>
                <w:szCs w:val="18"/>
              </w:rPr>
              <w:t>3.1</w:t>
            </w:r>
          </w:p>
        </w:tc>
        <w:tc>
          <w:tcPr>
            <w:tcW w:w="8080" w:type="dxa"/>
            <w:vAlign w:val="center"/>
          </w:tcPr>
          <w:p w14:paraId="43206E0D">
            <w:pPr>
              <w:spacing w:line="360" w:lineRule="auto"/>
              <w:rPr>
                <w:rFonts w:ascii="宋体" w:hAnsi="宋体" w:cs="宋体"/>
                <w:szCs w:val="18"/>
              </w:rPr>
            </w:pPr>
            <w:r>
              <w:rPr>
                <w:rFonts w:hint="eastAsia" w:ascii="宋体" w:hAnsi="宋体" w:cs="宋体"/>
                <w:szCs w:val="18"/>
              </w:rPr>
              <w:t>智能输液分拣系统能智能分拣冲配完毕的成品输液至对应的分拣箱。</w:t>
            </w:r>
          </w:p>
        </w:tc>
      </w:tr>
      <w:tr w14:paraId="3C4A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6A07130">
            <w:pPr>
              <w:spacing w:line="360" w:lineRule="auto"/>
              <w:jc w:val="center"/>
              <w:rPr>
                <w:rFonts w:ascii="宋体" w:hAnsi="宋体" w:cs="宋体"/>
                <w:szCs w:val="18"/>
              </w:rPr>
            </w:pPr>
            <w:r>
              <w:rPr>
                <w:rFonts w:hint="eastAsia" w:ascii="宋体" w:hAnsi="宋体" w:cs="宋体"/>
                <w:szCs w:val="18"/>
              </w:rPr>
              <w:t>3.2</w:t>
            </w:r>
          </w:p>
        </w:tc>
        <w:tc>
          <w:tcPr>
            <w:tcW w:w="8080" w:type="dxa"/>
            <w:vAlign w:val="center"/>
          </w:tcPr>
          <w:p w14:paraId="052529F0">
            <w:pPr>
              <w:spacing w:line="360" w:lineRule="auto"/>
              <w:rPr>
                <w:rFonts w:ascii="宋体" w:hAnsi="宋体" w:cs="宋体"/>
                <w:szCs w:val="18"/>
              </w:rPr>
            </w:pPr>
            <w:r>
              <w:rPr>
                <w:rFonts w:hint="eastAsia" w:ascii="宋体" w:hAnsi="宋体" w:cs="宋体"/>
                <w:szCs w:val="18"/>
              </w:rPr>
              <w:t>整套设备装置至少集成包含如下单元：操作控制台、控制系统、自动复核系统、分拣传输带、分拣箱，内置扫描识别系统、定位指示灯。</w:t>
            </w:r>
          </w:p>
        </w:tc>
      </w:tr>
      <w:tr w14:paraId="6EAB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A0076DD">
            <w:pPr>
              <w:spacing w:line="360" w:lineRule="auto"/>
              <w:jc w:val="center"/>
              <w:rPr>
                <w:rFonts w:ascii="宋体" w:hAnsi="宋体" w:cs="宋体"/>
                <w:szCs w:val="18"/>
              </w:rPr>
            </w:pPr>
            <w:r>
              <w:rPr>
                <w:rFonts w:hint="eastAsia" w:ascii="宋体" w:hAnsi="宋体" w:cs="宋体"/>
                <w:szCs w:val="18"/>
              </w:rPr>
              <w:t>3.3</w:t>
            </w:r>
          </w:p>
        </w:tc>
        <w:tc>
          <w:tcPr>
            <w:tcW w:w="8080" w:type="dxa"/>
            <w:vAlign w:val="center"/>
          </w:tcPr>
          <w:p w14:paraId="69013655">
            <w:pPr>
              <w:spacing w:line="360" w:lineRule="auto"/>
              <w:rPr>
                <w:rFonts w:ascii="宋体" w:hAnsi="宋体" w:cs="宋体"/>
                <w:szCs w:val="18"/>
              </w:rPr>
            </w:pPr>
            <w:r>
              <w:rPr>
                <w:rFonts w:hint="eastAsia" w:ascii="宋体" w:hAnsi="宋体" w:cs="宋体"/>
                <w:szCs w:val="18"/>
              </w:rPr>
              <w:t>单台智能输液分拣系统分拣速度≥1800袋(瓶)/小时。</w:t>
            </w:r>
          </w:p>
        </w:tc>
      </w:tr>
      <w:tr w14:paraId="5FFA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E5BFF1F">
            <w:pPr>
              <w:spacing w:line="360" w:lineRule="auto"/>
              <w:jc w:val="center"/>
              <w:rPr>
                <w:rFonts w:ascii="宋体" w:hAnsi="宋体" w:cs="宋体"/>
                <w:szCs w:val="18"/>
              </w:rPr>
            </w:pPr>
            <w:r>
              <w:rPr>
                <w:rFonts w:hint="eastAsia" w:ascii="宋体" w:hAnsi="宋体" w:cs="宋体"/>
                <w:szCs w:val="18"/>
              </w:rPr>
              <w:t>3.4</w:t>
            </w:r>
          </w:p>
        </w:tc>
        <w:tc>
          <w:tcPr>
            <w:tcW w:w="8080" w:type="dxa"/>
            <w:vAlign w:val="center"/>
          </w:tcPr>
          <w:p w14:paraId="06EAAF3C">
            <w:pPr>
              <w:spacing w:line="360" w:lineRule="auto"/>
              <w:rPr>
                <w:rFonts w:ascii="宋体" w:hAnsi="宋体" w:cs="宋体"/>
                <w:szCs w:val="18"/>
              </w:rPr>
            </w:pPr>
            <w:r>
              <w:rPr>
                <w:rFonts w:hint="eastAsia" w:ascii="宋体" w:hAnsi="宋体" w:cs="宋体"/>
                <w:szCs w:val="18"/>
              </w:rPr>
              <w:t>设备能支持50-500ml软瓶装及袋装大输液的分拣。</w:t>
            </w:r>
          </w:p>
        </w:tc>
      </w:tr>
      <w:tr w14:paraId="74FE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B88A694">
            <w:pPr>
              <w:spacing w:line="360" w:lineRule="auto"/>
              <w:jc w:val="center"/>
              <w:rPr>
                <w:rFonts w:ascii="宋体" w:hAnsi="宋体" w:cs="宋体"/>
                <w:szCs w:val="18"/>
              </w:rPr>
            </w:pPr>
            <w:r>
              <w:rPr>
                <w:rFonts w:hint="eastAsia" w:ascii="宋体" w:hAnsi="宋体" w:cs="宋体"/>
                <w:szCs w:val="18"/>
              </w:rPr>
              <w:t>3.5</w:t>
            </w:r>
          </w:p>
        </w:tc>
        <w:tc>
          <w:tcPr>
            <w:tcW w:w="8080" w:type="dxa"/>
            <w:vAlign w:val="center"/>
          </w:tcPr>
          <w:p w14:paraId="258BB88C">
            <w:pPr>
              <w:spacing w:line="360" w:lineRule="auto"/>
              <w:rPr>
                <w:rFonts w:ascii="宋体" w:hAnsi="宋体" w:cs="宋体"/>
                <w:szCs w:val="18"/>
              </w:rPr>
            </w:pPr>
            <w:r>
              <w:rPr>
                <w:rFonts w:hint="eastAsia" w:ascii="宋体" w:hAnsi="宋体" w:cs="宋体"/>
                <w:szCs w:val="18"/>
              </w:rPr>
              <w:t>设备整体为长条形上下双层结构，单套设备不做任何扩展满足不小于40个固定分拣仓位。</w:t>
            </w:r>
          </w:p>
        </w:tc>
      </w:tr>
      <w:tr w14:paraId="7AC2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57C3D09">
            <w:pPr>
              <w:spacing w:line="360" w:lineRule="auto"/>
              <w:jc w:val="center"/>
              <w:rPr>
                <w:rFonts w:ascii="宋体" w:hAnsi="宋体" w:cs="宋体"/>
                <w:szCs w:val="18"/>
              </w:rPr>
            </w:pPr>
            <w:r>
              <w:rPr>
                <w:rFonts w:hint="eastAsia" w:ascii="宋体" w:hAnsi="宋体" w:cs="宋体"/>
                <w:szCs w:val="18"/>
              </w:rPr>
              <w:t>3.6</w:t>
            </w:r>
          </w:p>
        </w:tc>
        <w:tc>
          <w:tcPr>
            <w:tcW w:w="8080" w:type="dxa"/>
            <w:vAlign w:val="center"/>
          </w:tcPr>
          <w:p w14:paraId="3BF73A42">
            <w:pPr>
              <w:spacing w:line="360" w:lineRule="auto"/>
              <w:rPr>
                <w:rFonts w:ascii="宋体" w:hAnsi="宋体" w:cs="宋体"/>
                <w:szCs w:val="18"/>
              </w:rPr>
            </w:pPr>
            <w:r>
              <w:rPr>
                <w:rFonts w:hint="eastAsia" w:ascii="宋体" w:hAnsi="宋体" w:cs="宋体"/>
                <w:szCs w:val="18"/>
              </w:rPr>
              <w:t>每袋药品通过物理分隔同步单向单层水平传输，不可转向，保证100%分拣过程无卡料等异常。</w:t>
            </w:r>
          </w:p>
        </w:tc>
      </w:tr>
      <w:tr w14:paraId="5CA1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43B50A4">
            <w:pPr>
              <w:spacing w:line="360" w:lineRule="auto"/>
              <w:jc w:val="center"/>
              <w:rPr>
                <w:rFonts w:ascii="宋体" w:hAnsi="宋体" w:cs="宋体"/>
                <w:szCs w:val="18"/>
              </w:rPr>
            </w:pPr>
            <w:r>
              <w:rPr>
                <w:rFonts w:hint="eastAsia" w:ascii="宋体" w:hAnsi="宋体" w:cs="宋体"/>
                <w:szCs w:val="18"/>
              </w:rPr>
              <w:t>3.7</w:t>
            </w:r>
          </w:p>
        </w:tc>
        <w:tc>
          <w:tcPr>
            <w:tcW w:w="8080" w:type="dxa"/>
            <w:vAlign w:val="center"/>
          </w:tcPr>
          <w:p w14:paraId="63565C96">
            <w:pPr>
              <w:spacing w:line="360" w:lineRule="auto"/>
              <w:rPr>
                <w:rFonts w:ascii="宋体" w:hAnsi="宋体" w:cs="宋体"/>
                <w:szCs w:val="18"/>
              </w:rPr>
            </w:pPr>
            <w:r>
              <w:rPr>
                <w:rFonts w:hint="eastAsia" w:ascii="宋体" w:hAnsi="宋体" w:cs="宋体"/>
                <w:szCs w:val="18"/>
              </w:rPr>
              <w:t>智能输液分拣系统能够与HIS系统或静配中心软件系统无缝链接，能实时与信息系统交换数据。在某一病区分拣完成后或达到分拣箱容量最大值时，自动提示该病区分拣完成或分拣箱已满，对应位置闪烁提示。</w:t>
            </w:r>
          </w:p>
        </w:tc>
      </w:tr>
      <w:tr w14:paraId="692D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0C9F4C6">
            <w:pPr>
              <w:spacing w:line="360" w:lineRule="auto"/>
              <w:jc w:val="center"/>
              <w:rPr>
                <w:rFonts w:ascii="宋体" w:hAnsi="宋体" w:cs="宋体"/>
                <w:b/>
                <w:bCs/>
                <w:szCs w:val="18"/>
              </w:rPr>
            </w:pPr>
            <w:r>
              <w:rPr>
                <w:rFonts w:hint="eastAsia" w:ascii="宋体" w:hAnsi="宋体" w:cs="宋体"/>
                <w:szCs w:val="18"/>
              </w:rPr>
              <w:t>3.8</w:t>
            </w:r>
          </w:p>
        </w:tc>
        <w:tc>
          <w:tcPr>
            <w:tcW w:w="8080" w:type="dxa"/>
            <w:vAlign w:val="center"/>
          </w:tcPr>
          <w:p w14:paraId="1EB780A2">
            <w:pPr>
              <w:spacing w:line="360" w:lineRule="auto"/>
              <w:rPr>
                <w:rFonts w:ascii="宋体" w:hAnsi="宋体" w:cs="宋体"/>
                <w:szCs w:val="18"/>
              </w:rPr>
            </w:pPr>
            <w:r>
              <w:rPr>
                <w:rFonts w:hint="eastAsia" w:ascii="宋体" w:hAnsi="宋体" w:cs="宋体"/>
                <w:szCs w:val="18"/>
              </w:rPr>
              <w:t>设备具备异常输液袋自动传出功能，对于漏拣、信息错误等PIVAS配制流程中出现的相关错误进行拦截，回收口位于入口的正后方。</w:t>
            </w:r>
          </w:p>
        </w:tc>
      </w:tr>
      <w:tr w14:paraId="1509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2FCCD79">
            <w:pPr>
              <w:spacing w:line="360" w:lineRule="auto"/>
              <w:jc w:val="center"/>
              <w:rPr>
                <w:rFonts w:ascii="宋体" w:hAnsi="宋体" w:cs="宋体"/>
                <w:szCs w:val="18"/>
              </w:rPr>
            </w:pPr>
            <w:r>
              <w:rPr>
                <w:rFonts w:hint="eastAsia" w:ascii="宋体" w:hAnsi="宋体" w:cs="宋体"/>
                <w:szCs w:val="18"/>
              </w:rPr>
              <w:t>3.9</w:t>
            </w:r>
          </w:p>
        </w:tc>
        <w:tc>
          <w:tcPr>
            <w:tcW w:w="8080" w:type="dxa"/>
            <w:vAlign w:val="center"/>
          </w:tcPr>
          <w:p w14:paraId="2A2BF273">
            <w:pPr>
              <w:spacing w:line="360" w:lineRule="auto"/>
              <w:rPr>
                <w:rFonts w:ascii="宋体" w:hAnsi="宋体" w:cs="宋体"/>
                <w:szCs w:val="18"/>
              </w:rPr>
            </w:pPr>
            <w:r>
              <w:rPr>
                <w:rFonts w:hint="eastAsia" w:ascii="宋体" w:hAnsi="宋体" w:cs="宋体"/>
                <w:szCs w:val="18"/>
              </w:rPr>
              <w:t>分拣箱外侧有小显示屏显示箱内信息数据。</w:t>
            </w:r>
          </w:p>
        </w:tc>
      </w:tr>
      <w:tr w14:paraId="6D63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D5C7C2B">
            <w:pPr>
              <w:spacing w:line="360" w:lineRule="auto"/>
              <w:jc w:val="center"/>
              <w:rPr>
                <w:rFonts w:ascii="宋体" w:hAnsi="宋体" w:cs="宋体"/>
                <w:szCs w:val="18"/>
              </w:rPr>
            </w:pPr>
            <w:r>
              <w:rPr>
                <w:rFonts w:hint="eastAsia" w:ascii="宋体" w:hAnsi="宋体" w:cs="宋体"/>
                <w:szCs w:val="18"/>
              </w:rPr>
              <w:t>3.10</w:t>
            </w:r>
          </w:p>
        </w:tc>
        <w:tc>
          <w:tcPr>
            <w:tcW w:w="8080" w:type="dxa"/>
            <w:vAlign w:val="center"/>
          </w:tcPr>
          <w:p w14:paraId="3FBA1AB8">
            <w:pPr>
              <w:spacing w:line="360" w:lineRule="auto"/>
              <w:rPr>
                <w:rFonts w:ascii="宋体" w:hAnsi="宋体" w:cs="宋体"/>
                <w:szCs w:val="18"/>
              </w:rPr>
            </w:pPr>
            <w:r>
              <w:rPr>
                <w:rFonts w:hint="eastAsia" w:ascii="宋体" w:hAnsi="宋体" w:cs="宋体"/>
                <w:szCs w:val="18"/>
              </w:rPr>
              <w:t>实时监测发药系统各组件运作情况，实时监控输液成品信息，包括药品的批次批号信息、已分拣处方信息、未分拣处方信息。</w:t>
            </w:r>
          </w:p>
        </w:tc>
      </w:tr>
      <w:tr w14:paraId="5FCA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9953E4C">
            <w:pPr>
              <w:spacing w:line="360" w:lineRule="auto"/>
              <w:jc w:val="center"/>
              <w:rPr>
                <w:rFonts w:ascii="宋体" w:hAnsi="宋体" w:cs="宋体"/>
                <w:szCs w:val="18"/>
              </w:rPr>
            </w:pPr>
            <w:r>
              <w:rPr>
                <w:rFonts w:hint="eastAsia" w:ascii="宋体" w:hAnsi="宋体" w:cs="宋体"/>
                <w:szCs w:val="18"/>
              </w:rPr>
              <w:t>3.11</w:t>
            </w:r>
          </w:p>
        </w:tc>
        <w:tc>
          <w:tcPr>
            <w:tcW w:w="8080" w:type="dxa"/>
            <w:vAlign w:val="center"/>
          </w:tcPr>
          <w:p w14:paraId="64129F72">
            <w:pPr>
              <w:spacing w:line="360" w:lineRule="auto"/>
              <w:rPr>
                <w:rFonts w:ascii="宋体" w:hAnsi="宋体" w:cs="宋体"/>
                <w:szCs w:val="18"/>
              </w:rPr>
            </w:pPr>
            <w:r>
              <w:rPr>
                <w:rFonts w:hint="eastAsia" w:ascii="宋体" w:hAnsi="宋体" w:cs="宋体"/>
                <w:szCs w:val="18"/>
              </w:rPr>
              <w:t>能够打印批次汇总单/明细单：科室病人用药明细单、选定时间内分检的液体总量，选定科室单位时间内分检的液体总量等并可根据医院要求设置且打印。</w:t>
            </w:r>
          </w:p>
        </w:tc>
      </w:tr>
      <w:tr w14:paraId="48EA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9EBF5E9">
            <w:pPr>
              <w:spacing w:line="360" w:lineRule="auto"/>
              <w:jc w:val="center"/>
              <w:rPr>
                <w:rFonts w:ascii="宋体" w:hAnsi="宋体" w:cs="宋体"/>
                <w:b/>
                <w:bCs/>
                <w:szCs w:val="18"/>
              </w:rPr>
            </w:pPr>
            <w:r>
              <w:rPr>
                <w:rFonts w:hint="eastAsia" w:ascii="宋体" w:hAnsi="宋体" w:cs="宋体"/>
                <w:b/>
                <w:bCs/>
                <w:szCs w:val="18"/>
              </w:rPr>
              <w:t>四</w:t>
            </w:r>
          </w:p>
        </w:tc>
        <w:tc>
          <w:tcPr>
            <w:tcW w:w="8080" w:type="dxa"/>
            <w:vAlign w:val="center"/>
          </w:tcPr>
          <w:p w14:paraId="1AF244F8">
            <w:pPr>
              <w:spacing w:line="360" w:lineRule="auto"/>
              <w:rPr>
                <w:rFonts w:ascii="宋体" w:hAnsi="宋体" w:cs="宋体"/>
                <w:b/>
                <w:bCs/>
                <w:szCs w:val="18"/>
              </w:rPr>
            </w:pPr>
            <w:r>
              <w:rPr>
                <w:rFonts w:hint="eastAsia" w:ascii="宋体" w:hAnsi="宋体" w:cs="宋体"/>
                <w:b/>
                <w:bCs/>
                <w:szCs w:val="18"/>
              </w:rPr>
              <w:t>洗筐机</w:t>
            </w:r>
          </w:p>
        </w:tc>
      </w:tr>
      <w:tr w14:paraId="284B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1446F87">
            <w:pPr>
              <w:spacing w:line="360" w:lineRule="auto"/>
              <w:jc w:val="center"/>
              <w:rPr>
                <w:rFonts w:ascii="宋体" w:hAnsi="宋体" w:cs="宋体"/>
                <w:szCs w:val="18"/>
              </w:rPr>
            </w:pPr>
            <w:r>
              <w:rPr>
                <w:rFonts w:hint="eastAsia" w:ascii="宋体" w:hAnsi="宋体" w:cs="宋体"/>
                <w:szCs w:val="18"/>
              </w:rPr>
              <w:t>4.1</w:t>
            </w:r>
          </w:p>
        </w:tc>
        <w:tc>
          <w:tcPr>
            <w:tcW w:w="8080" w:type="dxa"/>
            <w:vAlign w:val="center"/>
          </w:tcPr>
          <w:p w14:paraId="351297A4">
            <w:pPr>
              <w:spacing w:line="360" w:lineRule="auto"/>
              <w:rPr>
                <w:rFonts w:ascii="宋体" w:hAnsi="宋体" w:cs="宋体"/>
                <w:szCs w:val="18"/>
              </w:rPr>
            </w:pPr>
            <w:r>
              <w:rPr>
                <w:rFonts w:hint="eastAsia" w:ascii="宋体" w:hAnsi="宋体" w:cs="宋体"/>
                <w:szCs w:val="18"/>
              </w:rPr>
              <w:t>采用超声波清洗机构，不会损伤药筐表面。</w:t>
            </w:r>
          </w:p>
        </w:tc>
      </w:tr>
      <w:tr w14:paraId="6904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3B200DE">
            <w:pPr>
              <w:spacing w:line="360" w:lineRule="auto"/>
              <w:jc w:val="center"/>
              <w:rPr>
                <w:rFonts w:ascii="宋体" w:hAnsi="宋体" w:cs="宋体"/>
                <w:szCs w:val="18"/>
              </w:rPr>
            </w:pPr>
            <w:r>
              <w:rPr>
                <w:rFonts w:hint="eastAsia" w:ascii="宋体" w:hAnsi="宋体" w:cs="宋体"/>
                <w:szCs w:val="18"/>
              </w:rPr>
              <w:t>4.2</w:t>
            </w:r>
          </w:p>
        </w:tc>
        <w:tc>
          <w:tcPr>
            <w:tcW w:w="8080" w:type="dxa"/>
            <w:vAlign w:val="center"/>
          </w:tcPr>
          <w:p w14:paraId="1956B1BC">
            <w:pPr>
              <w:spacing w:line="360" w:lineRule="auto"/>
              <w:rPr>
                <w:rFonts w:ascii="宋体" w:hAnsi="宋体" w:cs="宋体"/>
                <w:szCs w:val="18"/>
              </w:rPr>
            </w:pPr>
            <w:r>
              <w:rPr>
                <w:rFonts w:hint="eastAsia" w:ascii="宋体" w:hAnsi="宋体" w:cs="宋体"/>
                <w:szCs w:val="18"/>
              </w:rPr>
              <w:t>采用PLC控制和触摸屏人机界面，操作简单直观，易于使用。</w:t>
            </w:r>
          </w:p>
        </w:tc>
      </w:tr>
      <w:tr w14:paraId="51BB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7AE352A">
            <w:pPr>
              <w:spacing w:line="360" w:lineRule="auto"/>
              <w:jc w:val="center"/>
              <w:rPr>
                <w:rFonts w:ascii="宋体" w:hAnsi="宋体" w:cs="宋体"/>
                <w:szCs w:val="18"/>
              </w:rPr>
            </w:pPr>
            <w:r>
              <w:rPr>
                <w:rFonts w:hint="eastAsia" w:ascii="宋体" w:hAnsi="宋体" w:cs="宋体"/>
                <w:szCs w:val="18"/>
              </w:rPr>
              <w:t>4.3</w:t>
            </w:r>
          </w:p>
        </w:tc>
        <w:tc>
          <w:tcPr>
            <w:tcW w:w="8080" w:type="dxa"/>
            <w:vAlign w:val="center"/>
          </w:tcPr>
          <w:p w14:paraId="6C1BCF5B">
            <w:pPr>
              <w:spacing w:line="360" w:lineRule="auto"/>
              <w:rPr>
                <w:rFonts w:ascii="宋体" w:hAnsi="宋体" w:cs="宋体"/>
                <w:szCs w:val="18"/>
              </w:rPr>
            </w:pPr>
            <w:r>
              <w:rPr>
                <w:rFonts w:hint="eastAsia" w:ascii="宋体" w:hAnsi="宋体" w:cs="宋体"/>
                <w:szCs w:val="18"/>
              </w:rPr>
              <w:t>配备机械手臂自动搬运装置，操作安全可靠，提升工作效率和安全性。</w:t>
            </w:r>
          </w:p>
        </w:tc>
      </w:tr>
      <w:tr w14:paraId="5070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D471B42">
            <w:pPr>
              <w:spacing w:line="360" w:lineRule="auto"/>
              <w:jc w:val="center"/>
              <w:rPr>
                <w:rFonts w:ascii="宋体" w:hAnsi="宋体" w:cs="宋体"/>
                <w:szCs w:val="18"/>
              </w:rPr>
            </w:pPr>
            <w:r>
              <w:rPr>
                <w:rFonts w:hint="eastAsia" w:ascii="宋体" w:hAnsi="宋体" w:cs="宋体"/>
                <w:szCs w:val="18"/>
              </w:rPr>
              <w:t>4.4</w:t>
            </w:r>
          </w:p>
        </w:tc>
        <w:tc>
          <w:tcPr>
            <w:tcW w:w="8080" w:type="dxa"/>
            <w:vAlign w:val="center"/>
          </w:tcPr>
          <w:p w14:paraId="6FD452D9">
            <w:pPr>
              <w:spacing w:line="360" w:lineRule="auto"/>
              <w:rPr>
                <w:rFonts w:ascii="宋体" w:hAnsi="宋体" w:cs="宋体"/>
                <w:szCs w:val="18"/>
              </w:rPr>
            </w:pPr>
            <w:r>
              <w:rPr>
                <w:rFonts w:hint="eastAsia" w:ascii="宋体" w:hAnsi="宋体" w:cs="宋体"/>
                <w:szCs w:val="18"/>
              </w:rPr>
              <w:t>设有二次喷淋清洗模式，确保清洗无残留，保证药筐更加洁净和安全可靠。</w:t>
            </w:r>
          </w:p>
        </w:tc>
      </w:tr>
      <w:tr w14:paraId="2C9B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C34A5C1">
            <w:pPr>
              <w:spacing w:line="360" w:lineRule="auto"/>
              <w:jc w:val="center"/>
              <w:rPr>
                <w:rFonts w:ascii="宋体" w:hAnsi="宋体" w:cs="宋体"/>
                <w:szCs w:val="18"/>
              </w:rPr>
            </w:pPr>
            <w:r>
              <w:rPr>
                <w:rFonts w:hint="eastAsia" w:ascii="宋体" w:hAnsi="宋体" w:cs="宋体"/>
                <w:szCs w:val="18"/>
              </w:rPr>
              <w:t>4.5</w:t>
            </w:r>
          </w:p>
        </w:tc>
        <w:tc>
          <w:tcPr>
            <w:tcW w:w="8080" w:type="dxa"/>
            <w:vAlign w:val="center"/>
          </w:tcPr>
          <w:p w14:paraId="3A1EEB62">
            <w:pPr>
              <w:spacing w:line="360" w:lineRule="auto"/>
              <w:rPr>
                <w:rFonts w:ascii="宋体" w:hAnsi="宋体" w:cs="宋体"/>
                <w:szCs w:val="18"/>
              </w:rPr>
            </w:pPr>
            <w:r>
              <w:rPr>
                <w:rFonts w:hint="eastAsia" w:ascii="宋体" w:hAnsi="宋体" w:cs="宋体"/>
                <w:szCs w:val="18"/>
              </w:rPr>
              <w:t>配备自动烘干功能，确保药筐干燥无水渍。</w:t>
            </w:r>
          </w:p>
        </w:tc>
      </w:tr>
      <w:tr w14:paraId="725C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9699E53">
            <w:pPr>
              <w:spacing w:line="360" w:lineRule="auto"/>
              <w:jc w:val="center"/>
              <w:rPr>
                <w:rFonts w:ascii="宋体" w:hAnsi="宋体" w:cs="宋体"/>
                <w:szCs w:val="18"/>
              </w:rPr>
            </w:pPr>
            <w:r>
              <w:rPr>
                <w:rFonts w:hint="eastAsia" w:ascii="宋体" w:hAnsi="宋体" w:cs="宋体"/>
                <w:szCs w:val="18"/>
              </w:rPr>
              <w:t>4.6</w:t>
            </w:r>
          </w:p>
        </w:tc>
        <w:tc>
          <w:tcPr>
            <w:tcW w:w="8080" w:type="dxa"/>
            <w:vAlign w:val="center"/>
          </w:tcPr>
          <w:p w14:paraId="330D7A6B">
            <w:pPr>
              <w:spacing w:line="360" w:lineRule="auto"/>
              <w:rPr>
                <w:rFonts w:ascii="宋体" w:hAnsi="宋体" w:cs="宋体"/>
                <w:szCs w:val="18"/>
              </w:rPr>
            </w:pPr>
            <w:r>
              <w:rPr>
                <w:rFonts w:hint="eastAsia" w:ascii="宋体" w:hAnsi="宋体" w:cs="宋体"/>
                <w:szCs w:val="18"/>
              </w:rPr>
              <w:t>支持批量清洗模式，提升清洗效率，适用于大规模生产需求。</w:t>
            </w:r>
          </w:p>
        </w:tc>
      </w:tr>
      <w:tr w14:paraId="16B8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ACF98FE">
            <w:pPr>
              <w:spacing w:line="360" w:lineRule="auto"/>
              <w:jc w:val="center"/>
              <w:rPr>
                <w:rFonts w:ascii="宋体" w:hAnsi="宋体" w:cs="宋体"/>
                <w:szCs w:val="18"/>
              </w:rPr>
            </w:pPr>
            <w:r>
              <w:rPr>
                <w:rFonts w:hint="eastAsia" w:ascii="宋体" w:hAnsi="宋体" w:cs="宋体"/>
                <w:szCs w:val="18"/>
              </w:rPr>
              <w:t>4.7</w:t>
            </w:r>
          </w:p>
        </w:tc>
        <w:tc>
          <w:tcPr>
            <w:tcW w:w="8080" w:type="dxa"/>
            <w:vAlign w:val="center"/>
          </w:tcPr>
          <w:p w14:paraId="7D3864E1">
            <w:pPr>
              <w:spacing w:line="360" w:lineRule="auto"/>
              <w:rPr>
                <w:rFonts w:ascii="宋体" w:hAnsi="宋体" w:cs="宋体"/>
                <w:szCs w:val="18"/>
              </w:rPr>
            </w:pPr>
            <w:r>
              <w:rPr>
                <w:rFonts w:hint="eastAsia" w:ascii="宋体" w:hAnsi="宋体" w:cs="宋体"/>
                <w:szCs w:val="18"/>
              </w:rPr>
              <w:t>可清洗各种大小的药筐，具有良好的兼容性和通用性。</w:t>
            </w:r>
          </w:p>
        </w:tc>
      </w:tr>
      <w:tr w14:paraId="0E94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F61D569">
            <w:pPr>
              <w:spacing w:line="360" w:lineRule="auto"/>
              <w:jc w:val="center"/>
              <w:rPr>
                <w:rFonts w:ascii="宋体" w:hAnsi="宋体" w:cs="宋体"/>
                <w:szCs w:val="18"/>
              </w:rPr>
            </w:pPr>
            <w:r>
              <w:rPr>
                <w:rFonts w:hint="eastAsia" w:ascii="宋体" w:hAnsi="宋体" w:cs="宋体"/>
                <w:b/>
                <w:bCs/>
                <w:szCs w:val="18"/>
              </w:rPr>
              <w:t>五</w:t>
            </w:r>
          </w:p>
        </w:tc>
        <w:tc>
          <w:tcPr>
            <w:tcW w:w="8080" w:type="dxa"/>
            <w:vAlign w:val="center"/>
          </w:tcPr>
          <w:p w14:paraId="6E671617">
            <w:pPr>
              <w:spacing w:line="360" w:lineRule="auto"/>
              <w:rPr>
                <w:rFonts w:ascii="宋体" w:hAnsi="宋体" w:cs="宋体"/>
                <w:szCs w:val="18"/>
              </w:rPr>
            </w:pPr>
            <w:r>
              <w:rPr>
                <w:rFonts w:hint="eastAsia" w:ascii="宋体" w:hAnsi="宋体" w:cs="宋体"/>
                <w:b/>
                <w:bCs/>
                <w:szCs w:val="18"/>
              </w:rPr>
              <w:t>医用冰箱</w:t>
            </w:r>
          </w:p>
        </w:tc>
      </w:tr>
      <w:tr w14:paraId="0C27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31ED747">
            <w:pPr>
              <w:spacing w:line="360" w:lineRule="auto"/>
              <w:jc w:val="center"/>
              <w:rPr>
                <w:rFonts w:ascii="宋体" w:hAnsi="宋体" w:cs="宋体"/>
                <w:szCs w:val="18"/>
              </w:rPr>
            </w:pPr>
            <w:r>
              <w:rPr>
                <w:rFonts w:hint="eastAsia" w:ascii="宋体" w:hAnsi="宋体" w:cs="宋体"/>
                <w:szCs w:val="18"/>
              </w:rPr>
              <w:t>4.1</w:t>
            </w:r>
          </w:p>
        </w:tc>
        <w:tc>
          <w:tcPr>
            <w:tcW w:w="8080" w:type="dxa"/>
            <w:vAlign w:val="center"/>
          </w:tcPr>
          <w:p w14:paraId="271E6A8A">
            <w:pPr>
              <w:spacing w:line="360" w:lineRule="auto"/>
              <w:rPr>
                <w:rFonts w:ascii="宋体" w:hAnsi="宋体" w:cs="宋体"/>
                <w:szCs w:val="18"/>
              </w:rPr>
            </w:pPr>
            <w:r>
              <w:rPr>
                <w:rFonts w:hint="eastAsia" w:ascii="宋体" w:hAnsi="宋体" w:cs="宋体"/>
                <w:szCs w:val="18"/>
              </w:rPr>
              <w:t>采用立式设计，存放方便，节省空间；单台有效容积不小于1000L。</w:t>
            </w:r>
          </w:p>
        </w:tc>
      </w:tr>
      <w:tr w14:paraId="1324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598DAF0">
            <w:pPr>
              <w:spacing w:line="360" w:lineRule="auto"/>
              <w:jc w:val="center"/>
              <w:rPr>
                <w:rFonts w:ascii="宋体" w:hAnsi="宋体" w:cs="宋体"/>
                <w:szCs w:val="18"/>
              </w:rPr>
            </w:pPr>
            <w:r>
              <w:rPr>
                <w:rFonts w:hint="eastAsia" w:ascii="宋体" w:hAnsi="宋体" w:cs="宋体"/>
                <w:szCs w:val="18"/>
              </w:rPr>
              <w:t>4.2</w:t>
            </w:r>
          </w:p>
        </w:tc>
        <w:tc>
          <w:tcPr>
            <w:tcW w:w="8080" w:type="dxa"/>
            <w:vAlign w:val="center"/>
          </w:tcPr>
          <w:p w14:paraId="66964BCC">
            <w:pPr>
              <w:spacing w:line="360" w:lineRule="auto"/>
              <w:rPr>
                <w:rFonts w:ascii="宋体" w:hAnsi="宋体" w:cs="宋体"/>
                <w:szCs w:val="18"/>
              </w:rPr>
            </w:pPr>
            <w:r>
              <w:rPr>
                <w:rFonts w:hint="eastAsia" w:ascii="宋体" w:hAnsi="宋体" w:cs="宋体"/>
                <w:szCs w:val="18"/>
              </w:rPr>
              <w:t>箱内温度控制在2~8℃范围内，数码管温度显示，显示精度0.1℃。</w:t>
            </w:r>
          </w:p>
        </w:tc>
      </w:tr>
      <w:tr w14:paraId="7297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7505816">
            <w:pPr>
              <w:spacing w:line="360" w:lineRule="auto"/>
              <w:jc w:val="center"/>
              <w:rPr>
                <w:rFonts w:ascii="宋体" w:hAnsi="宋体" w:cs="宋体"/>
                <w:szCs w:val="18"/>
              </w:rPr>
            </w:pPr>
            <w:r>
              <w:rPr>
                <w:rFonts w:hint="eastAsia" w:ascii="宋体" w:hAnsi="宋体" w:cs="宋体"/>
                <w:szCs w:val="18"/>
              </w:rPr>
              <w:t>4.3</w:t>
            </w:r>
          </w:p>
        </w:tc>
        <w:tc>
          <w:tcPr>
            <w:tcW w:w="8080" w:type="dxa"/>
            <w:vAlign w:val="center"/>
          </w:tcPr>
          <w:p w14:paraId="52ED00CD">
            <w:pPr>
              <w:spacing w:line="360" w:lineRule="auto"/>
              <w:rPr>
                <w:rFonts w:ascii="宋体" w:hAnsi="宋体" w:cs="宋体"/>
                <w:szCs w:val="18"/>
              </w:rPr>
            </w:pPr>
            <w:r>
              <w:rPr>
                <w:rFonts w:hint="eastAsia" w:ascii="宋体" w:hAnsi="宋体" w:cs="宋体"/>
                <w:szCs w:val="18"/>
              </w:rPr>
              <w:t>风冷设计，保证箱内温度维持在标定的温度范围内，可以实现温度均匀度±1.5℃。</w:t>
            </w:r>
          </w:p>
        </w:tc>
      </w:tr>
      <w:tr w14:paraId="2796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A292C23">
            <w:pPr>
              <w:spacing w:line="360" w:lineRule="auto"/>
              <w:jc w:val="center"/>
              <w:rPr>
                <w:rFonts w:ascii="宋体" w:hAnsi="宋体" w:cs="宋体"/>
                <w:szCs w:val="18"/>
              </w:rPr>
            </w:pPr>
            <w:r>
              <w:rPr>
                <w:rFonts w:hint="eastAsia" w:ascii="宋体" w:hAnsi="宋体" w:cs="宋体"/>
                <w:szCs w:val="18"/>
              </w:rPr>
              <w:t>4.4</w:t>
            </w:r>
          </w:p>
        </w:tc>
        <w:tc>
          <w:tcPr>
            <w:tcW w:w="8080" w:type="dxa"/>
            <w:vAlign w:val="center"/>
          </w:tcPr>
          <w:p w14:paraId="756BEE19">
            <w:pPr>
              <w:spacing w:line="360" w:lineRule="auto"/>
              <w:rPr>
                <w:rFonts w:ascii="宋体" w:hAnsi="宋体" w:cs="宋体"/>
                <w:szCs w:val="18"/>
              </w:rPr>
            </w:pPr>
            <w:r>
              <w:rPr>
                <w:rFonts w:hint="eastAsia" w:ascii="宋体" w:hAnsi="宋体" w:cs="宋体"/>
                <w:szCs w:val="18"/>
              </w:rPr>
              <w:t>报警功能齐全：高低温报警、断电报警、开门报警、传感器故障报警、电池电量低报警，冷凝器脏堵报警，两种报警方式。</w:t>
            </w:r>
          </w:p>
        </w:tc>
      </w:tr>
      <w:tr w14:paraId="0E0D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0376B6F">
            <w:pPr>
              <w:spacing w:line="360" w:lineRule="auto"/>
              <w:jc w:val="center"/>
              <w:rPr>
                <w:rFonts w:ascii="宋体" w:hAnsi="宋体" w:cs="宋体"/>
                <w:szCs w:val="18"/>
              </w:rPr>
            </w:pPr>
            <w:r>
              <w:rPr>
                <w:rFonts w:hint="eastAsia" w:ascii="宋体" w:hAnsi="宋体" w:cs="宋体"/>
                <w:szCs w:val="18"/>
              </w:rPr>
              <w:t>4.5</w:t>
            </w:r>
          </w:p>
        </w:tc>
        <w:tc>
          <w:tcPr>
            <w:tcW w:w="8080" w:type="dxa"/>
            <w:vAlign w:val="center"/>
          </w:tcPr>
          <w:p w14:paraId="6E81D346">
            <w:pPr>
              <w:spacing w:line="360" w:lineRule="auto"/>
              <w:rPr>
                <w:rFonts w:ascii="宋体" w:hAnsi="宋体" w:cs="宋体"/>
                <w:szCs w:val="18"/>
              </w:rPr>
            </w:pPr>
            <w:r>
              <w:rPr>
                <w:rFonts w:hint="eastAsia" w:ascii="宋体" w:hAnsi="宋体" w:cs="宋体"/>
                <w:szCs w:val="18"/>
              </w:rPr>
              <w:t>标配WIFI物联模块，通过手机APP程序，远程监控设备状态，查看温度情况及报警情况。</w:t>
            </w:r>
          </w:p>
        </w:tc>
      </w:tr>
      <w:tr w14:paraId="6EC5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184EEF2">
            <w:pPr>
              <w:spacing w:line="360" w:lineRule="auto"/>
              <w:jc w:val="center"/>
              <w:rPr>
                <w:rFonts w:ascii="宋体" w:hAnsi="宋体" w:cs="宋体"/>
                <w:szCs w:val="18"/>
              </w:rPr>
            </w:pPr>
            <w:r>
              <w:rPr>
                <w:rFonts w:hint="eastAsia" w:ascii="宋体" w:hAnsi="宋体" w:cs="宋体"/>
                <w:szCs w:val="18"/>
              </w:rPr>
              <w:t>4.6</w:t>
            </w:r>
          </w:p>
        </w:tc>
        <w:tc>
          <w:tcPr>
            <w:tcW w:w="8080" w:type="dxa"/>
            <w:vAlign w:val="center"/>
          </w:tcPr>
          <w:p w14:paraId="355FBF02">
            <w:pPr>
              <w:spacing w:line="360" w:lineRule="auto"/>
              <w:rPr>
                <w:rFonts w:ascii="宋体" w:hAnsi="宋体" w:cs="宋体"/>
                <w:szCs w:val="18"/>
              </w:rPr>
            </w:pPr>
            <w:r>
              <w:rPr>
                <w:rFonts w:hint="eastAsia" w:ascii="宋体" w:hAnsi="宋体" w:cs="宋体"/>
                <w:szCs w:val="18"/>
              </w:rPr>
              <w:t>产品具备医疗器械注册证。</w:t>
            </w:r>
          </w:p>
        </w:tc>
      </w:tr>
      <w:tr w14:paraId="5BFF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A9BC055">
            <w:pPr>
              <w:spacing w:line="360" w:lineRule="auto"/>
              <w:jc w:val="center"/>
              <w:rPr>
                <w:rFonts w:ascii="宋体" w:hAnsi="宋体" w:cs="宋体"/>
                <w:b/>
                <w:bCs/>
                <w:szCs w:val="18"/>
              </w:rPr>
            </w:pPr>
            <w:r>
              <w:rPr>
                <w:rFonts w:hint="eastAsia" w:ascii="宋体" w:hAnsi="宋体" w:cs="宋体"/>
                <w:b/>
                <w:bCs/>
                <w:szCs w:val="18"/>
              </w:rPr>
              <w:t>六</w:t>
            </w:r>
          </w:p>
        </w:tc>
        <w:tc>
          <w:tcPr>
            <w:tcW w:w="8080" w:type="dxa"/>
            <w:vAlign w:val="center"/>
          </w:tcPr>
          <w:p w14:paraId="7ECBD0E0">
            <w:pPr>
              <w:spacing w:line="360" w:lineRule="auto"/>
              <w:rPr>
                <w:rFonts w:ascii="宋体" w:hAnsi="宋体" w:cs="宋体"/>
                <w:b/>
                <w:bCs/>
                <w:szCs w:val="18"/>
              </w:rPr>
            </w:pPr>
            <w:r>
              <w:rPr>
                <w:rFonts w:hint="eastAsia" w:ascii="宋体" w:hAnsi="宋体" w:cs="宋体"/>
                <w:b/>
                <w:bCs/>
                <w:szCs w:val="18"/>
              </w:rPr>
              <w:t>超净工作台</w:t>
            </w:r>
          </w:p>
        </w:tc>
      </w:tr>
      <w:tr w14:paraId="65FD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B34FF58">
            <w:pPr>
              <w:spacing w:line="360" w:lineRule="auto"/>
              <w:jc w:val="center"/>
              <w:rPr>
                <w:rFonts w:ascii="宋体" w:hAnsi="宋体" w:cs="宋体"/>
                <w:szCs w:val="18"/>
              </w:rPr>
            </w:pPr>
            <w:r>
              <w:rPr>
                <w:rFonts w:hint="eastAsia" w:ascii="宋体" w:hAnsi="宋体" w:cs="宋体"/>
                <w:szCs w:val="18"/>
              </w:rPr>
              <w:t>6.1</w:t>
            </w:r>
          </w:p>
        </w:tc>
        <w:tc>
          <w:tcPr>
            <w:tcW w:w="8080" w:type="dxa"/>
            <w:vAlign w:val="center"/>
          </w:tcPr>
          <w:p w14:paraId="24ECB8E2">
            <w:pPr>
              <w:spacing w:line="360" w:lineRule="auto"/>
              <w:rPr>
                <w:rFonts w:ascii="宋体" w:hAnsi="宋体" w:cs="宋体"/>
                <w:szCs w:val="18"/>
              </w:rPr>
            </w:pPr>
            <w:r>
              <w:rPr>
                <w:rFonts w:hint="eastAsia" w:ascii="宋体" w:hAnsi="宋体" w:cs="宋体"/>
                <w:szCs w:val="18"/>
              </w:rPr>
              <w:t>双人单面洁净工作台，水平层流，工作区洁净度：100级。</w:t>
            </w:r>
          </w:p>
        </w:tc>
      </w:tr>
      <w:tr w14:paraId="37B4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26A24C1">
            <w:pPr>
              <w:spacing w:line="360" w:lineRule="auto"/>
              <w:jc w:val="center"/>
              <w:rPr>
                <w:rFonts w:ascii="宋体" w:hAnsi="宋体" w:cs="宋体"/>
                <w:szCs w:val="18"/>
              </w:rPr>
            </w:pPr>
            <w:r>
              <w:rPr>
                <w:rFonts w:hint="eastAsia" w:ascii="宋体" w:hAnsi="宋体" w:cs="宋体"/>
                <w:szCs w:val="18"/>
              </w:rPr>
              <w:t>6.2</w:t>
            </w:r>
          </w:p>
        </w:tc>
        <w:tc>
          <w:tcPr>
            <w:tcW w:w="8080" w:type="dxa"/>
            <w:vAlign w:val="center"/>
          </w:tcPr>
          <w:p w14:paraId="6434C8CC">
            <w:pPr>
              <w:spacing w:line="360" w:lineRule="auto"/>
              <w:rPr>
                <w:rFonts w:ascii="宋体" w:hAnsi="宋体" w:cs="宋体"/>
                <w:szCs w:val="18"/>
              </w:rPr>
            </w:pPr>
            <w:r>
              <w:rPr>
                <w:rFonts w:hint="eastAsia" w:ascii="宋体" w:hAnsi="宋体" w:cs="宋体"/>
                <w:szCs w:val="18"/>
              </w:rPr>
              <w:t>外形长度：≤1800mm，工作区长度：≥1700mm，工作台面高度：770±10mm。</w:t>
            </w:r>
          </w:p>
        </w:tc>
      </w:tr>
      <w:tr w14:paraId="1A2D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05F643C">
            <w:pPr>
              <w:spacing w:line="360" w:lineRule="auto"/>
              <w:jc w:val="center"/>
              <w:rPr>
                <w:rFonts w:ascii="宋体" w:hAnsi="宋体" w:cs="宋体"/>
                <w:szCs w:val="18"/>
              </w:rPr>
            </w:pPr>
            <w:r>
              <w:rPr>
                <w:rFonts w:hint="eastAsia" w:ascii="宋体" w:hAnsi="宋体" w:cs="宋体"/>
                <w:szCs w:val="18"/>
              </w:rPr>
              <w:t>6.3</w:t>
            </w:r>
          </w:p>
        </w:tc>
        <w:tc>
          <w:tcPr>
            <w:tcW w:w="8080" w:type="dxa"/>
            <w:vAlign w:val="center"/>
          </w:tcPr>
          <w:p w14:paraId="5F660F8B">
            <w:pPr>
              <w:spacing w:line="360" w:lineRule="auto"/>
              <w:rPr>
                <w:rFonts w:ascii="宋体" w:hAnsi="宋体" w:cs="宋体"/>
                <w:szCs w:val="18"/>
              </w:rPr>
            </w:pPr>
            <w:r>
              <w:rPr>
                <w:rFonts w:hint="eastAsia" w:ascii="宋体" w:hAnsi="宋体" w:cs="宋体"/>
                <w:szCs w:val="18"/>
              </w:rPr>
              <w:t>工作台面选用304不锈钢材质，两侧透明玻璃设计，亮度高，易清洁。</w:t>
            </w:r>
          </w:p>
        </w:tc>
      </w:tr>
      <w:tr w14:paraId="4D7C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0430DD2">
            <w:pPr>
              <w:spacing w:line="360" w:lineRule="auto"/>
              <w:jc w:val="center"/>
              <w:rPr>
                <w:rFonts w:ascii="宋体" w:hAnsi="宋体" w:cs="宋体"/>
                <w:szCs w:val="18"/>
              </w:rPr>
            </w:pPr>
            <w:r>
              <w:rPr>
                <w:rFonts w:hint="eastAsia" w:ascii="宋体" w:hAnsi="宋体" w:cs="宋体"/>
                <w:szCs w:val="18"/>
              </w:rPr>
              <w:t>6.4</w:t>
            </w:r>
          </w:p>
        </w:tc>
        <w:tc>
          <w:tcPr>
            <w:tcW w:w="8080" w:type="dxa"/>
            <w:vAlign w:val="center"/>
          </w:tcPr>
          <w:p w14:paraId="27CDDA3C">
            <w:pPr>
              <w:spacing w:line="360" w:lineRule="auto"/>
              <w:rPr>
                <w:rFonts w:ascii="宋体" w:hAnsi="宋体" w:cs="宋体"/>
                <w:szCs w:val="18"/>
              </w:rPr>
            </w:pPr>
            <w:r>
              <w:rPr>
                <w:rFonts w:hint="eastAsia" w:ascii="宋体" w:hAnsi="宋体" w:cs="宋体"/>
                <w:szCs w:val="18"/>
              </w:rPr>
              <w:t>内嵌式照明，眼睛不疲劳：采用内嵌式照明，避免日光灯对眼睛照射，眼睛不疲劳。</w:t>
            </w:r>
          </w:p>
        </w:tc>
      </w:tr>
      <w:tr w14:paraId="5408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5D93E70">
            <w:pPr>
              <w:spacing w:line="360" w:lineRule="auto"/>
              <w:jc w:val="center"/>
              <w:rPr>
                <w:rFonts w:ascii="宋体" w:hAnsi="宋体" w:cs="宋体"/>
                <w:szCs w:val="18"/>
              </w:rPr>
            </w:pPr>
            <w:r>
              <w:rPr>
                <w:rFonts w:hint="eastAsia" w:ascii="宋体" w:hAnsi="宋体" w:cs="宋体"/>
                <w:szCs w:val="18"/>
              </w:rPr>
              <w:t>6.5</w:t>
            </w:r>
          </w:p>
        </w:tc>
        <w:tc>
          <w:tcPr>
            <w:tcW w:w="8080" w:type="dxa"/>
            <w:vAlign w:val="center"/>
          </w:tcPr>
          <w:p w14:paraId="74BC2B7E">
            <w:pPr>
              <w:spacing w:line="360" w:lineRule="auto"/>
              <w:rPr>
                <w:rFonts w:ascii="宋体" w:hAnsi="宋体" w:cs="宋体"/>
                <w:szCs w:val="18"/>
              </w:rPr>
            </w:pPr>
            <w:r>
              <w:rPr>
                <w:rFonts w:hint="eastAsia" w:ascii="宋体" w:hAnsi="宋体" w:cs="宋体"/>
                <w:szCs w:val="18"/>
              </w:rPr>
              <w:t>紫外灯与照明灯互锁，屏蔽误操作风险。可预设紫外灯自动点亮时间，方便班前班后自动消毒。</w:t>
            </w:r>
          </w:p>
        </w:tc>
      </w:tr>
      <w:tr w14:paraId="20CE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D90BB3F">
            <w:pPr>
              <w:spacing w:line="360" w:lineRule="auto"/>
              <w:jc w:val="center"/>
              <w:rPr>
                <w:rFonts w:ascii="宋体" w:hAnsi="宋体" w:cs="宋体"/>
                <w:szCs w:val="18"/>
              </w:rPr>
            </w:pPr>
            <w:r>
              <w:rPr>
                <w:rFonts w:hint="eastAsia" w:ascii="宋体" w:hAnsi="宋体" w:cs="宋体"/>
                <w:szCs w:val="18"/>
              </w:rPr>
              <w:t>6.6</w:t>
            </w:r>
          </w:p>
        </w:tc>
        <w:tc>
          <w:tcPr>
            <w:tcW w:w="8080" w:type="dxa"/>
            <w:vAlign w:val="center"/>
          </w:tcPr>
          <w:p w14:paraId="4B1B3FCC">
            <w:pPr>
              <w:spacing w:line="360" w:lineRule="auto"/>
              <w:rPr>
                <w:rFonts w:ascii="宋体" w:hAnsi="宋体" w:cs="宋体"/>
                <w:szCs w:val="18"/>
              </w:rPr>
            </w:pPr>
            <w:r>
              <w:rPr>
                <w:rFonts w:hint="eastAsia" w:ascii="宋体" w:hAnsi="宋体" w:cs="宋体"/>
                <w:szCs w:val="18"/>
              </w:rPr>
              <w:t>紫外杀菌延时启动，远离紫外线伤害：紫外灯开关按下后，声光提醒操作者及时离开，延时后紫外灯点亮，保护操作者免受紫外照射伤害。</w:t>
            </w:r>
          </w:p>
        </w:tc>
      </w:tr>
      <w:tr w14:paraId="740A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E8B7083">
            <w:pPr>
              <w:spacing w:line="360" w:lineRule="auto"/>
              <w:jc w:val="center"/>
              <w:rPr>
                <w:rFonts w:ascii="宋体" w:hAnsi="宋体" w:cs="宋体"/>
                <w:b/>
                <w:bCs/>
                <w:szCs w:val="18"/>
              </w:rPr>
            </w:pPr>
            <w:r>
              <w:rPr>
                <w:rFonts w:hint="eastAsia" w:ascii="宋体" w:hAnsi="宋体" w:cs="宋体"/>
                <w:b/>
                <w:bCs/>
                <w:szCs w:val="18"/>
              </w:rPr>
              <w:t>七</w:t>
            </w:r>
          </w:p>
        </w:tc>
        <w:tc>
          <w:tcPr>
            <w:tcW w:w="8080" w:type="dxa"/>
            <w:vAlign w:val="center"/>
          </w:tcPr>
          <w:p w14:paraId="6C073F4A">
            <w:pPr>
              <w:spacing w:line="360" w:lineRule="auto"/>
              <w:rPr>
                <w:rFonts w:ascii="宋体" w:hAnsi="宋体" w:cs="宋体"/>
                <w:b/>
                <w:bCs/>
                <w:szCs w:val="18"/>
              </w:rPr>
            </w:pPr>
            <w:r>
              <w:rPr>
                <w:rFonts w:hint="eastAsia" w:ascii="宋体" w:hAnsi="宋体" w:cs="宋体"/>
                <w:b/>
                <w:bCs/>
                <w:szCs w:val="18"/>
              </w:rPr>
              <w:t>生物安全柜ⅡA2型</w:t>
            </w:r>
          </w:p>
        </w:tc>
      </w:tr>
      <w:tr w14:paraId="5C0A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6DABADD">
            <w:pPr>
              <w:spacing w:line="360" w:lineRule="auto"/>
              <w:jc w:val="center"/>
              <w:rPr>
                <w:rFonts w:ascii="宋体" w:hAnsi="宋体" w:cs="宋体"/>
                <w:szCs w:val="18"/>
              </w:rPr>
            </w:pPr>
            <w:r>
              <w:rPr>
                <w:rFonts w:hint="eastAsia" w:ascii="宋体" w:hAnsi="宋体" w:cs="宋体"/>
                <w:szCs w:val="18"/>
              </w:rPr>
              <w:t>7.1</w:t>
            </w:r>
          </w:p>
        </w:tc>
        <w:tc>
          <w:tcPr>
            <w:tcW w:w="8080" w:type="dxa"/>
            <w:vAlign w:val="center"/>
          </w:tcPr>
          <w:p w14:paraId="35FE053D">
            <w:pPr>
              <w:spacing w:line="360" w:lineRule="auto"/>
              <w:rPr>
                <w:rFonts w:ascii="宋体" w:hAnsi="宋体" w:cs="宋体"/>
                <w:szCs w:val="18"/>
              </w:rPr>
            </w:pPr>
            <w:r>
              <w:rPr>
                <w:rFonts w:hint="eastAsia" w:ascii="宋体" w:hAnsi="宋体" w:cs="宋体"/>
                <w:szCs w:val="18"/>
              </w:rPr>
              <w:t>Ⅱ级A2型生物安全柜，30%气体外排，70%气体循环。</w:t>
            </w:r>
          </w:p>
        </w:tc>
      </w:tr>
      <w:tr w14:paraId="0D0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393B368">
            <w:pPr>
              <w:spacing w:line="360" w:lineRule="auto"/>
              <w:jc w:val="center"/>
              <w:rPr>
                <w:rFonts w:ascii="宋体" w:hAnsi="宋体" w:cs="宋体"/>
                <w:szCs w:val="18"/>
              </w:rPr>
            </w:pPr>
            <w:r>
              <w:rPr>
                <w:rFonts w:hint="eastAsia" w:ascii="宋体" w:hAnsi="宋体" w:cs="宋体"/>
                <w:szCs w:val="18"/>
              </w:rPr>
              <w:t>7.2</w:t>
            </w:r>
          </w:p>
        </w:tc>
        <w:tc>
          <w:tcPr>
            <w:tcW w:w="8080" w:type="dxa"/>
            <w:vAlign w:val="center"/>
          </w:tcPr>
          <w:p w14:paraId="497792D0">
            <w:pPr>
              <w:spacing w:line="360" w:lineRule="auto"/>
              <w:rPr>
                <w:rFonts w:ascii="宋体" w:hAnsi="宋体" w:cs="宋体"/>
                <w:szCs w:val="18"/>
              </w:rPr>
            </w:pPr>
            <w:r>
              <w:rPr>
                <w:rFonts w:hint="eastAsia" w:ascii="宋体" w:hAnsi="宋体" w:cs="宋体"/>
                <w:szCs w:val="18"/>
              </w:rPr>
              <w:t>单人操作，工作区宽度≥1500mm。</w:t>
            </w:r>
          </w:p>
        </w:tc>
      </w:tr>
      <w:tr w14:paraId="7E8D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515EA33">
            <w:pPr>
              <w:spacing w:line="360" w:lineRule="auto"/>
              <w:jc w:val="center"/>
              <w:rPr>
                <w:rFonts w:ascii="宋体" w:hAnsi="宋体" w:cs="宋体"/>
                <w:szCs w:val="18"/>
              </w:rPr>
            </w:pPr>
            <w:r>
              <w:rPr>
                <w:rFonts w:hint="eastAsia" w:ascii="宋体" w:hAnsi="宋体" w:cs="宋体"/>
                <w:szCs w:val="18"/>
              </w:rPr>
              <w:t>7.3</w:t>
            </w:r>
          </w:p>
        </w:tc>
        <w:tc>
          <w:tcPr>
            <w:tcW w:w="8080" w:type="dxa"/>
            <w:vAlign w:val="center"/>
          </w:tcPr>
          <w:p w14:paraId="65A3B5B9">
            <w:pPr>
              <w:spacing w:line="360" w:lineRule="auto"/>
              <w:rPr>
                <w:rFonts w:ascii="宋体" w:hAnsi="宋体" w:cs="宋体"/>
                <w:szCs w:val="18"/>
              </w:rPr>
            </w:pPr>
            <w:r>
              <w:rPr>
                <w:rFonts w:hint="eastAsia" w:ascii="宋体" w:hAnsi="宋体" w:cs="宋体"/>
                <w:szCs w:val="18"/>
              </w:rPr>
              <w:t>所有污染部位均应处于负压状态或被负压通道和负压通风系统包围。</w:t>
            </w:r>
          </w:p>
        </w:tc>
      </w:tr>
      <w:tr w14:paraId="4FB9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337F400">
            <w:pPr>
              <w:spacing w:line="360" w:lineRule="auto"/>
              <w:jc w:val="center"/>
              <w:rPr>
                <w:rFonts w:ascii="宋体" w:hAnsi="宋体" w:cs="宋体"/>
                <w:szCs w:val="18"/>
              </w:rPr>
            </w:pPr>
            <w:r>
              <w:rPr>
                <w:rFonts w:hint="eastAsia" w:ascii="宋体" w:hAnsi="宋体" w:cs="宋体"/>
                <w:szCs w:val="18"/>
              </w:rPr>
              <w:t>7.4</w:t>
            </w:r>
          </w:p>
        </w:tc>
        <w:tc>
          <w:tcPr>
            <w:tcW w:w="8080" w:type="dxa"/>
            <w:vAlign w:val="center"/>
          </w:tcPr>
          <w:p w14:paraId="33EEE682">
            <w:pPr>
              <w:spacing w:line="360" w:lineRule="auto"/>
              <w:rPr>
                <w:rFonts w:ascii="宋体" w:hAnsi="宋体" w:cs="宋体"/>
                <w:szCs w:val="18"/>
              </w:rPr>
            </w:pPr>
            <w:r>
              <w:rPr>
                <w:rFonts w:hint="eastAsia" w:ascii="宋体" w:hAnsi="宋体" w:cs="宋体"/>
                <w:szCs w:val="18"/>
              </w:rPr>
              <w:t>具有气流隔断技术，沿玻璃门上沿缝隙有负压气流阻断保护，防止工作区内外气体交互。</w:t>
            </w:r>
          </w:p>
        </w:tc>
      </w:tr>
      <w:tr w14:paraId="297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5007FFD">
            <w:pPr>
              <w:spacing w:line="360" w:lineRule="auto"/>
              <w:jc w:val="center"/>
              <w:rPr>
                <w:rFonts w:ascii="宋体" w:hAnsi="宋体" w:cs="宋体"/>
                <w:szCs w:val="18"/>
              </w:rPr>
            </w:pPr>
            <w:r>
              <w:rPr>
                <w:rFonts w:hint="eastAsia" w:ascii="宋体" w:hAnsi="宋体" w:cs="宋体"/>
                <w:szCs w:val="18"/>
              </w:rPr>
              <w:t>7.5</w:t>
            </w:r>
          </w:p>
        </w:tc>
        <w:tc>
          <w:tcPr>
            <w:tcW w:w="8080" w:type="dxa"/>
            <w:vAlign w:val="center"/>
          </w:tcPr>
          <w:p w14:paraId="73F6F988">
            <w:pPr>
              <w:spacing w:line="360" w:lineRule="auto"/>
              <w:rPr>
                <w:rFonts w:ascii="宋体" w:hAnsi="宋体" w:cs="宋体"/>
                <w:szCs w:val="18"/>
              </w:rPr>
            </w:pPr>
            <w:r>
              <w:rPr>
                <w:rFonts w:hint="eastAsia" w:ascii="宋体" w:hAnsi="宋体" w:cs="宋体"/>
                <w:szCs w:val="18"/>
              </w:rPr>
              <w:t>负压通道专门设计异物过滤装置，防止纸屑等异物通过负压通道进入风机/过滤器影响产品正常运行。</w:t>
            </w:r>
          </w:p>
        </w:tc>
      </w:tr>
      <w:tr w14:paraId="4F87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88359A7">
            <w:pPr>
              <w:spacing w:line="360" w:lineRule="auto"/>
              <w:jc w:val="center"/>
              <w:rPr>
                <w:rFonts w:ascii="宋体" w:hAnsi="宋体" w:cs="宋体"/>
                <w:szCs w:val="18"/>
              </w:rPr>
            </w:pPr>
            <w:r>
              <w:rPr>
                <w:rFonts w:hint="eastAsia" w:ascii="宋体" w:hAnsi="宋体" w:cs="宋体"/>
                <w:szCs w:val="18"/>
              </w:rPr>
              <w:t>7.6</w:t>
            </w:r>
          </w:p>
        </w:tc>
        <w:tc>
          <w:tcPr>
            <w:tcW w:w="8080" w:type="dxa"/>
            <w:vAlign w:val="center"/>
          </w:tcPr>
          <w:p w14:paraId="1D8C7FA1">
            <w:pPr>
              <w:spacing w:line="360" w:lineRule="auto"/>
              <w:rPr>
                <w:rFonts w:ascii="宋体" w:hAnsi="宋体" w:cs="宋体"/>
                <w:szCs w:val="18"/>
              </w:rPr>
            </w:pPr>
            <w:r>
              <w:rPr>
                <w:rFonts w:hint="eastAsia" w:ascii="宋体" w:hAnsi="宋体" w:cs="宋体"/>
                <w:szCs w:val="18"/>
              </w:rPr>
              <w:t>风机：高性能静音风机，提供稳定的气流模型和层流，高性能风机有效延长过滤器的使用寿命。</w:t>
            </w:r>
          </w:p>
        </w:tc>
      </w:tr>
      <w:tr w14:paraId="3386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E74424F">
            <w:pPr>
              <w:spacing w:line="360" w:lineRule="auto"/>
              <w:jc w:val="center"/>
              <w:rPr>
                <w:rFonts w:ascii="宋体" w:hAnsi="宋体" w:cs="宋体"/>
                <w:szCs w:val="18"/>
              </w:rPr>
            </w:pPr>
            <w:r>
              <w:rPr>
                <w:rFonts w:hint="eastAsia" w:ascii="宋体" w:hAnsi="宋体" w:cs="宋体"/>
                <w:szCs w:val="18"/>
              </w:rPr>
              <w:t>7.7</w:t>
            </w:r>
          </w:p>
        </w:tc>
        <w:tc>
          <w:tcPr>
            <w:tcW w:w="8080" w:type="dxa"/>
            <w:vAlign w:val="center"/>
          </w:tcPr>
          <w:p w14:paraId="50ACEC54">
            <w:pPr>
              <w:spacing w:line="360" w:lineRule="auto"/>
              <w:rPr>
                <w:rFonts w:ascii="宋体" w:hAnsi="宋体" w:cs="宋体"/>
                <w:szCs w:val="18"/>
              </w:rPr>
            </w:pPr>
            <w:r>
              <w:rPr>
                <w:rFonts w:hint="eastAsia" w:ascii="宋体" w:hAnsi="宋体" w:cs="宋体"/>
                <w:szCs w:val="18"/>
              </w:rPr>
              <w:t>打开前窗后，紫外灯应自动关闭，风机、荧光灯自动开始运行；关闭前窗后，风机和荧光灯自动关闭。</w:t>
            </w:r>
          </w:p>
        </w:tc>
      </w:tr>
      <w:tr w14:paraId="0F28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88E2B25">
            <w:pPr>
              <w:spacing w:line="360" w:lineRule="auto"/>
              <w:jc w:val="center"/>
              <w:rPr>
                <w:rFonts w:ascii="宋体" w:hAnsi="宋体" w:cs="宋体"/>
                <w:szCs w:val="18"/>
              </w:rPr>
            </w:pPr>
            <w:r>
              <w:rPr>
                <w:rFonts w:hint="eastAsia" w:ascii="宋体" w:hAnsi="宋体" w:cs="宋体"/>
                <w:szCs w:val="18"/>
              </w:rPr>
              <w:t>7.8</w:t>
            </w:r>
          </w:p>
        </w:tc>
        <w:tc>
          <w:tcPr>
            <w:tcW w:w="8080" w:type="dxa"/>
            <w:vAlign w:val="center"/>
          </w:tcPr>
          <w:p w14:paraId="58DD9192">
            <w:pPr>
              <w:spacing w:line="360" w:lineRule="auto"/>
              <w:rPr>
                <w:rFonts w:ascii="宋体" w:hAnsi="宋体" w:cs="宋体"/>
                <w:szCs w:val="18"/>
              </w:rPr>
            </w:pPr>
            <w:r>
              <w:rPr>
                <w:rFonts w:hint="eastAsia" w:ascii="宋体" w:hAnsi="宋体" w:cs="宋体"/>
                <w:szCs w:val="18"/>
              </w:rPr>
              <w:t>一键式预约紫外灯消毒时间，在班前班后两个时段自动运行；只需预约一次，安全柜生命周期内无需再次预约，紫外灯按照预约时间自动开启消毒功能。</w:t>
            </w:r>
          </w:p>
        </w:tc>
      </w:tr>
    </w:tbl>
    <w:p w14:paraId="24934CD5">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F680D"/>
    <w:rsid w:val="235F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Autospacing="1" w:afterAutospacing="1"/>
      <w:jc w:val="left"/>
    </w:pPr>
    <w:rPr>
      <w:kern w:val="0"/>
      <w:sz w:val="24"/>
    </w:rPr>
  </w:style>
  <w:style w:type="table" w:styleId="5">
    <w:name w:val="Table Grid"/>
    <w:basedOn w:val="4"/>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2025-05-27T02:28:00Z</dcterms:created>
  <dc:creator>ye</dc:creator>
  <cp:lastModifiedBy>ye</cp:lastModifiedBy>
  <dcterms:modified xsi:type="dcterms:W3CDTF">2025-05-27T02:28:44Z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17554119A8694B2D86E93EEF4FB12FB2_11</vt:lpwstr>
  </property>
  <property fmtid="{D5CDD505-2E9C-101B-9397-08002B2CF9AE}" pid="4" name="KSOTemplateDocerSaveRecord">
    <vt:lpwstr>eyJoZGlkIjoiMmMwZWM1NTIxZjZkMTFkYmM1ZDhjYWQ1ZjllOTYzZjUiLCJ1c2VySWQiOiIyODM3Mjg4OTkifQ==</vt:lpwstr>
  </property>
</Properties>
</file>