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r>
              <w:rPr>
                <w:rFonts w:hint="eastAsia" w:ascii="楷体_GB2312" w:hAnsi="楷体_GB2312" w:eastAsia="楷体_GB2312" w:cs="楷体_GB2312"/>
                <w:b/>
                <w:color w:val="0000FF"/>
                <w:sz w:val="21"/>
                <w:szCs w:val="21"/>
                <w:u w:val="single"/>
                <w:lang w:val="en-US" w:eastAsia="zh-CN"/>
              </w:rPr>
              <w:t>如有质控液、校准品等需</w:t>
            </w:r>
            <w:r>
              <w:rPr>
                <w:rFonts w:hint="eastAsia" w:ascii="楷体_GB2312" w:hAnsi="楷体_GB2312" w:eastAsia="楷体_GB2312" w:cs="楷体_GB2312"/>
                <w:b/>
                <w:color w:val="0000FF"/>
                <w:sz w:val="21"/>
                <w:szCs w:val="21"/>
                <w:highlight w:val="yellow"/>
                <w:u w:val="single"/>
                <w:lang w:val="en-US" w:eastAsia="zh-CN"/>
              </w:rPr>
              <w:t>备注</w:t>
            </w:r>
            <w:r>
              <w:rPr>
                <w:rFonts w:hint="eastAsia" w:ascii="楷体_GB2312" w:hAnsi="楷体_GB2312" w:eastAsia="楷体_GB2312" w:cs="楷体_GB2312"/>
                <w:b/>
                <w:color w:val="0000FF"/>
                <w:sz w:val="21"/>
                <w:szCs w:val="21"/>
                <w:u w:val="single"/>
                <w:lang w:val="en-US" w:eastAsia="zh-CN"/>
              </w:rPr>
              <w:t>校准时间间隔；试剂规格如不能反映测试数的需备注测试数（即一瓶能做几人份）</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846"/>
              <w:gridCol w:w="995"/>
              <w:gridCol w:w="624"/>
              <w:gridCol w:w="905"/>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791EDEC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单人份测试单价（元）</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35ABA87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037E466A">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14:paraId="15D6B59C">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14:paraId="67829918">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动态心电记录器</w:t>
            </w:r>
          </w:p>
        </w:tc>
        <w:tc>
          <w:tcPr>
            <w:tcW w:w="2268" w:type="dxa"/>
          </w:tcPr>
          <w:p w14:paraId="29F1C941">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FF0000"/>
                <w:sz w:val="24"/>
                <w:lang w:val="en-US" w:eastAsia="zh-CN"/>
              </w:rPr>
              <w:t>超声功能科</w:t>
            </w:r>
          </w:p>
        </w:tc>
        <w:tc>
          <w:tcPr>
            <w:tcW w:w="2508" w:type="dxa"/>
          </w:tcPr>
          <w:p w14:paraId="5937043E">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r>
    </w:tbl>
    <w:p w14:paraId="26B12F7A">
      <w:pPr>
        <w:spacing w:line="440" w:lineRule="exact"/>
        <w:rPr>
          <w:rFonts w:ascii="仿宋" w:hAnsi="仿宋" w:eastAsia="仿宋" w:cs="仿宋"/>
          <w:color w:val="auto"/>
          <w:sz w:val="24"/>
        </w:rPr>
      </w:pPr>
      <w:r>
        <w:rPr>
          <w:rFonts w:hint="eastAsia" w:ascii="仿宋" w:hAnsi="仿宋" w:eastAsia="仿宋" w:cs="仿宋"/>
          <w:color w:val="auto"/>
          <w:sz w:val="24"/>
        </w:rPr>
        <w:t>核心产品：</w:t>
      </w:r>
      <w:r>
        <w:rPr>
          <w:rFonts w:hint="eastAsia" w:ascii="仿宋" w:hAnsi="仿宋" w:eastAsia="仿宋" w:cs="仿宋"/>
          <w:color w:val="auto"/>
          <w:sz w:val="24"/>
          <w:lang w:val="en-US" w:eastAsia="zh-CN"/>
        </w:rPr>
        <w:t>动态心电记录器+配套原装导联线</w:t>
      </w:r>
    </w:p>
    <w:p w14:paraId="765E1167">
      <w:pPr>
        <w:spacing w:line="360" w:lineRule="auto"/>
        <w:jc w:val="left"/>
        <w:rPr>
          <w:rFonts w:hint="default" w:ascii="仿宋" w:hAnsi="仿宋" w:eastAsia="仿宋" w:cs="仿宋_GB2312"/>
          <w:color w:val="auto"/>
          <w:sz w:val="28"/>
          <w:szCs w:val="28"/>
          <w:lang w:val="en-US" w:eastAsia="zh-CN"/>
        </w:rPr>
      </w:pPr>
      <w:r>
        <w:rPr>
          <w:rFonts w:hint="eastAsia" w:ascii="仿宋" w:hAnsi="仿宋" w:eastAsia="仿宋" w:cs="仿宋"/>
          <w:color w:val="auto"/>
          <w:sz w:val="24"/>
        </w:rPr>
        <w:t>用途：</w:t>
      </w:r>
      <w:r>
        <w:rPr>
          <w:rFonts w:hint="eastAsia" w:ascii="仿宋" w:hAnsi="仿宋" w:eastAsia="仿宋" w:cs="仿宋"/>
          <w:color w:val="auto"/>
          <w:sz w:val="24"/>
          <w:lang w:val="en-US" w:eastAsia="zh-CN"/>
        </w:rPr>
        <w:t>用于测量、采集、观察和存储动态心电图，供临床诊断</w:t>
      </w:r>
      <w:r>
        <w:rPr>
          <w:rFonts w:hint="eastAsia" w:ascii="仿宋" w:hAnsi="仿宋" w:eastAsia="仿宋" w:cs="仿宋_GB2312"/>
          <w:color w:val="auto"/>
          <w:sz w:val="28"/>
          <w:szCs w:val="28"/>
          <w:lang w:val="en-US" w:eastAsia="zh-CN"/>
        </w:rPr>
        <w:t>。</w:t>
      </w:r>
    </w:p>
    <w:p w14:paraId="24A16ACA">
      <w:pPr>
        <w:spacing w:line="440" w:lineRule="exact"/>
        <w:rPr>
          <w:rFonts w:ascii="仿宋" w:hAnsi="仿宋" w:eastAsia="仿宋" w:cs="仿宋"/>
          <w:b/>
          <w:color w:val="auto"/>
          <w:sz w:val="24"/>
        </w:rPr>
      </w:pPr>
    </w:p>
    <w:p w14:paraId="426AD8A4">
      <w:pPr>
        <w:numPr>
          <w:ilvl w:val="0"/>
          <w:numId w:val="4"/>
        </w:numPr>
        <w:spacing w:line="440" w:lineRule="exact"/>
        <w:rPr>
          <w:rFonts w:ascii="仿宋" w:hAnsi="仿宋" w:eastAsia="仿宋" w:cs="仿宋"/>
          <w:b/>
          <w:color w:val="auto"/>
          <w:sz w:val="24"/>
          <w:highlight w:val="yellow"/>
        </w:rPr>
      </w:pPr>
      <w:r>
        <w:rPr>
          <w:rFonts w:hint="eastAsia" w:ascii="仿宋" w:hAnsi="仿宋" w:eastAsia="仿宋" w:cs="仿宋"/>
          <w:b/>
          <w:color w:val="auto"/>
          <w:sz w:val="24"/>
          <w:highlight w:val="yellow"/>
        </w:rPr>
        <w:t>技术参数：</w:t>
      </w:r>
    </w:p>
    <w:p w14:paraId="37369D84">
      <w:pPr>
        <w:widowControl w:val="0"/>
        <w:numPr>
          <w:ilvl w:val="0"/>
          <w:numId w:val="5"/>
        </w:numPr>
        <w:adjustRightInd/>
        <w:snapToGrid/>
        <w:spacing w:after="0" w:line="360" w:lineRule="auto"/>
        <w:jc w:val="both"/>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动态心电图系统（动态心电</w:t>
      </w:r>
      <w:r>
        <w:rPr>
          <w:rFonts w:hint="eastAsia" w:ascii="仿宋" w:hAnsi="仿宋" w:eastAsia="仿宋" w:cs="仿宋"/>
          <w:b/>
          <w:bCs/>
          <w:color w:val="auto"/>
          <w:sz w:val="24"/>
          <w:szCs w:val="24"/>
        </w:rPr>
        <w:t>记录器</w:t>
      </w:r>
      <w:r>
        <w:rPr>
          <w:rFonts w:hint="eastAsia" w:ascii="仿宋" w:hAnsi="仿宋" w:eastAsia="仿宋" w:cs="仿宋"/>
          <w:b/>
          <w:bCs/>
          <w:color w:val="auto"/>
          <w:sz w:val="24"/>
          <w:szCs w:val="24"/>
          <w:lang w:eastAsia="zh-CN"/>
        </w:rPr>
        <w:t>）</w:t>
      </w:r>
      <w:bookmarkStart w:id="0" w:name="_GoBack"/>
      <w:bookmarkEnd w:id="0"/>
    </w:p>
    <w:p w14:paraId="151ADF7B">
      <w:pPr>
        <w:widowControl w:val="0"/>
        <w:numPr>
          <w:ilvl w:val="0"/>
          <w:numId w:val="6"/>
        </w:numPr>
        <w:adjustRightInd/>
        <w:snapToGrid/>
        <w:spacing w:after="0" w:line="36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具备ISO9001/</w:t>
      </w:r>
      <w:r>
        <w:rPr>
          <w:rFonts w:hint="eastAsia" w:ascii="仿宋" w:hAnsi="仿宋" w:eastAsia="仿宋" w:cs="仿宋"/>
          <w:b w:val="0"/>
          <w:bCs w:val="0"/>
          <w:color w:val="auto"/>
          <w:sz w:val="24"/>
          <w:szCs w:val="24"/>
        </w:rPr>
        <w:t>ISO13485</w:t>
      </w:r>
      <w:r>
        <w:rPr>
          <w:rFonts w:hint="eastAsia" w:ascii="仿宋" w:hAnsi="仿宋" w:eastAsia="仿宋" w:cs="仿宋"/>
          <w:b w:val="0"/>
          <w:bCs w:val="0"/>
          <w:color w:val="auto"/>
          <w:sz w:val="24"/>
          <w:szCs w:val="24"/>
          <w:lang w:val="en-US" w:eastAsia="zh-CN"/>
        </w:rPr>
        <w:t>双</w:t>
      </w:r>
      <w:r>
        <w:rPr>
          <w:rFonts w:hint="eastAsia" w:ascii="仿宋" w:hAnsi="仿宋" w:eastAsia="仿宋" w:cs="仿宋"/>
          <w:b w:val="0"/>
          <w:bCs w:val="0"/>
          <w:color w:val="auto"/>
          <w:sz w:val="24"/>
          <w:szCs w:val="24"/>
        </w:rPr>
        <w:t>质量体系认证</w:t>
      </w:r>
    </w:p>
    <w:p w14:paraId="784E258A">
      <w:pPr>
        <w:widowControl w:val="0"/>
        <w:numPr>
          <w:ilvl w:val="0"/>
          <w:numId w:val="6"/>
        </w:numPr>
        <w:adjustRightInd/>
        <w:snapToGrid/>
        <w:spacing w:after="0" w:line="36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记录器采用固化式闪存，</w:t>
      </w:r>
      <w:r>
        <w:rPr>
          <w:rFonts w:hint="eastAsia" w:ascii="仿宋" w:hAnsi="仿宋" w:eastAsia="仿宋" w:cs="仿宋"/>
          <w:b w:val="0"/>
          <w:bCs w:val="0"/>
          <w:color w:val="auto"/>
          <w:sz w:val="24"/>
          <w:szCs w:val="24"/>
          <w:lang w:val="en-US" w:eastAsia="zh-CN"/>
        </w:rPr>
        <w:t>防</w:t>
      </w:r>
      <w:r>
        <w:rPr>
          <w:rFonts w:hint="eastAsia" w:ascii="仿宋" w:hAnsi="仿宋" w:eastAsia="仿宋" w:cs="仿宋"/>
          <w:b w:val="0"/>
          <w:bCs w:val="0"/>
          <w:color w:val="auto"/>
          <w:sz w:val="24"/>
          <w:szCs w:val="24"/>
        </w:rPr>
        <w:t>病毒</w:t>
      </w:r>
      <w:r>
        <w:rPr>
          <w:rFonts w:hint="eastAsia" w:ascii="仿宋" w:hAnsi="仿宋" w:eastAsia="仿宋" w:cs="仿宋"/>
          <w:b w:val="0"/>
          <w:bCs w:val="0"/>
          <w:color w:val="auto"/>
          <w:sz w:val="24"/>
          <w:szCs w:val="24"/>
          <w:lang w:val="en-US" w:eastAsia="zh-CN"/>
        </w:rPr>
        <w:t>侵入设计</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提供产品技术白皮书说明或可防病毒设计的相关知识产权证书验证</w:t>
      </w:r>
      <w:r>
        <w:rPr>
          <w:rFonts w:hint="eastAsia" w:ascii="仿宋" w:hAnsi="仿宋" w:eastAsia="仿宋" w:cs="仿宋"/>
          <w:b w:val="0"/>
          <w:bCs w:val="0"/>
          <w:color w:val="auto"/>
          <w:sz w:val="24"/>
          <w:szCs w:val="24"/>
          <w:lang w:eastAsia="zh-CN"/>
        </w:rPr>
        <w:t>）</w:t>
      </w:r>
    </w:p>
    <w:p w14:paraId="5D5C7DB5">
      <w:pPr>
        <w:widowControl w:val="0"/>
        <w:numPr>
          <w:ilvl w:val="0"/>
          <w:numId w:val="6"/>
        </w:numPr>
        <w:adjustRightInd/>
        <w:snapToGrid/>
        <w:spacing w:after="0" w:line="36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心电采集4096</w:t>
      </w:r>
      <w:r>
        <w:rPr>
          <w:rFonts w:hint="eastAsia" w:ascii="仿宋" w:hAnsi="仿宋" w:eastAsia="仿宋" w:cs="仿宋"/>
          <w:b w:val="0"/>
          <w:bCs w:val="0"/>
          <w:color w:val="auto"/>
          <w:sz w:val="24"/>
          <w:szCs w:val="24"/>
          <w:lang w:val="en-US" w:eastAsia="zh-CN"/>
        </w:rPr>
        <w:t>HZ</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提供产品技术白皮书说明或产品说明书证明</w:t>
      </w:r>
      <w:r>
        <w:rPr>
          <w:rFonts w:hint="eastAsia" w:ascii="仿宋" w:hAnsi="仿宋" w:eastAsia="仿宋" w:cs="仿宋"/>
          <w:b w:val="0"/>
          <w:bCs w:val="0"/>
          <w:color w:val="auto"/>
          <w:sz w:val="24"/>
          <w:szCs w:val="24"/>
        </w:rPr>
        <w:t>）。</w:t>
      </w:r>
    </w:p>
    <w:p w14:paraId="192F71ED">
      <w:pPr>
        <w:widowControl w:val="0"/>
        <w:numPr>
          <w:ilvl w:val="0"/>
          <w:numId w:val="6"/>
        </w:numPr>
        <w:adjustRightInd/>
        <w:snapToGrid/>
        <w:spacing w:after="0" w:line="36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▲支持独立起搏通道，起搏采样率10000HZ及以上</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提供产品技术白皮书说明或产品说明书证明</w:t>
      </w:r>
      <w:r>
        <w:rPr>
          <w:rFonts w:hint="eastAsia" w:ascii="仿宋" w:hAnsi="仿宋" w:eastAsia="仿宋" w:cs="仿宋"/>
          <w:b w:val="0"/>
          <w:bCs w:val="0"/>
          <w:color w:val="auto"/>
          <w:sz w:val="24"/>
          <w:szCs w:val="24"/>
        </w:rPr>
        <w:t>）</w:t>
      </w:r>
    </w:p>
    <w:p w14:paraId="18EC2DFD">
      <w:pPr>
        <w:widowControl w:val="0"/>
        <w:numPr>
          <w:ilvl w:val="0"/>
          <w:numId w:val="6"/>
        </w:numPr>
        <w:adjustRightInd/>
        <w:snapToGrid/>
        <w:spacing w:after="0" w:line="36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▲支持12/18通道</w:t>
      </w:r>
      <w:r>
        <w:rPr>
          <w:rFonts w:hint="eastAsia" w:ascii="仿宋" w:hAnsi="仿宋" w:eastAsia="仿宋" w:cs="仿宋"/>
          <w:b w:val="0"/>
          <w:bCs w:val="0"/>
          <w:color w:val="auto"/>
          <w:sz w:val="24"/>
          <w:szCs w:val="24"/>
        </w:rPr>
        <w:t>。</w:t>
      </w:r>
    </w:p>
    <w:p w14:paraId="05F8B74A">
      <w:pPr>
        <w:widowControl w:val="0"/>
        <w:numPr>
          <w:ilvl w:val="0"/>
          <w:numId w:val="6"/>
        </w:numPr>
        <w:adjustRightInd/>
        <w:snapToGrid/>
        <w:spacing w:after="0" w:line="36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支持24小时以上的连续记录</w:t>
      </w:r>
      <w:r>
        <w:rPr>
          <w:rFonts w:hint="eastAsia" w:ascii="仿宋" w:hAnsi="仿宋" w:eastAsia="仿宋" w:cs="仿宋"/>
          <w:b w:val="0"/>
          <w:bCs w:val="0"/>
          <w:color w:val="auto"/>
          <w:sz w:val="24"/>
          <w:szCs w:val="24"/>
        </w:rPr>
        <w:t>。</w:t>
      </w:r>
    </w:p>
    <w:p w14:paraId="59ADF760">
      <w:pPr>
        <w:widowControl w:val="0"/>
        <w:numPr>
          <w:ilvl w:val="0"/>
          <w:numId w:val="6"/>
        </w:numPr>
        <w:adjustRightInd/>
        <w:snapToGrid/>
        <w:spacing w:after="0" w:line="36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使用1节7号电池供电。</w:t>
      </w:r>
    </w:p>
    <w:p w14:paraId="08E568D7">
      <w:pPr>
        <w:widowControl w:val="0"/>
        <w:numPr>
          <w:ilvl w:val="0"/>
          <w:numId w:val="0"/>
        </w:numPr>
        <w:adjustRightInd/>
        <w:snapToGrid/>
        <w:spacing w:after="0" w:line="360" w:lineRule="auto"/>
        <w:jc w:val="both"/>
        <w:rPr>
          <w:rFonts w:hint="eastAsia" w:ascii="仿宋" w:hAnsi="仿宋" w:eastAsia="仿宋" w:cs="仿宋"/>
          <w:b w:val="0"/>
          <w:bCs w:val="0"/>
          <w:color w:val="auto"/>
          <w:sz w:val="24"/>
          <w:szCs w:val="24"/>
          <w:lang w:val="en-US" w:eastAsia="zh-CN"/>
        </w:rPr>
      </w:pPr>
    </w:p>
    <w:p w14:paraId="711FEF5B">
      <w:pPr>
        <w:rPr>
          <w:rFonts w:hint="eastAsia" w:ascii="仿宋" w:hAnsi="仿宋" w:eastAsia="仿宋" w:cs="仿宋"/>
          <w:b w:val="0"/>
          <w:bCs w:val="0"/>
          <w:color w:val="auto"/>
          <w:sz w:val="24"/>
          <w:szCs w:val="24"/>
          <w:lang w:val="en-US" w:eastAsia="zh-CN"/>
        </w:rPr>
      </w:pPr>
    </w:p>
    <w:p w14:paraId="37832C02">
      <w:pPr>
        <w:numPr>
          <w:ilvl w:val="0"/>
          <w:numId w:val="5"/>
        </w:numPr>
        <w:spacing w:line="36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动态心电图系统（动态心电图软件）</w:t>
      </w:r>
    </w:p>
    <w:p w14:paraId="76263045">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▲可显示、编辑、打印心电图，包括12导联、18导联心电图（提供注册证验证）。</w:t>
      </w:r>
    </w:p>
    <w:p w14:paraId="70FD7EC6">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支持首页自定义报告抬头，医院可自行设计各自抬头。</w:t>
      </w:r>
    </w:p>
    <w:p w14:paraId="45F34C08">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时间散点图无极缩放功能及逆向分析功能（</w:t>
      </w:r>
      <w:r>
        <w:rPr>
          <w:rFonts w:hint="eastAsia" w:ascii="仿宋" w:hAnsi="仿宋" w:eastAsia="仿宋" w:cs="仿宋"/>
          <w:b w:val="0"/>
          <w:bCs w:val="0"/>
          <w:color w:val="auto"/>
          <w:sz w:val="24"/>
          <w:szCs w:val="24"/>
          <w:lang w:val="en-US" w:eastAsia="zh-CN"/>
        </w:rPr>
        <w:t>提供产品技术白皮书说明或产品说明书证明</w:t>
      </w:r>
      <w:r>
        <w:rPr>
          <w:rFonts w:hint="eastAsia" w:ascii="仿宋" w:hAnsi="仿宋" w:eastAsia="仿宋" w:cs="仿宋"/>
          <w:b w:val="0"/>
          <w:bCs w:val="0"/>
          <w:color w:val="auto"/>
          <w:sz w:val="24"/>
          <w:szCs w:val="24"/>
        </w:rPr>
        <w:t>）。</w:t>
      </w:r>
    </w:p>
    <w:p w14:paraId="53EE6149">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室性逸搏分析功能：将室性异常搏动做出联律间期柱状图，根据时间关系加以区分。</w:t>
      </w:r>
    </w:p>
    <w:p w14:paraId="6FAE7363">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▲具备</w:t>
      </w:r>
      <w:r>
        <w:rPr>
          <w:rFonts w:hint="eastAsia" w:ascii="仿宋" w:hAnsi="仿宋" w:eastAsia="仿宋" w:cs="仿宋"/>
          <w:b w:val="0"/>
          <w:bCs w:val="0"/>
          <w:color w:val="auto"/>
          <w:sz w:val="24"/>
          <w:szCs w:val="24"/>
        </w:rPr>
        <w:t>12导联ST段三维趋势图，使观察心肌缺血发生部位更加直观（提供</w:t>
      </w:r>
      <w:r>
        <w:rPr>
          <w:rFonts w:hint="eastAsia" w:ascii="仿宋" w:hAnsi="仿宋" w:eastAsia="仿宋" w:cs="仿宋"/>
          <w:b w:val="0"/>
          <w:bCs w:val="0"/>
          <w:color w:val="auto"/>
          <w:sz w:val="24"/>
          <w:szCs w:val="24"/>
          <w:lang w:val="en-US" w:eastAsia="zh-CN"/>
        </w:rPr>
        <w:t>注册证验证或产品技术白皮书说明或产品说明书证明</w:t>
      </w:r>
      <w:r>
        <w:rPr>
          <w:rFonts w:hint="eastAsia" w:ascii="仿宋" w:hAnsi="仿宋" w:eastAsia="仿宋" w:cs="仿宋"/>
          <w:b w:val="0"/>
          <w:bCs w:val="0"/>
          <w:color w:val="auto"/>
          <w:sz w:val="24"/>
          <w:szCs w:val="24"/>
        </w:rPr>
        <w:t>）。</w:t>
      </w:r>
    </w:p>
    <w:p w14:paraId="5A39E55C">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rPr>
        <w:t>★</w:t>
      </w:r>
      <w:r>
        <w:rPr>
          <w:rFonts w:hint="eastAsia" w:ascii="仿宋" w:hAnsi="仿宋" w:eastAsia="仿宋" w:cs="仿宋"/>
          <w:b w:val="0"/>
          <w:bCs w:val="0"/>
          <w:color w:val="auto"/>
          <w:sz w:val="24"/>
          <w:szCs w:val="24"/>
          <w:vertAlign w:val="baseline"/>
          <w:lang w:val="en-US" w:eastAsia="zh-CN"/>
        </w:rPr>
        <w:t>具有起搏器功能的自动搜查与识别功能</w:t>
      </w:r>
    </w:p>
    <w:p w14:paraId="15CA1C49">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高性能的起搏器分析功能，适合VVI、AAI、DDD</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心脏起搏器的常见工作模式代码</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等多种类型起搏器。自动分析起搏失败、感知失败，房性起搏、房室顺序起搏、室性起搏、室性融合波等。</w:t>
      </w:r>
    </w:p>
    <w:p w14:paraId="3573C195">
      <w:pPr>
        <w:numPr>
          <w:ilvl w:val="0"/>
          <w:numId w:val="7"/>
        </w:numPr>
        <w:spacing w:line="360" w:lineRule="auto"/>
        <w:ind w:lef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具备新生儿波形的人工智能识别算法。</w:t>
      </w:r>
    </w:p>
    <w:p w14:paraId="144BBB4C">
      <w:pPr>
        <w:numPr>
          <w:ilvl w:val="0"/>
          <w:numId w:val="7"/>
        </w:numPr>
        <w:spacing w:line="360" w:lineRule="auto"/>
        <w:ind w:leftChars="0"/>
        <w:rPr>
          <w:rFonts w:hint="eastAsia" w:ascii="仿宋" w:hAnsi="仿宋" w:eastAsia="仿宋" w:cs="仿宋"/>
          <w:b/>
          <w:color w:val="auto"/>
          <w:sz w:val="24"/>
          <w:lang w:val="en-US" w:eastAsia="zh-CN"/>
        </w:rPr>
      </w:pPr>
      <w:r>
        <w:rPr>
          <w:rFonts w:hint="eastAsia" w:ascii="仿宋" w:hAnsi="仿宋" w:eastAsia="仿宋" w:cs="仿宋"/>
          <w:b w:val="0"/>
          <w:bCs w:val="0"/>
          <w:color w:val="auto"/>
          <w:sz w:val="24"/>
          <w:szCs w:val="24"/>
          <w:lang w:val="en-US" w:eastAsia="zh-CN"/>
        </w:rPr>
        <w:t>▲软件</w:t>
      </w:r>
      <w:r>
        <w:rPr>
          <w:rFonts w:hint="eastAsia" w:ascii="仿宋" w:hAnsi="仿宋" w:eastAsia="仿宋" w:cs="仿宋"/>
          <w:b w:val="0"/>
          <w:bCs w:val="0"/>
          <w:color w:val="auto"/>
          <w:sz w:val="24"/>
          <w:szCs w:val="24"/>
        </w:rPr>
        <w:t>具备</w:t>
      </w:r>
      <w:r>
        <w:rPr>
          <w:rFonts w:hint="eastAsia" w:ascii="仿宋" w:hAnsi="仿宋" w:eastAsia="仿宋" w:cs="仿宋"/>
          <w:b w:val="0"/>
          <w:bCs w:val="0"/>
          <w:color w:val="auto"/>
          <w:sz w:val="24"/>
          <w:szCs w:val="24"/>
          <w:lang w:val="en-US" w:eastAsia="zh-CN"/>
        </w:rPr>
        <w:t>5种导联连接示意图</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（提供注册证验证或产品技术白皮书说明或产品说明书证明）。</w:t>
      </w:r>
    </w:p>
    <w:p w14:paraId="255CD2F5">
      <w:pPr>
        <w:numPr>
          <w:ilvl w:val="0"/>
          <w:numId w:val="8"/>
        </w:numPr>
        <w:spacing w:line="440" w:lineRule="exact"/>
        <w:rPr>
          <w:rFonts w:hint="eastAsia" w:ascii="仿宋" w:hAnsi="仿宋" w:eastAsia="仿宋" w:cs="仿宋"/>
          <w:b w:val="0"/>
          <w:bCs/>
          <w:color w:val="auto"/>
          <w:sz w:val="24"/>
          <w:lang w:val="en-US" w:eastAsia="zh-CN"/>
        </w:rPr>
      </w:pPr>
      <w:r>
        <w:rPr>
          <w:rFonts w:hint="eastAsia" w:ascii="仿宋" w:hAnsi="仿宋" w:eastAsia="仿宋" w:cs="仿宋"/>
          <w:color w:val="auto"/>
          <w:sz w:val="24"/>
        </w:rPr>
        <w:t>★</w:t>
      </w:r>
      <w:r>
        <w:rPr>
          <w:rFonts w:hint="eastAsia" w:ascii="仿宋" w:hAnsi="仿宋" w:eastAsia="仿宋" w:cs="仿宋"/>
          <w:b w:val="0"/>
          <w:bCs/>
          <w:color w:val="auto"/>
          <w:sz w:val="24"/>
          <w:lang w:val="en-US" w:eastAsia="zh-CN"/>
        </w:rPr>
        <w:t>能与院内心电网络系统对接并上传电子报告，</w:t>
      </w:r>
      <w:r>
        <w:rPr>
          <w:rFonts w:hint="eastAsia" w:ascii="仿宋" w:hAnsi="仿宋" w:eastAsia="仿宋" w:cs="仿宋"/>
          <w:b w:val="0"/>
          <w:bCs/>
          <w:color w:val="auto"/>
          <w:kern w:val="2"/>
          <w:sz w:val="24"/>
          <w:szCs w:val="24"/>
          <w:highlight w:val="none"/>
          <w:lang w:val="en-US" w:eastAsia="zh-CN" w:bidi="ar-SA"/>
        </w:rPr>
        <w:t>接口费由中标公司承担。</w:t>
      </w:r>
    </w:p>
    <w:p w14:paraId="2A6BFBF5">
      <w:pPr>
        <w:numPr>
          <w:ilvl w:val="0"/>
          <w:numId w:val="8"/>
        </w:numPr>
        <w:spacing w:line="440" w:lineRule="exact"/>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设备使用年限≥10年</w:t>
      </w:r>
    </w:p>
    <w:p w14:paraId="53D93E05">
      <w:pPr>
        <w:numPr>
          <w:ilvl w:val="0"/>
          <w:numId w:val="0"/>
        </w:numPr>
        <w:spacing w:line="440" w:lineRule="exact"/>
        <w:rPr>
          <w:rFonts w:hint="eastAsia" w:ascii="仿宋" w:hAnsi="仿宋" w:eastAsia="仿宋" w:cs="仿宋"/>
          <w:b/>
          <w:color w:val="auto"/>
          <w:sz w:val="24"/>
        </w:rPr>
      </w:pPr>
      <w:r>
        <w:rPr>
          <w:rFonts w:hint="eastAsia" w:ascii="仿宋" w:hAnsi="仿宋" w:eastAsia="仿宋" w:cs="仿宋"/>
          <w:b w:val="0"/>
          <w:bCs/>
          <w:color w:val="auto"/>
          <w:sz w:val="24"/>
          <w:lang w:val="en-US" w:eastAsia="zh-CN"/>
        </w:rPr>
        <w:t>12.配套使用耗材为通用耗材：一次性心电电极片单价≤2.67元/片。</w:t>
      </w:r>
    </w:p>
    <w:p w14:paraId="56B62EA6">
      <w:pPr>
        <w:numPr>
          <w:ilvl w:val="0"/>
          <w:numId w:val="0"/>
        </w:numPr>
        <w:spacing w:line="440" w:lineRule="exact"/>
        <w:rPr>
          <w:rFonts w:hint="eastAsia" w:ascii="仿宋" w:hAnsi="仿宋" w:eastAsia="仿宋" w:cs="仿宋"/>
          <w:b/>
          <w:color w:val="auto"/>
          <w:sz w:val="24"/>
        </w:rPr>
      </w:pPr>
    </w:p>
    <w:p w14:paraId="2D9C1BC3">
      <w:pPr>
        <w:numPr>
          <w:ilvl w:val="0"/>
          <w:numId w:val="0"/>
        </w:numPr>
        <w:spacing w:line="440" w:lineRule="exact"/>
        <w:rPr>
          <w:rFonts w:hint="eastAsia" w:ascii="仿宋" w:hAnsi="仿宋" w:eastAsia="仿宋" w:cs="仿宋"/>
          <w:b/>
          <w:color w:val="auto"/>
          <w:sz w:val="24"/>
        </w:rPr>
      </w:pPr>
    </w:p>
    <w:p w14:paraId="5B198E0B">
      <w:pPr>
        <w:numPr>
          <w:ilvl w:val="0"/>
          <w:numId w:val="4"/>
        </w:numPr>
        <w:spacing w:line="440" w:lineRule="exact"/>
        <w:rPr>
          <w:rFonts w:ascii="仿宋" w:hAnsi="仿宋" w:eastAsia="仿宋" w:cs="仿宋"/>
          <w:b/>
          <w:color w:val="auto"/>
          <w:sz w:val="24"/>
          <w:highlight w:val="yellow"/>
        </w:rPr>
      </w:pPr>
      <w:r>
        <w:rPr>
          <w:rFonts w:hint="eastAsia" w:ascii="仿宋" w:hAnsi="仿宋" w:eastAsia="仿宋" w:cs="仿宋"/>
          <w:b/>
          <w:color w:val="auto"/>
          <w:sz w:val="24"/>
          <w:highlight w:val="yellow"/>
        </w:rPr>
        <w:t>每套设备配置要求</w:t>
      </w:r>
      <w:r>
        <w:rPr>
          <w:rFonts w:hint="eastAsia" w:ascii="仿宋" w:hAnsi="仿宋" w:eastAsia="仿宋" w:cs="仿宋"/>
          <w:b/>
          <w:color w:val="auto"/>
          <w:sz w:val="24"/>
          <w:highlight w:val="yellow"/>
          <w:lang w:eastAsia="zh-CN"/>
        </w:rPr>
        <w:t>（</w:t>
      </w:r>
      <w:r>
        <w:rPr>
          <w:rFonts w:hint="eastAsia" w:ascii="仿宋" w:hAnsi="仿宋" w:eastAsia="仿宋" w:cs="仿宋"/>
          <w:b/>
          <w:color w:val="auto"/>
          <w:sz w:val="24"/>
          <w:highlight w:val="yellow"/>
        </w:rPr>
        <w:t>标准套至少包含以下内容</w:t>
      </w:r>
      <w:r>
        <w:rPr>
          <w:rFonts w:hint="eastAsia" w:ascii="仿宋" w:hAnsi="仿宋" w:eastAsia="仿宋" w:cs="仿宋"/>
          <w:b/>
          <w:color w:val="auto"/>
          <w:sz w:val="24"/>
          <w:highlight w:val="yellow"/>
          <w:lang w:eastAsia="zh-CN"/>
        </w:rPr>
        <w:t>）</w:t>
      </w:r>
      <w:r>
        <w:rPr>
          <w:rFonts w:hint="eastAsia" w:ascii="仿宋" w:hAnsi="仿宋" w:eastAsia="仿宋" w:cs="仿宋"/>
          <w:b/>
          <w:color w:val="auto"/>
          <w:sz w:val="24"/>
          <w:highlight w:val="yellow"/>
        </w:rPr>
        <w: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41"/>
        <w:gridCol w:w="3483"/>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序号</w:t>
            </w:r>
          </w:p>
        </w:tc>
        <w:tc>
          <w:tcPr>
            <w:tcW w:w="2141" w:type="dxa"/>
          </w:tcPr>
          <w:p w14:paraId="728B52FA">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名称</w:t>
            </w:r>
          </w:p>
        </w:tc>
        <w:tc>
          <w:tcPr>
            <w:tcW w:w="3483" w:type="dxa"/>
          </w:tcPr>
          <w:p w14:paraId="42C03E36">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要求</w:t>
            </w:r>
          </w:p>
        </w:tc>
        <w:tc>
          <w:tcPr>
            <w:tcW w:w="969" w:type="dxa"/>
          </w:tcPr>
          <w:p w14:paraId="48670CB3">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数量</w:t>
            </w:r>
          </w:p>
        </w:tc>
        <w:tc>
          <w:tcPr>
            <w:tcW w:w="920" w:type="dxa"/>
          </w:tcPr>
          <w:p w14:paraId="0D9EF68E">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1</w:t>
            </w:r>
          </w:p>
        </w:tc>
        <w:tc>
          <w:tcPr>
            <w:tcW w:w="2141" w:type="dxa"/>
          </w:tcPr>
          <w:p w14:paraId="42ECF333">
            <w:pPr>
              <w:spacing w:line="440" w:lineRule="exact"/>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动态心电记录器</w:t>
            </w:r>
          </w:p>
        </w:tc>
        <w:tc>
          <w:tcPr>
            <w:tcW w:w="3483" w:type="dxa"/>
          </w:tcPr>
          <w:p w14:paraId="54E0F7C1">
            <w:pPr>
              <w:spacing w:line="440" w:lineRule="exact"/>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符合招标参数要求，原装新机</w:t>
            </w:r>
          </w:p>
        </w:tc>
        <w:tc>
          <w:tcPr>
            <w:tcW w:w="969" w:type="dxa"/>
          </w:tcPr>
          <w:p w14:paraId="73DFF0D8">
            <w:pPr>
              <w:spacing w:line="440" w:lineRule="exact"/>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tcPr>
          <w:p w14:paraId="76FEFD8C">
            <w:pPr>
              <w:spacing w:line="440" w:lineRule="exact"/>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个</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2</w:t>
            </w:r>
          </w:p>
        </w:tc>
        <w:tc>
          <w:tcPr>
            <w:tcW w:w="2141" w:type="dxa"/>
          </w:tcPr>
          <w:p w14:paraId="31B63238">
            <w:pPr>
              <w:spacing w:line="440" w:lineRule="exact"/>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配套背包</w:t>
            </w:r>
          </w:p>
        </w:tc>
        <w:tc>
          <w:tcPr>
            <w:tcW w:w="3483" w:type="dxa"/>
          </w:tcPr>
          <w:p w14:paraId="4B81501E">
            <w:pPr>
              <w:spacing w:line="440" w:lineRule="exact"/>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背包式/腰带式均可</w:t>
            </w:r>
          </w:p>
        </w:tc>
        <w:tc>
          <w:tcPr>
            <w:tcW w:w="969" w:type="dxa"/>
          </w:tcPr>
          <w:p w14:paraId="358E2F02">
            <w:pPr>
              <w:spacing w:line="440" w:lineRule="exact"/>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tcPr>
          <w:p w14:paraId="6F4FDCA0">
            <w:pPr>
              <w:spacing w:line="440" w:lineRule="exact"/>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个</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3</w:t>
            </w:r>
          </w:p>
        </w:tc>
        <w:tc>
          <w:tcPr>
            <w:tcW w:w="2141" w:type="dxa"/>
          </w:tcPr>
          <w:p w14:paraId="05C551DB">
            <w:pPr>
              <w:spacing w:line="440" w:lineRule="exact"/>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导联线</w:t>
            </w:r>
          </w:p>
        </w:tc>
        <w:tc>
          <w:tcPr>
            <w:tcW w:w="3483" w:type="dxa"/>
          </w:tcPr>
          <w:p w14:paraId="313DC650">
            <w:pPr>
              <w:spacing w:line="440" w:lineRule="exact"/>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原装</w:t>
            </w:r>
          </w:p>
        </w:tc>
        <w:tc>
          <w:tcPr>
            <w:tcW w:w="969" w:type="dxa"/>
          </w:tcPr>
          <w:p w14:paraId="7F33DB8D">
            <w:pPr>
              <w:spacing w:line="440" w:lineRule="exact"/>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w:t>
            </w:r>
          </w:p>
        </w:tc>
        <w:tc>
          <w:tcPr>
            <w:tcW w:w="920" w:type="dxa"/>
          </w:tcPr>
          <w:p w14:paraId="76CE4BBF">
            <w:pPr>
              <w:spacing w:line="440" w:lineRule="exact"/>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条</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4</w:t>
            </w:r>
          </w:p>
        </w:tc>
        <w:tc>
          <w:tcPr>
            <w:tcW w:w="2141" w:type="dxa"/>
            <w:vAlign w:val="center"/>
          </w:tcPr>
          <w:p w14:paraId="48023CE1">
            <w:pPr>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说明书</w:t>
            </w:r>
          </w:p>
        </w:tc>
        <w:tc>
          <w:tcPr>
            <w:tcW w:w="3483" w:type="dxa"/>
            <w:vAlign w:val="center"/>
          </w:tcPr>
          <w:p w14:paraId="6510BE39">
            <w:pPr>
              <w:jc w:val="center"/>
              <w:rPr>
                <w:rFonts w:ascii="仿宋" w:hAnsi="仿宋" w:eastAsia="仿宋" w:cs="仿宋"/>
                <w:b w:val="0"/>
                <w:bCs w:val="0"/>
                <w:color w:val="auto"/>
                <w:sz w:val="24"/>
              </w:rPr>
            </w:pPr>
          </w:p>
        </w:tc>
        <w:tc>
          <w:tcPr>
            <w:tcW w:w="969" w:type="dxa"/>
            <w:vAlign w:val="center"/>
          </w:tcPr>
          <w:p w14:paraId="79422489">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vAlign w:val="center"/>
          </w:tcPr>
          <w:p w14:paraId="69088D6D">
            <w:pPr>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本</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ascii="仿宋" w:hAnsi="仿宋" w:eastAsia="仿宋" w:cs="仿宋"/>
                <w:b w:val="0"/>
                <w:bCs w:val="0"/>
                <w:color w:val="auto"/>
                <w:sz w:val="24"/>
              </w:rPr>
            </w:pPr>
            <w:r>
              <w:rPr>
                <w:rFonts w:hint="eastAsia" w:ascii="仿宋" w:hAnsi="仿宋" w:eastAsia="仿宋" w:cs="仿宋"/>
                <w:b w:val="0"/>
                <w:bCs w:val="0"/>
                <w:color w:val="auto"/>
                <w:sz w:val="24"/>
              </w:rPr>
              <w:t>5</w:t>
            </w:r>
          </w:p>
        </w:tc>
        <w:tc>
          <w:tcPr>
            <w:tcW w:w="2141" w:type="dxa"/>
            <w:vAlign w:val="center"/>
          </w:tcPr>
          <w:p w14:paraId="7C40CED3">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保修卡</w:t>
            </w:r>
          </w:p>
        </w:tc>
        <w:tc>
          <w:tcPr>
            <w:tcW w:w="3483" w:type="dxa"/>
            <w:vAlign w:val="center"/>
          </w:tcPr>
          <w:p w14:paraId="3074865A">
            <w:pPr>
              <w:widowControl/>
              <w:jc w:val="center"/>
              <w:textAlignment w:val="center"/>
              <w:rPr>
                <w:rFonts w:ascii="仿宋" w:hAnsi="仿宋" w:eastAsia="仿宋" w:cs="仿宋"/>
                <w:b w:val="0"/>
                <w:bCs w:val="0"/>
                <w:color w:val="auto"/>
                <w:sz w:val="24"/>
              </w:rPr>
            </w:pPr>
          </w:p>
        </w:tc>
        <w:tc>
          <w:tcPr>
            <w:tcW w:w="969" w:type="dxa"/>
            <w:vAlign w:val="center"/>
          </w:tcPr>
          <w:p w14:paraId="1B42B28A">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vAlign w:val="center"/>
          </w:tcPr>
          <w:p w14:paraId="5455067C">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张</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spacing w:line="440" w:lineRule="exact"/>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6</w:t>
            </w:r>
          </w:p>
        </w:tc>
        <w:tc>
          <w:tcPr>
            <w:tcW w:w="2141" w:type="dxa"/>
            <w:vAlign w:val="center"/>
          </w:tcPr>
          <w:p w14:paraId="76C2CDDC">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合格证</w:t>
            </w:r>
          </w:p>
        </w:tc>
        <w:tc>
          <w:tcPr>
            <w:tcW w:w="3483" w:type="dxa"/>
            <w:vAlign w:val="center"/>
          </w:tcPr>
          <w:p w14:paraId="408052FD">
            <w:pPr>
              <w:jc w:val="center"/>
              <w:rPr>
                <w:rFonts w:ascii="仿宋" w:hAnsi="仿宋" w:eastAsia="仿宋" w:cs="仿宋"/>
                <w:b w:val="0"/>
                <w:bCs w:val="0"/>
                <w:color w:val="auto"/>
                <w:sz w:val="24"/>
              </w:rPr>
            </w:pPr>
          </w:p>
        </w:tc>
        <w:tc>
          <w:tcPr>
            <w:tcW w:w="969" w:type="dxa"/>
            <w:vAlign w:val="center"/>
          </w:tcPr>
          <w:p w14:paraId="591A7588">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vAlign w:val="center"/>
          </w:tcPr>
          <w:p w14:paraId="714CC57A">
            <w:pPr>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本</w:t>
            </w:r>
          </w:p>
        </w:tc>
      </w:tr>
    </w:tbl>
    <w:p w14:paraId="5B545655">
      <w:pPr>
        <w:spacing w:line="440" w:lineRule="exact"/>
        <w:rPr>
          <w:rFonts w:ascii="仿宋" w:hAnsi="仿宋" w:eastAsia="仿宋" w:cs="仿宋"/>
          <w:b/>
          <w:color w:val="auto"/>
          <w:sz w:val="24"/>
        </w:rPr>
      </w:pPr>
    </w:p>
    <w:p w14:paraId="11AD96EA">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商务要求：</w:t>
      </w:r>
    </w:p>
    <w:p w14:paraId="751AF881">
      <w:pPr>
        <w:spacing w:line="440" w:lineRule="exact"/>
        <w:rPr>
          <w:rFonts w:ascii="仿宋" w:hAnsi="仿宋" w:eastAsia="仿宋" w:cs="仿宋"/>
          <w:b/>
          <w:color w:val="auto"/>
          <w:sz w:val="24"/>
        </w:rPr>
      </w:pPr>
      <w:r>
        <w:rPr>
          <w:rFonts w:hint="eastAsia" w:ascii="仿宋" w:hAnsi="仿宋" w:eastAsia="仿宋" w:cs="仿宋"/>
          <w:b/>
          <w:color w:val="auto"/>
          <w:sz w:val="24"/>
        </w:rPr>
        <w:t>1.交货及安装、验收要求</w:t>
      </w:r>
    </w:p>
    <w:p w14:paraId="775C65E0">
      <w:pPr>
        <w:spacing w:line="440" w:lineRule="exact"/>
        <w:rPr>
          <w:rFonts w:ascii="仿宋" w:hAnsi="仿宋" w:eastAsia="仿宋" w:cs="仿宋"/>
          <w:color w:val="auto"/>
          <w:sz w:val="24"/>
        </w:rPr>
      </w:pPr>
      <w:r>
        <w:rPr>
          <w:rFonts w:hint="eastAsia" w:ascii="仿宋" w:hAnsi="仿宋" w:eastAsia="仿宋" w:cs="仿宋"/>
          <w:color w:val="auto"/>
          <w:sz w:val="24"/>
        </w:rPr>
        <w:t>1.1交货地点：采购人指定地点。</w:t>
      </w:r>
    </w:p>
    <w:p w14:paraId="1C8A2698">
      <w:pPr>
        <w:spacing w:line="440" w:lineRule="exact"/>
        <w:rPr>
          <w:rFonts w:ascii="仿宋" w:hAnsi="仿宋" w:eastAsia="仿宋" w:cs="仿宋"/>
          <w:color w:val="auto"/>
          <w:sz w:val="24"/>
        </w:rPr>
      </w:pPr>
      <w:r>
        <w:rPr>
          <w:rFonts w:hint="eastAsia" w:ascii="仿宋" w:hAnsi="仿宋" w:eastAsia="仿宋" w:cs="仿宋"/>
          <w:color w:val="auto"/>
          <w:sz w:val="24"/>
        </w:rPr>
        <w:t>1.2交货期：中标供应商应当在中标通知书发出之日起30日内按</w:t>
      </w:r>
      <w:r>
        <w:rPr>
          <w:rFonts w:hint="eastAsia" w:ascii="仿宋" w:hAnsi="仿宋" w:eastAsia="仿宋" w:cs="仿宋"/>
          <w:color w:val="auto"/>
          <w:sz w:val="24"/>
          <w:lang w:eastAsia="zh-CN"/>
        </w:rPr>
        <w:t>采购需求</w:t>
      </w:r>
      <w:r>
        <w:rPr>
          <w:rFonts w:hint="eastAsia" w:ascii="仿宋" w:hAnsi="仿宋" w:eastAsia="仿宋" w:cs="仿宋"/>
          <w:color w:val="auto"/>
          <w:sz w:val="24"/>
        </w:rPr>
        <w:t>及中标人的投标文件确定的事项与采购人签订合同，签订合同后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rPr>
        <w:t>日内完成设备的安装调试。</w:t>
      </w:r>
    </w:p>
    <w:p w14:paraId="27D3BB04">
      <w:pPr>
        <w:spacing w:line="440" w:lineRule="exact"/>
        <w:rPr>
          <w:rFonts w:hint="eastAsia" w:ascii="仿宋" w:hAnsi="仿宋" w:eastAsia="仿宋" w:cs="仿宋"/>
          <w:color w:val="auto"/>
          <w:sz w:val="24"/>
          <w:highlight w:val="yellow"/>
          <w:lang w:eastAsia="zh-CN"/>
        </w:rPr>
      </w:pPr>
      <w:r>
        <w:rPr>
          <w:rFonts w:hint="eastAsia" w:ascii="仿宋" w:hAnsi="仿宋" w:eastAsia="仿宋" w:cs="仿宋"/>
          <w:color w:val="auto"/>
          <w:sz w:val="24"/>
        </w:rPr>
        <w:t>1.3中标供应商须保证中标后所提供的设备为原装、全新合格的产品</w:t>
      </w:r>
      <w:r>
        <w:rPr>
          <w:rFonts w:hint="eastAsia" w:ascii="仿宋" w:hAnsi="仿宋" w:eastAsia="仿宋" w:cs="仿宋"/>
          <w:color w:val="auto"/>
          <w:sz w:val="24"/>
          <w:lang w:eastAsia="zh-CN"/>
        </w:rPr>
        <w:t>；</w:t>
      </w:r>
      <w:r>
        <w:rPr>
          <w:rFonts w:hint="eastAsia" w:ascii="仿宋" w:hAnsi="仿宋" w:eastAsia="仿宋" w:cs="仿宋"/>
          <w:color w:val="auto"/>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auto"/>
          <w:sz w:val="24"/>
        </w:rPr>
      </w:pPr>
      <w:r>
        <w:rPr>
          <w:rFonts w:hint="eastAsia" w:ascii="仿宋" w:hAnsi="仿宋" w:eastAsia="仿宋" w:cs="仿宋"/>
          <w:color w:val="auto"/>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auto"/>
          <w:sz w:val="24"/>
        </w:rPr>
      </w:pPr>
      <w:r>
        <w:rPr>
          <w:rFonts w:hint="eastAsia" w:ascii="仿宋" w:hAnsi="仿宋" w:eastAsia="仿宋" w:cs="仿宋"/>
          <w:color w:val="auto"/>
          <w:sz w:val="24"/>
        </w:rPr>
        <w:t>1.5验收方式：按《小榄镇</w:t>
      </w:r>
      <w:r>
        <w:rPr>
          <w:rFonts w:hint="eastAsia" w:ascii="仿宋" w:hAnsi="仿宋" w:eastAsia="仿宋" w:cs="仿宋"/>
          <w:color w:val="auto"/>
          <w:sz w:val="24"/>
          <w:lang w:eastAsia="zh-CN"/>
        </w:rPr>
        <w:t>公立</w:t>
      </w:r>
      <w:r>
        <w:rPr>
          <w:rFonts w:hint="eastAsia" w:ascii="仿宋" w:hAnsi="仿宋" w:eastAsia="仿宋" w:cs="仿宋"/>
          <w:color w:val="auto"/>
          <w:sz w:val="24"/>
        </w:rPr>
        <w:t>医院</w:t>
      </w:r>
      <w:r>
        <w:rPr>
          <w:rFonts w:hint="eastAsia" w:ascii="仿宋" w:hAnsi="仿宋" w:eastAsia="仿宋" w:cs="仿宋"/>
          <w:color w:val="auto"/>
          <w:sz w:val="24"/>
          <w:lang w:eastAsia="zh-CN"/>
        </w:rPr>
        <w:t>政府</w:t>
      </w:r>
      <w:r>
        <w:rPr>
          <w:rFonts w:hint="eastAsia" w:ascii="仿宋" w:hAnsi="仿宋" w:eastAsia="仿宋" w:cs="仿宋"/>
          <w:color w:val="auto"/>
          <w:sz w:val="24"/>
        </w:rPr>
        <w:t>采购和验收</w:t>
      </w:r>
      <w:r>
        <w:rPr>
          <w:rFonts w:hint="eastAsia" w:ascii="仿宋" w:hAnsi="仿宋" w:eastAsia="仿宋" w:cs="仿宋"/>
          <w:color w:val="auto"/>
          <w:sz w:val="24"/>
          <w:lang w:eastAsia="zh-CN"/>
        </w:rPr>
        <w:t>办法</w:t>
      </w:r>
      <w:r>
        <w:rPr>
          <w:rFonts w:hint="eastAsia" w:ascii="仿宋" w:hAnsi="仿宋" w:eastAsia="仿宋" w:cs="仿宋"/>
          <w:color w:val="auto"/>
          <w:sz w:val="24"/>
        </w:rPr>
        <w:t>》。</w:t>
      </w:r>
    </w:p>
    <w:p w14:paraId="37607C9E">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auto"/>
          <w:sz w:val="24"/>
        </w:rPr>
      </w:pPr>
      <w:r>
        <w:rPr>
          <w:rFonts w:hint="eastAsia" w:ascii="仿宋" w:hAnsi="仿宋" w:eastAsia="仿宋" w:cs="仿宋"/>
          <w:b/>
          <w:color w:val="auto"/>
          <w:sz w:val="24"/>
        </w:rPr>
        <w:t>2.售后服务要求</w:t>
      </w:r>
    </w:p>
    <w:p w14:paraId="2B351F45">
      <w:pPr>
        <w:tabs>
          <w:tab w:val="left" w:pos="420"/>
        </w:tabs>
        <w:spacing w:line="440" w:lineRule="exact"/>
        <w:rPr>
          <w:rFonts w:ascii="仿宋" w:hAnsi="仿宋" w:eastAsia="仿宋" w:cs="仿宋"/>
          <w:color w:val="auto"/>
          <w:sz w:val="24"/>
        </w:rPr>
      </w:pPr>
      <w:r>
        <w:rPr>
          <w:rFonts w:hint="eastAsia" w:ascii="仿宋" w:hAnsi="仿宋" w:eastAsia="仿宋" w:cs="仿宋"/>
          <w:color w:val="auto"/>
          <w:sz w:val="24"/>
        </w:rPr>
        <w:t>2.1中标供应商必须在中国境内有售后服务机构，并附有售后服务能力说明。</w:t>
      </w:r>
    </w:p>
    <w:p w14:paraId="70FB5255">
      <w:pPr>
        <w:spacing w:line="440" w:lineRule="exact"/>
        <w:rPr>
          <w:rFonts w:ascii="仿宋" w:hAnsi="仿宋" w:eastAsia="仿宋" w:cs="仿宋"/>
          <w:color w:val="auto"/>
          <w:sz w:val="24"/>
        </w:rPr>
      </w:pPr>
      <w:r>
        <w:rPr>
          <w:rFonts w:hint="eastAsia" w:ascii="仿宋" w:hAnsi="仿宋" w:eastAsia="仿宋" w:cs="仿宋"/>
          <w:color w:val="auto"/>
          <w:sz w:val="24"/>
        </w:rPr>
        <w:t>★2.2中标供应商须提供设备原厂质保（设备原厂质量保修范围和保修期）至少</w:t>
      </w:r>
      <w:r>
        <w:rPr>
          <w:rFonts w:hint="eastAsia" w:ascii="仿宋" w:hAnsi="仿宋" w:eastAsia="仿宋" w:cs="仿宋"/>
          <w:b/>
          <w:bCs/>
          <w:color w:val="auto"/>
          <w:sz w:val="24"/>
          <w:highlight w:val="yellow"/>
        </w:rPr>
        <w:t>为</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u w:val="single"/>
          <w:lang w:val="en-US" w:eastAsia="zh-CN"/>
        </w:rPr>
        <w:t>3</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rPr>
        <w:t>年。</w:t>
      </w:r>
    </w:p>
    <w:p w14:paraId="34C701EB">
      <w:pPr>
        <w:spacing w:line="440" w:lineRule="exact"/>
        <w:rPr>
          <w:rFonts w:ascii="仿宋" w:hAnsi="仿宋" w:eastAsia="仿宋" w:cs="仿宋"/>
          <w:color w:val="auto"/>
          <w:sz w:val="24"/>
        </w:rPr>
      </w:pPr>
      <w:r>
        <w:rPr>
          <w:rFonts w:hint="eastAsia" w:ascii="仿宋" w:hAnsi="仿宋" w:eastAsia="仿宋" w:cs="仿宋"/>
          <w:color w:val="auto"/>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auto"/>
          <w:sz w:val="24"/>
        </w:rPr>
      </w:pPr>
      <w:r>
        <w:rPr>
          <w:rFonts w:hint="eastAsia" w:ascii="仿宋" w:hAnsi="仿宋" w:eastAsia="仿宋" w:cs="仿宋"/>
          <w:color w:val="auto"/>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auto"/>
          <w:sz w:val="24"/>
        </w:rPr>
      </w:pPr>
    </w:p>
    <w:p w14:paraId="5BC1A48F">
      <w:pPr>
        <w:spacing w:line="440" w:lineRule="exact"/>
        <w:rPr>
          <w:rFonts w:ascii="仿宋" w:hAnsi="仿宋" w:eastAsia="仿宋" w:cs="仿宋"/>
          <w:b/>
          <w:color w:val="auto"/>
          <w:sz w:val="24"/>
        </w:rPr>
      </w:pPr>
      <w:r>
        <w:rPr>
          <w:rFonts w:hint="eastAsia" w:ascii="仿宋" w:hAnsi="仿宋" w:eastAsia="仿宋" w:cs="仿宋"/>
          <w:b/>
          <w:color w:val="auto"/>
          <w:sz w:val="24"/>
        </w:rPr>
        <w:t>3.付款方式</w:t>
      </w:r>
    </w:p>
    <w:p w14:paraId="2B3E1177">
      <w:pPr>
        <w:spacing w:line="440" w:lineRule="exact"/>
        <w:rPr>
          <w:rFonts w:ascii="仿宋" w:hAnsi="仿宋" w:eastAsia="仿宋" w:cs="仿宋"/>
          <w:color w:val="auto"/>
          <w:sz w:val="24"/>
        </w:rPr>
      </w:pPr>
      <w:r>
        <w:rPr>
          <w:rFonts w:hint="eastAsia" w:ascii="仿宋" w:hAnsi="仿宋" w:eastAsia="仿宋" w:cs="仿宋"/>
          <w:color w:val="auto"/>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w:t>
      </w:r>
    </w:p>
    <w:p w14:paraId="0C995C9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（2）验收调试合格报告（加盖采购人公章）；</w:t>
      </w:r>
    </w:p>
    <w:p w14:paraId="1BE3E546">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（3）中标供应商开具的正式发票（加盖发票专用章）。</w:t>
      </w:r>
    </w:p>
    <w:p w14:paraId="4C1E8C7A">
      <w:pPr>
        <w:spacing w:line="440" w:lineRule="exact"/>
        <w:rPr>
          <w:rFonts w:ascii="仿宋" w:hAnsi="仿宋" w:eastAsia="仿宋" w:cs="仿宋"/>
          <w:color w:val="auto"/>
          <w:sz w:val="24"/>
        </w:rPr>
      </w:pPr>
      <w:r>
        <w:rPr>
          <w:rFonts w:hint="eastAsia" w:ascii="仿宋" w:hAnsi="仿宋" w:eastAsia="仿宋" w:cs="仿宋"/>
          <w:color w:val="auto"/>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auto"/>
          <w:sz w:val="24"/>
          <w:lang w:val="en-US" w:eastAsia="zh-CN"/>
        </w:rPr>
        <w:t>9</w:t>
      </w:r>
      <w:r>
        <w:rPr>
          <w:rFonts w:hint="eastAsia" w:ascii="仿宋" w:hAnsi="仿宋" w:eastAsia="仿宋" w:cs="仿宋"/>
          <w:color w:val="auto"/>
          <w:sz w:val="24"/>
        </w:rPr>
        <w:t>5%；合同总金额的5%</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作为第二期款项，</w:t>
      </w:r>
      <w:r>
        <w:rPr>
          <w:rFonts w:hint="eastAsia" w:ascii="仿宋" w:hAnsi="仿宋" w:eastAsia="仿宋" w:cs="仿宋"/>
          <w:color w:val="auto"/>
          <w:sz w:val="24"/>
        </w:rPr>
        <w:t>在</w:t>
      </w:r>
      <w:r>
        <w:rPr>
          <w:rFonts w:hint="eastAsia" w:ascii="仿宋" w:hAnsi="仿宋" w:eastAsia="仿宋" w:cs="仿宋"/>
          <w:color w:val="auto"/>
          <w:sz w:val="24"/>
          <w:highlight w:val="yellow"/>
          <w:u w:val="single"/>
          <w:lang w:val="en-US" w:eastAsia="zh-CN"/>
        </w:rPr>
        <w:t xml:space="preserve"> 质保期满</w:t>
      </w:r>
      <w:r>
        <w:rPr>
          <w:rFonts w:hint="eastAsia" w:ascii="仿宋" w:hAnsi="仿宋" w:eastAsia="仿宋" w:cs="仿宋"/>
          <w:color w:val="auto"/>
          <w:sz w:val="24"/>
        </w:rPr>
        <w:t>后一次性无息</w:t>
      </w:r>
      <w:r>
        <w:rPr>
          <w:rFonts w:hint="eastAsia" w:ascii="仿宋" w:hAnsi="仿宋" w:eastAsia="仿宋" w:cs="仿宋"/>
          <w:color w:val="auto"/>
          <w:sz w:val="24"/>
          <w:lang w:val="en-US" w:eastAsia="zh-CN"/>
        </w:rPr>
        <w:t>支付</w:t>
      </w:r>
      <w:r>
        <w:rPr>
          <w:rFonts w:hint="eastAsia" w:ascii="仿宋" w:hAnsi="仿宋" w:eastAsia="仿宋" w:cs="仿宋"/>
          <w:color w:val="auto"/>
          <w:sz w:val="24"/>
        </w:rPr>
        <w:t>。</w:t>
      </w:r>
    </w:p>
    <w:p w14:paraId="4AC5BA0C">
      <w:pPr>
        <w:spacing w:line="440" w:lineRule="exact"/>
        <w:rPr>
          <w:color w:val="auto"/>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BDB6FE7D"/>
    <w:multiLevelType w:val="singleLevel"/>
    <w:tmpl w:val="BDB6FE7D"/>
    <w:lvl w:ilvl="0" w:tentative="0">
      <w:start w:val="1"/>
      <w:numFmt w:val="decimal"/>
      <w:lvlText w:val="%1."/>
      <w:lvlJc w:val="left"/>
      <w:pPr>
        <w:tabs>
          <w:tab w:val="left" w:pos="312"/>
        </w:tabs>
      </w:pPr>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1A21B85E"/>
    <w:multiLevelType w:val="singleLevel"/>
    <w:tmpl w:val="1A21B85E"/>
    <w:lvl w:ilvl="0" w:tentative="0">
      <w:start w:val="1"/>
      <w:numFmt w:val="decimal"/>
      <w:suff w:val="nothing"/>
      <w:lvlText w:val="（%1）"/>
      <w:lvlJc w:val="left"/>
    </w:lvl>
  </w:abstractNum>
  <w:abstractNum w:abstractNumId="4">
    <w:nsid w:val="1E7E8738"/>
    <w:multiLevelType w:val="singleLevel"/>
    <w:tmpl w:val="1E7E8738"/>
    <w:lvl w:ilvl="0" w:tentative="0">
      <w:start w:val="1"/>
      <w:numFmt w:val="chineseCounting"/>
      <w:suff w:val="nothing"/>
      <w:lvlText w:val="%1、"/>
      <w:lvlJc w:val="left"/>
      <w:rPr>
        <w:rFonts w:hint="eastAsia"/>
      </w:rPr>
    </w:lvl>
  </w:abstractNum>
  <w:abstractNum w:abstractNumId="5">
    <w:nsid w:val="2BF6058A"/>
    <w:multiLevelType w:val="singleLevel"/>
    <w:tmpl w:val="2BF6058A"/>
    <w:lvl w:ilvl="0" w:tentative="0">
      <w:start w:val="10"/>
      <w:numFmt w:val="decimal"/>
      <w:lvlText w:val="%1."/>
      <w:lvlJc w:val="left"/>
      <w:pPr>
        <w:tabs>
          <w:tab w:val="left" w:pos="312"/>
        </w:tabs>
      </w:pPr>
    </w:lvl>
  </w:abstractNum>
  <w:abstractNum w:abstractNumId="6">
    <w:nsid w:val="3CC1C2D7"/>
    <w:multiLevelType w:val="singleLevel"/>
    <w:tmpl w:val="3CC1C2D7"/>
    <w:lvl w:ilvl="0" w:tentative="0">
      <w:start w:val="1"/>
      <w:numFmt w:val="chineseCounting"/>
      <w:suff w:val="nothing"/>
      <w:lvlText w:val="%1、"/>
      <w:lvlJc w:val="left"/>
      <w:rPr>
        <w:rFonts w:hint="eastAsia"/>
      </w:rPr>
    </w:lvl>
  </w:abstractNum>
  <w:abstractNum w:abstractNumId="7">
    <w:nsid w:val="4889541A"/>
    <w:multiLevelType w:val="singleLevel"/>
    <w:tmpl w:val="4889541A"/>
    <w:lvl w:ilvl="0" w:tentative="0">
      <w:start w:val="1"/>
      <w:numFmt w:val="decimal"/>
      <w:lvlText w:val="%1."/>
      <w:lvlJc w:val="left"/>
      <w:pPr>
        <w:tabs>
          <w:tab w:val="left" w:pos="312"/>
        </w:tabs>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1A7875"/>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6120E1"/>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A6081B"/>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1413</Words>
  <Characters>1444</Characters>
  <Lines>5</Lines>
  <Paragraphs>1</Paragraphs>
  <TotalTime>0</TotalTime>
  <ScaleCrop>false</ScaleCrop>
  <LinksUpToDate>false</LinksUpToDate>
  <CharactersWithSpaces>1485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2025-04-27T00:47:55Z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