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2C7A49" w:rsidP="00055341">
            <w:pPr>
              <w:spacing w:line="440" w:lineRule="exact"/>
              <w:jc w:val="center"/>
              <w:rPr>
                <w:rFonts w:ascii="仿宋" w:eastAsia="仿宋" w:hAnsi="仿宋" w:cs="仿宋"/>
                <w:color w:val="000000"/>
                <w:sz w:val="24"/>
              </w:rPr>
            </w:pPr>
            <w:r w:rsidRPr="002C7A49">
              <w:rPr>
                <w:rFonts w:ascii="仿宋" w:eastAsia="仿宋" w:hAnsi="仿宋" w:cs="仿宋" w:hint="eastAsia"/>
                <w:color w:val="000000" w:themeColor="text1"/>
                <w:sz w:val="24"/>
              </w:rPr>
              <w:t>全自动免疫组化染色机</w:t>
            </w:r>
          </w:p>
        </w:tc>
        <w:tc>
          <w:tcPr>
            <w:tcW w:w="1957" w:type="dxa"/>
          </w:tcPr>
          <w:p w:rsidR="00924934" w:rsidRPr="00055341" w:rsidRDefault="002C7A49"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themeColor="text1"/>
                <w:sz w:val="24"/>
              </w:rPr>
              <w:t>病理科</w:t>
            </w:r>
          </w:p>
        </w:tc>
        <w:tc>
          <w:tcPr>
            <w:tcW w:w="1916" w:type="dxa"/>
            <w:vAlign w:val="center"/>
          </w:tcPr>
          <w:p w:rsidR="00924934" w:rsidRPr="00F56E6B" w:rsidRDefault="00581B14"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1</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w:t>
      </w:r>
      <w:bookmarkStart w:id="0" w:name="OLE_LINK3"/>
      <w:r w:rsidR="002C7A49">
        <w:rPr>
          <w:rFonts w:ascii="仿宋" w:eastAsia="仿宋" w:hAnsi="仿宋" w:cs="仿宋" w:hint="eastAsia"/>
          <w:color w:val="000000" w:themeColor="text1"/>
          <w:sz w:val="24"/>
        </w:rPr>
        <w:t>全自动免疫组化染色机主机、工作平台终端</w:t>
      </w:r>
      <w:bookmarkEnd w:id="0"/>
      <w:r w:rsidR="002C7A49">
        <w:rPr>
          <w:rFonts w:ascii="仿宋" w:eastAsia="仿宋" w:hAnsi="仿宋" w:cs="仿宋" w:hint="eastAsia"/>
          <w:color w:val="000000" w:themeColor="text1"/>
          <w:sz w:val="24"/>
        </w:rPr>
        <w:t>。</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2C7A49">
        <w:rPr>
          <w:rFonts w:ascii="仿宋" w:eastAsia="仿宋" w:hAnsi="仿宋" w:cs="仿宋" w:hint="eastAsia"/>
          <w:color w:val="000000" w:themeColor="text1"/>
          <w:sz w:val="24"/>
        </w:rPr>
        <w:t>应用于免疫组织化学、免疫细胞化学、多重荧光染色、荧光原位杂交、原位杂交等染色程序。</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2C7A49">
        <w:trPr>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t>1</w:t>
            </w:r>
            <w:bookmarkStart w:id="1" w:name="OLE_LINK4"/>
            <w:bookmarkStart w:id="2" w:name="OLE_LINK5"/>
            <w:r>
              <w:rPr>
                <w:rFonts w:ascii="仿宋" w:eastAsia="仿宋" w:hAnsi="仿宋" w:cs="仿宋" w:hint="eastAsia"/>
                <w:color w:val="000000"/>
                <w:sz w:val="24"/>
              </w:rPr>
              <w:t>▲</w:t>
            </w:r>
            <w:bookmarkEnd w:id="1"/>
            <w:bookmarkEnd w:id="2"/>
          </w:p>
        </w:tc>
        <w:tc>
          <w:tcPr>
            <w:tcW w:w="7599" w:type="dxa"/>
          </w:tcPr>
          <w:p w:rsidR="002C7A49" w:rsidRPr="00514E07" w:rsidRDefault="002C7A49" w:rsidP="002C7A49">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每张切片的染色模块可以单独拆卸，便于维护及维修。</w:t>
            </w:r>
          </w:p>
        </w:tc>
      </w:tr>
      <w:tr w:rsidR="002C7A49">
        <w:trPr>
          <w:jc w:val="center"/>
        </w:trPr>
        <w:tc>
          <w:tcPr>
            <w:tcW w:w="696" w:type="dxa"/>
          </w:tcPr>
          <w:p w:rsidR="002C7A49" w:rsidRDefault="002C7A49"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2C7A49" w:rsidRPr="00514E07" w:rsidRDefault="002C7A49" w:rsidP="002C7A49">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具备普通型、超敏型及linker增强剂等不同的二抗组合，满足科室对染色强度的多种需求；完整的二抗系统应包含但不限于免疫显色试剂、</w:t>
            </w:r>
            <w:r w:rsidRPr="00514E07">
              <w:rPr>
                <w:rFonts w:ascii="仿宋" w:eastAsia="仿宋" w:hAnsi="仿宋" w:cs="仿宋" w:hint="eastAsia"/>
                <w:bCs/>
                <w:color w:val="000000" w:themeColor="text1"/>
                <w:sz w:val="24"/>
              </w:rPr>
              <w:lastRenderedPageBreak/>
              <w:t>样本释放剂、免疫组化抗原修复缓冲液（pH6.0）、免疫组化抗原修复缓冲液（pH9.0）、清洗液、返蓝染色液、Linker</w:t>
            </w:r>
            <w:r>
              <w:rPr>
                <w:rFonts w:ascii="仿宋" w:eastAsia="仿宋" w:hAnsi="仿宋" w:cs="仿宋" w:hint="eastAsia"/>
                <w:bCs/>
                <w:color w:val="000000" w:themeColor="text1"/>
                <w:sz w:val="24"/>
              </w:rPr>
              <w:t>增强液。</w:t>
            </w:r>
            <w:r w:rsidRPr="00514E07">
              <w:rPr>
                <w:rFonts w:ascii="仿宋" w:eastAsia="仿宋" w:hAnsi="仿宋" w:cs="仿宋"/>
                <w:bCs/>
                <w:color w:val="000000" w:themeColor="text1"/>
                <w:sz w:val="24"/>
              </w:rPr>
              <w:t xml:space="preserve"> </w:t>
            </w:r>
          </w:p>
        </w:tc>
      </w:tr>
      <w:tr w:rsidR="002C7A49">
        <w:trPr>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w:t>
            </w:r>
          </w:p>
        </w:tc>
        <w:tc>
          <w:tcPr>
            <w:tcW w:w="7599" w:type="dxa"/>
          </w:tcPr>
          <w:p w:rsidR="002C7A49" w:rsidRPr="00514E07" w:rsidRDefault="002C7A49" w:rsidP="002C7A49">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具备多功能染色：支持免疫组织化学、免疫细胞化学、并行与顺次双染、多重荧光染色、荧光原位杂交、原位杂交、HE</w:t>
            </w:r>
            <w:r>
              <w:rPr>
                <w:rFonts w:ascii="仿宋" w:eastAsia="仿宋" w:hAnsi="仿宋" w:cs="仿宋" w:hint="eastAsia"/>
                <w:bCs/>
                <w:color w:val="000000" w:themeColor="text1"/>
                <w:sz w:val="24"/>
              </w:rPr>
              <w:t>染色、快红红染等多种染色程序</w:t>
            </w:r>
            <w:r w:rsidRPr="00514E07">
              <w:rPr>
                <w:rFonts w:ascii="仿宋" w:eastAsia="仿宋" w:hAnsi="仿宋" w:cs="仿宋"/>
                <w:bCs/>
                <w:color w:val="000000" w:themeColor="text1"/>
                <w:sz w:val="24"/>
              </w:rPr>
              <w:t xml:space="preserve"> </w:t>
            </w:r>
          </w:p>
        </w:tc>
      </w:tr>
      <w:tr w:rsidR="002C7A49" w:rsidTr="00924934">
        <w:trPr>
          <w:trHeight w:val="505"/>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设备性能具有高度拓展性，可提供与设备同一生产厂家的多重荧光免疫组化试剂，支持科研工作开展；</w:t>
            </w:r>
          </w:p>
        </w:tc>
      </w:tr>
      <w:tr w:rsidR="002C7A49">
        <w:trPr>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台式机</w:t>
            </w:r>
            <w:r>
              <w:rPr>
                <w:rFonts w:ascii="仿宋" w:eastAsia="仿宋" w:hAnsi="仿宋" w:cs="仿宋" w:hint="eastAsia"/>
                <w:bCs/>
                <w:color w:val="000000" w:themeColor="text1"/>
                <w:sz w:val="24"/>
              </w:rPr>
              <w:t>，具备固体液盖膜技术，每一张切片使用独立的模块加热，具备从室温到</w:t>
            </w:r>
            <w:r w:rsidRPr="00514E07">
              <w:rPr>
                <w:rFonts w:ascii="仿宋" w:eastAsia="仿宋" w:hAnsi="仿宋" w:cs="仿宋" w:hint="eastAsia"/>
                <w:bCs/>
                <w:color w:val="000000" w:themeColor="text1"/>
                <w:sz w:val="24"/>
              </w:rPr>
              <w:t>100℃</w:t>
            </w:r>
            <w:r>
              <w:rPr>
                <w:rFonts w:ascii="仿宋" w:eastAsia="仿宋" w:hAnsi="仿宋" w:cs="仿宋" w:hint="eastAsia"/>
                <w:bCs/>
                <w:color w:val="000000" w:themeColor="text1"/>
                <w:sz w:val="24"/>
              </w:rPr>
              <w:t>及以上</w:t>
            </w:r>
            <w:r w:rsidRPr="00514E07">
              <w:rPr>
                <w:rFonts w:ascii="仿宋" w:eastAsia="仿宋" w:hAnsi="仿宋" w:cs="仿宋" w:hint="eastAsia"/>
                <w:bCs/>
                <w:color w:val="000000" w:themeColor="text1"/>
                <w:sz w:val="24"/>
              </w:rPr>
              <w:t>的加热功能；单台设备可同时染色≥35张切片，染色全过程中，玻片始终处于水平放置状态,并可实现连续加载，每轮时间≤3.5h；</w:t>
            </w:r>
          </w:p>
        </w:tc>
      </w:tr>
      <w:tr w:rsidR="002C7A49">
        <w:trPr>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t>6</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盖膜使用寿命</w:t>
            </w:r>
            <w:r>
              <w:rPr>
                <w:rFonts w:ascii="仿宋" w:eastAsia="仿宋" w:hAnsi="仿宋" w:cs="仿宋" w:hint="eastAsia"/>
                <w:bCs/>
                <w:color w:val="000000" w:themeColor="text1"/>
                <w:sz w:val="24"/>
              </w:rPr>
              <w:t>至少满足</w:t>
            </w:r>
            <w:r w:rsidRPr="00514E07">
              <w:rPr>
                <w:rFonts w:ascii="仿宋" w:eastAsia="仿宋" w:hAnsi="仿宋" w:cs="仿宋" w:hint="eastAsia"/>
                <w:bCs/>
                <w:color w:val="000000" w:themeColor="text1"/>
                <w:sz w:val="24"/>
              </w:rPr>
              <w:t>30-100次。</w:t>
            </w:r>
          </w:p>
        </w:tc>
      </w:tr>
      <w:tr w:rsidR="002C7A49">
        <w:trPr>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bCs/>
                <w:color w:val="000000" w:themeColor="text1"/>
                <w:sz w:val="24"/>
              </w:rPr>
              <w:t>能全自动完成从脱蜡、抗原修复、染色、预处理、杂交后清洗，样本可以是冰冻切片、石蜡包埋样本切片、穿刺标本、骨髓穿刺标本、组织芯片及各类型细胞学样品的薄层细胞制片；</w:t>
            </w:r>
          </w:p>
        </w:tc>
      </w:tr>
      <w:tr w:rsidR="002C7A49">
        <w:trPr>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加样方式：抗体加样量根据标本大小，抗体滴液用量≤130ul；</w:t>
            </w:r>
          </w:p>
        </w:tc>
      </w:tr>
      <w:tr w:rsidR="002C7A49">
        <w:trPr>
          <w:jc w:val="center"/>
        </w:trPr>
        <w:tc>
          <w:tcPr>
            <w:tcW w:w="696" w:type="dxa"/>
          </w:tcPr>
          <w:p w:rsidR="002C7A49" w:rsidRDefault="002C7A49">
            <w:pPr>
              <w:spacing w:line="440" w:lineRule="exact"/>
              <w:rPr>
                <w:rFonts w:ascii="仿宋" w:eastAsia="仿宋" w:hAnsi="仿宋" w:cs="仿宋"/>
                <w:color w:val="000000"/>
                <w:sz w:val="24"/>
              </w:rPr>
            </w:pPr>
            <w:r>
              <w:rPr>
                <w:rFonts w:ascii="仿宋" w:eastAsia="仿宋" w:hAnsi="仿宋" w:cs="仿宋" w:hint="eastAsia"/>
                <w:color w:val="000000"/>
                <w:sz w:val="24"/>
              </w:rPr>
              <w:t>9</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 xml:space="preserve">节约环保设计：为减少试剂浪费，要求试剂瓶V型底设计；同时为节约试剂瓶占用空间，更便于操作，上机试剂瓶总数≤40个；大容量辅助试剂（&gt;1L/瓶）不多于1种，可实现在线添加； </w:t>
            </w:r>
          </w:p>
        </w:tc>
      </w:tr>
      <w:tr w:rsidR="002C7A49">
        <w:trPr>
          <w:jc w:val="center"/>
        </w:trPr>
        <w:tc>
          <w:tcPr>
            <w:tcW w:w="696" w:type="dxa"/>
          </w:tcPr>
          <w:p w:rsidR="002C7A49" w:rsidRDefault="002C7A49" w:rsidP="002B351A">
            <w:pPr>
              <w:spacing w:line="440" w:lineRule="exact"/>
              <w:rPr>
                <w:rFonts w:ascii="仿宋" w:eastAsia="仿宋" w:hAnsi="仿宋" w:cs="仿宋"/>
                <w:color w:val="000000"/>
                <w:sz w:val="24"/>
              </w:rPr>
            </w:pPr>
            <w:r>
              <w:rPr>
                <w:rFonts w:ascii="仿宋" w:eastAsia="仿宋" w:hAnsi="仿宋" w:cs="仿宋" w:hint="eastAsia"/>
                <w:color w:val="000000"/>
                <w:sz w:val="24"/>
              </w:rPr>
              <w:t>10</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孵育及清洗方式</w:t>
            </w:r>
            <w:r>
              <w:rPr>
                <w:rFonts w:ascii="仿宋" w:eastAsia="仿宋" w:hAnsi="仿宋" w:cs="仿宋" w:hint="eastAsia"/>
                <w:bCs/>
                <w:color w:val="000000" w:themeColor="text1"/>
                <w:sz w:val="24"/>
              </w:rPr>
              <w:t>满足：</w:t>
            </w:r>
            <w:r w:rsidRPr="00514E07">
              <w:rPr>
                <w:rFonts w:ascii="仿宋" w:eastAsia="仿宋" w:hAnsi="仿宋" w:cs="仿宋" w:hint="eastAsia"/>
                <w:bCs/>
                <w:color w:val="000000" w:themeColor="text1"/>
                <w:sz w:val="24"/>
              </w:rPr>
              <w:t>缩短染色时间，确保清洗彻底，背景清晰；</w:t>
            </w:r>
          </w:p>
        </w:tc>
      </w:tr>
      <w:tr w:rsidR="002C7A49">
        <w:trPr>
          <w:jc w:val="center"/>
        </w:trPr>
        <w:tc>
          <w:tcPr>
            <w:tcW w:w="696" w:type="dxa"/>
          </w:tcPr>
          <w:p w:rsidR="002C7A49" w:rsidRDefault="002C7A49" w:rsidP="002B351A">
            <w:pPr>
              <w:spacing w:line="440" w:lineRule="exact"/>
              <w:rPr>
                <w:rFonts w:ascii="仿宋" w:eastAsia="仿宋" w:hAnsi="仿宋" w:cs="仿宋"/>
                <w:color w:val="000000"/>
                <w:sz w:val="24"/>
              </w:rPr>
            </w:pPr>
            <w:r>
              <w:rPr>
                <w:rFonts w:ascii="仿宋" w:eastAsia="仿宋" w:hAnsi="仿宋" w:cs="仿宋" w:hint="eastAsia"/>
                <w:color w:val="000000"/>
                <w:sz w:val="24"/>
              </w:rPr>
              <w:t>11</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操作软件系统：具备延时运行功能，可过夜运行，设备与软件断开情况下，染色程序仍可继续运行；操作系统及控制软件均为全中文界面，可与医院信息系统</w:t>
            </w:r>
            <w:r>
              <w:rPr>
                <w:rFonts w:ascii="仿宋" w:eastAsia="仿宋" w:hAnsi="仿宋" w:cs="仿宋" w:hint="eastAsia"/>
                <w:bCs/>
                <w:color w:val="000000" w:themeColor="text1"/>
                <w:sz w:val="24"/>
              </w:rPr>
              <w:t xml:space="preserve"> H</w:t>
            </w:r>
            <w:r w:rsidRPr="00514E07">
              <w:rPr>
                <w:rFonts w:ascii="仿宋" w:eastAsia="仿宋" w:hAnsi="仿宋" w:cs="仿宋" w:hint="eastAsia"/>
                <w:bCs/>
                <w:color w:val="000000" w:themeColor="text1"/>
                <w:sz w:val="24"/>
              </w:rPr>
              <w:t xml:space="preserve">IS </w:t>
            </w:r>
            <w:r w:rsidR="00E76730">
              <w:rPr>
                <w:rFonts w:ascii="仿宋" w:eastAsia="仿宋" w:hAnsi="仿宋" w:cs="仿宋" w:hint="eastAsia"/>
                <w:bCs/>
                <w:color w:val="000000" w:themeColor="text1"/>
                <w:sz w:val="24"/>
              </w:rPr>
              <w:t>、LIS</w:t>
            </w:r>
            <w:r w:rsidRPr="00514E07">
              <w:rPr>
                <w:rFonts w:ascii="仿宋" w:eastAsia="仿宋" w:hAnsi="仿宋" w:cs="仿宋" w:hint="eastAsia"/>
                <w:bCs/>
                <w:color w:val="000000" w:themeColor="text1"/>
                <w:sz w:val="24"/>
              </w:rPr>
              <w:t>连接；</w:t>
            </w:r>
          </w:p>
        </w:tc>
      </w:tr>
      <w:tr w:rsidR="002C7A49">
        <w:trPr>
          <w:jc w:val="center"/>
        </w:trPr>
        <w:tc>
          <w:tcPr>
            <w:tcW w:w="696" w:type="dxa"/>
          </w:tcPr>
          <w:p w:rsidR="002C7A49" w:rsidRDefault="002C7A49" w:rsidP="002B351A">
            <w:pPr>
              <w:spacing w:line="440" w:lineRule="exact"/>
              <w:rPr>
                <w:rFonts w:ascii="仿宋" w:eastAsia="仿宋" w:hAnsi="仿宋" w:cs="仿宋"/>
                <w:color w:val="000000"/>
                <w:sz w:val="24"/>
              </w:rPr>
            </w:pPr>
            <w:r>
              <w:rPr>
                <w:rFonts w:ascii="仿宋" w:eastAsia="仿宋" w:hAnsi="仿宋" w:cs="仿宋" w:hint="eastAsia"/>
                <w:color w:val="000000"/>
                <w:sz w:val="24"/>
              </w:rPr>
              <w:t>12</w:t>
            </w:r>
            <w:r w:rsidR="00E76730">
              <w:rPr>
                <w:rFonts w:ascii="仿宋" w:eastAsia="仿宋" w:hAnsi="仿宋" w:cs="仿宋" w:hint="eastAsia"/>
                <w:color w:val="000000"/>
                <w:sz w:val="24"/>
              </w:rPr>
              <w:t>▲</w:t>
            </w:r>
          </w:p>
        </w:tc>
        <w:tc>
          <w:tcPr>
            <w:tcW w:w="7599" w:type="dxa"/>
          </w:tcPr>
          <w:p w:rsidR="002C7A49" w:rsidRPr="00514E07" w:rsidRDefault="002C7A49" w:rsidP="00C53096">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标签打印及识别系统：玻片标签为二维码设计，可通过</w:t>
            </w:r>
            <w:r w:rsidR="00E76730">
              <w:rPr>
                <w:rFonts w:ascii="仿宋" w:eastAsia="仿宋" w:hAnsi="仿宋" w:cs="仿宋" w:hint="eastAsia"/>
                <w:bCs/>
                <w:color w:val="000000" w:themeColor="text1"/>
                <w:sz w:val="24"/>
              </w:rPr>
              <w:t>LIS</w:t>
            </w:r>
            <w:r w:rsidRPr="00514E07">
              <w:rPr>
                <w:rFonts w:ascii="仿宋" w:eastAsia="仿宋" w:hAnsi="仿宋" w:cs="仿宋" w:hint="eastAsia"/>
                <w:bCs/>
                <w:color w:val="000000" w:themeColor="text1"/>
                <w:sz w:val="24"/>
              </w:rPr>
              <w:t>自定义编辑打印标签；系统识别全部玻片时间＜30s，快速高效，杜绝人工错误；</w:t>
            </w:r>
          </w:p>
        </w:tc>
      </w:tr>
      <w:tr w:rsidR="002C7A49">
        <w:trPr>
          <w:jc w:val="center"/>
        </w:trPr>
        <w:tc>
          <w:tcPr>
            <w:tcW w:w="696" w:type="dxa"/>
          </w:tcPr>
          <w:p w:rsidR="002C7A49" w:rsidRDefault="002C7A49" w:rsidP="002B351A">
            <w:pPr>
              <w:spacing w:line="440" w:lineRule="exact"/>
              <w:rPr>
                <w:rFonts w:ascii="仿宋" w:eastAsia="仿宋" w:hAnsi="仿宋" w:cs="仿宋"/>
                <w:color w:val="000000"/>
                <w:sz w:val="24"/>
              </w:rPr>
            </w:pPr>
            <w:r>
              <w:rPr>
                <w:rFonts w:ascii="仿宋" w:eastAsia="仿宋" w:hAnsi="仿宋" w:cs="仿宋" w:hint="eastAsia"/>
                <w:color w:val="000000"/>
                <w:sz w:val="24"/>
              </w:rPr>
              <w:t>13</w:t>
            </w:r>
          </w:p>
        </w:tc>
        <w:tc>
          <w:tcPr>
            <w:tcW w:w="7599" w:type="dxa"/>
          </w:tcPr>
          <w:p w:rsidR="002C7A49" w:rsidRPr="00514E07" w:rsidRDefault="002C7A49" w:rsidP="002C7A49">
            <w:pPr>
              <w:spacing w:line="440" w:lineRule="exact"/>
              <w:rPr>
                <w:rFonts w:ascii="仿宋" w:eastAsia="仿宋" w:hAnsi="仿宋" w:cs="仿宋"/>
                <w:bCs/>
                <w:color w:val="000000" w:themeColor="text1"/>
                <w:sz w:val="24"/>
              </w:rPr>
            </w:pPr>
            <w:r w:rsidRPr="00514E07">
              <w:rPr>
                <w:rFonts w:ascii="仿宋" w:eastAsia="仿宋" w:hAnsi="仿宋" w:cs="仿宋" w:hint="eastAsia"/>
                <w:bCs/>
                <w:color w:val="000000" w:themeColor="text1"/>
                <w:sz w:val="24"/>
              </w:rPr>
              <w:t>每张切片的染色模块可以单独拆卸，便于维护及维修。</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Style w:val="a7"/>
        <w:tblW w:w="0" w:type="auto"/>
        <w:tblInd w:w="108" w:type="dxa"/>
        <w:tblLook w:val="04A0"/>
      </w:tblPr>
      <w:tblGrid>
        <w:gridCol w:w="709"/>
        <w:gridCol w:w="3669"/>
        <w:gridCol w:w="1955"/>
        <w:gridCol w:w="969"/>
        <w:gridCol w:w="920"/>
      </w:tblGrid>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366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1955"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20"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3669" w:type="dxa"/>
          </w:tcPr>
          <w:p w:rsidR="002C7A49" w:rsidRDefault="002C7A49" w:rsidP="002C7A4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 xml:space="preserve">全自动免疫组化染色机主机 </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台</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电源线</w:t>
            </w:r>
          </w:p>
        </w:tc>
        <w:tc>
          <w:tcPr>
            <w:tcW w:w="1955"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1.5米</w:t>
            </w: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条</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3</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网线</w:t>
            </w:r>
          </w:p>
        </w:tc>
        <w:tc>
          <w:tcPr>
            <w:tcW w:w="1955"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2米</w:t>
            </w: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条</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废液瓶液位传感器</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套</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卡箍</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工作平台终端</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套</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试剂架</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4</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固体液盖膜</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36</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废液桶底座</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废液桶</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11</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废液管</w:t>
            </w:r>
          </w:p>
        </w:tc>
        <w:tc>
          <w:tcPr>
            <w:tcW w:w="1955"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2米</w:t>
            </w: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根</w:t>
            </w:r>
          </w:p>
        </w:tc>
      </w:tr>
      <w:tr w:rsidR="002C7A49" w:rsidTr="000412F6">
        <w:tc>
          <w:tcPr>
            <w:tcW w:w="709" w:type="dxa"/>
          </w:tcPr>
          <w:p w:rsidR="002C7A49" w:rsidRDefault="002C7A49" w:rsidP="000412F6">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12</w:t>
            </w:r>
          </w:p>
        </w:tc>
        <w:tc>
          <w:tcPr>
            <w:tcW w:w="36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标签图像输出设备</w:t>
            </w:r>
          </w:p>
        </w:tc>
        <w:tc>
          <w:tcPr>
            <w:tcW w:w="1955" w:type="dxa"/>
          </w:tcPr>
          <w:p w:rsidR="002C7A49" w:rsidRDefault="002C7A49" w:rsidP="000412F6">
            <w:pPr>
              <w:spacing w:line="440" w:lineRule="exact"/>
              <w:rPr>
                <w:rFonts w:ascii="仿宋" w:eastAsia="仿宋" w:hAnsi="仿宋" w:cs="仿宋"/>
                <w:b/>
                <w:color w:val="000000" w:themeColor="text1"/>
                <w:sz w:val="24"/>
              </w:rPr>
            </w:pPr>
          </w:p>
        </w:tc>
        <w:tc>
          <w:tcPr>
            <w:tcW w:w="969"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2C7A49" w:rsidRDefault="002C7A49" w:rsidP="000412F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台</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3" w:name="_GoBack"/>
      <w:bookmarkEnd w:id="3"/>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lastRenderedPageBreak/>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82" w:rsidRDefault="004C6F82" w:rsidP="00055341">
      <w:r>
        <w:separator/>
      </w:r>
    </w:p>
  </w:endnote>
  <w:endnote w:type="continuationSeparator" w:id="0">
    <w:p w:rsidR="004C6F82" w:rsidRDefault="004C6F82"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82" w:rsidRDefault="004C6F82" w:rsidP="00055341">
      <w:r>
        <w:separator/>
      </w:r>
    </w:p>
  </w:footnote>
  <w:footnote w:type="continuationSeparator" w:id="0">
    <w:p w:rsidR="004C6F82" w:rsidRDefault="004C6F82"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abstractNum w:abstractNumId="5">
    <w:nsid w:val="70D65845"/>
    <w:multiLevelType w:val="singleLevel"/>
    <w:tmpl w:val="70D65845"/>
    <w:lvl w:ilvl="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93342"/>
    <w:rsid w:val="002B351A"/>
    <w:rsid w:val="002C7A49"/>
    <w:rsid w:val="002D465D"/>
    <w:rsid w:val="0035345C"/>
    <w:rsid w:val="003A3903"/>
    <w:rsid w:val="003F4B3D"/>
    <w:rsid w:val="004C6F82"/>
    <w:rsid w:val="00506C5F"/>
    <w:rsid w:val="00527C0D"/>
    <w:rsid w:val="00544162"/>
    <w:rsid w:val="005459E1"/>
    <w:rsid w:val="00581B14"/>
    <w:rsid w:val="0063702E"/>
    <w:rsid w:val="00697BB0"/>
    <w:rsid w:val="006D0835"/>
    <w:rsid w:val="006F5039"/>
    <w:rsid w:val="00714732"/>
    <w:rsid w:val="00796D35"/>
    <w:rsid w:val="00857394"/>
    <w:rsid w:val="00857CF3"/>
    <w:rsid w:val="00860BDF"/>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76730"/>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445BC-310B-457E-AE5C-D051A787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5</cp:revision>
  <dcterms:created xsi:type="dcterms:W3CDTF">2024-11-15T06:39:00Z</dcterms:created>
  <dcterms:modified xsi:type="dcterms:W3CDTF">2025-03-14T09:06:00Z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