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83E7E">
      <w:pPr>
        <w:spacing w:line="440" w:lineRule="exact"/>
        <w:jc w:val="center"/>
        <w:rPr>
          <w:b/>
          <w:bCs/>
          <w:sz w:val="44"/>
          <w:szCs w:val="44"/>
        </w:rPr>
      </w:pPr>
      <w:r>
        <w:rPr>
          <w:rFonts w:hint="eastAsia"/>
          <w:b/>
          <w:bCs/>
          <w:sz w:val="44"/>
          <w:szCs w:val="44"/>
        </w:rPr>
        <w:t>报价单</w:t>
      </w:r>
    </w:p>
    <w:p w14:paraId="23F41536">
      <w:pPr>
        <w:spacing w:line="440" w:lineRule="exact"/>
        <w:jc w:val="center"/>
        <w:rPr>
          <w:sz w:val="24"/>
          <w:szCs w:val="24"/>
        </w:rPr>
      </w:pPr>
    </w:p>
    <w:p w14:paraId="1BAC3B72">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717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BA25A7A">
            <w:pPr>
              <w:spacing w:line="360" w:lineRule="auto"/>
              <w:jc w:val="center"/>
              <w:rPr>
                <w:sz w:val="24"/>
                <w:szCs w:val="24"/>
              </w:rPr>
            </w:pPr>
            <w:r>
              <w:rPr>
                <w:rFonts w:hint="eastAsia"/>
                <w:sz w:val="24"/>
                <w:szCs w:val="24"/>
              </w:rPr>
              <w:t>设备名称</w:t>
            </w:r>
          </w:p>
        </w:tc>
        <w:tc>
          <w:tcPr>
            <w:tcW w:w="5835" w:type="dxa"/>
            <w:vAlign w:val="top"/>
          </w:tcPr>
          <w:p w14:paraId="16F5CC2D">
            <w:pPr>
              <w:spacing w:line="360" w:lineRule="auto"/>
              <w:jc w:val="left"/>
              <w:rPr>
                <w:sz w:val="24"/>
                <w:szCs w:val="24"/>
              </w:rPr>
            </w:pPr>
          </w:p>
        </w:tc>
      </w:tr>
      <w:tr w14:paraId="35B8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2832AB">
            <w:pPr>
              <w:spacing w:line="360" w:lineRule="auto"/>
              <w:jc w:val="center"/>
              <w:rPr>
                <w:sz w:val="24"/>
                <w:szCs w:val="24"/>
              </w:rPr>
            </w:pPr>
            <w:r>
              <w:rPr>
                <w:rFonts w:hint="eastAsia"/>
                <w:sz w:val="24"/>
                <w:szCs w:val="24"/>
              </w:rPr>
              <w:t>型号</w:t>
            </w:r>
          </w:p>
        </w:tc>
        <w:tc>
          <w:tcPr>
            <w:tcW w:w="5835" w:type="dxa"/>
            <w:vAlign w:val="top"/>
          </w:tcPr>
          <w:p w14:paraId="674560DC">
            <w:pPr>
              <w:spacing w:line="360" w:lineRule="auto"/>
              <w:jc w:val="left"/>
              <w:rPr>
                <w:sz w:val="24"/>
                <w:szCs w:val="24"/>
              </w:rPr>
            </w:pPr>
          </w:p>
        </w:tc>
      </w:tr>
      <w:tr w14:paraId="25F0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016B2F0">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77B85BD5">
            <w:pPr>
              <w:spacing w:line="360" w:lineRule="auto"/>
              <w:jc w:val="left"/>
              <w:rPr>
                <w:sz w:val="24"/>
                <w:szCs w:val="24"/>
              </w:rPr>
            </w:pPr>
          </w:p>
        </w:tc>
      </w:tr>
      <w:tr w14:paraId="3397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F0543D9">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50815F2A">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63F251E">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44CF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42EFC62">
            <w:pPr>
              <w:spacing w:line="360" w:lineRule="auto"/>
              <w:jc w:val="center"/>
              <w:rPr>
                <w:sz w:val="24"/>
                <w:szCs w:val="24"/>
              </w:rPr>
            </w:pPr>
            <w:r>
              <w:rPr>
                <w:rFonts w:hint="eastAsia"/>
                <w:sz w:val="24"/>
                <w:szCs w:val="24"/>
              </w:rPr>
              <w:t>产地</w:t>
            </w:r>
          </w:p>
        </w:tc>
        <w:tc>
          <w:tcPr>
            <w:tcW w:w="5835" w:type="dxa"/>
            <w:vAlign w:val="top"/>
          </w:tcPr>
          <w:p w14:paraId="0BEBF0A1">
            <w:pPr>
              <w:spacing w:line="360" w:lineRule="auto"/>
              <w:jc w:val="left"/>
              <w:rPr>
                <w:sz w:val="24"/>
                <w:szCs w:val="24"/>
              </w:rPr>
            </w:pPr>
          </w:p>
        </w:tc>
      </w:tr>
      <w:tr w14:paraId="05F2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4386A14">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D98B39C">
            <w:pPr>
              <w:spacing w:line="360" w:lineRule="auto"/>
              <w:jc w:val="left"/>
              <w:rPr>
                <w:sz w:val="24"/>
                <w:szCs w:val="24"/>
              </w:rPr>
            </w:pPr>
          </w:p>
        </w:tc>
      </w:tr>
      <w:tr w14:paraId="62CE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90625FD">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784DA51">
            <w:pPr>
              <w:spacing w:line="360" w:lineRule="auto"/>
              <w:jc w:val="left"/>
              <w:rPr>
                <w:sz w:val="24"/>
                <w:szCs w:val="24"/>
              </w:rPr>
            </w:pPr>
          </w:p>
        </w:tc>
      </w:tr>
      <w:tr w14:paraId="4867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959B665">
            <w:pPr>
              <w:spacing w:line="360" w:lineRule="auto"/>
              <w:jc w:val="center"/>
              <w:rPr>
                <w:sz w:val="24"/>
                <w:szCs w:val="24"/>
              </w:rPr>
            </w:pPr>
            <w:r>
              <w:rPr>
                <w:rFonts w:hint="eastAsia"/>
                <w:sz w:val="24"/>
                <w:szCs w:val="24"/>
              </w:rPr>
              <w:t>单价（元）</w:t>
            </w:r>
          </w:p>
        </w:tc>
        <w:tc>
          <w:tcPr>
            <w:tcW w:w="5835" w:type="dxa"/>
            <w:vAlign w:val="top"/>
          </w:tcPr>
          <w:p w14:paraId="4E094E29">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516D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C5AFFEF">
            <w:pPr>
              <w:spacing w:line="360" w:lineRule="auto"/>
              <w:jc w:val="center"/>
              <w:rPr>
                <w:sz w:val="24"/>
                <w:szCs w:val="24"/>
              </w:rPr>
            </w:pPr>
            <w:r>
              <w:rPr>
                <w:rFonts w:hint="eastAsia"/>
                <w:sz w:val="24"/>
                <w:szCs w:val="24"/>
              </w:rPr>
              <w:t>总价（元）</w:t>
            </w:r>
          </w:p>
        </w:tc>
        <w:tc>
          <w:tcPr>
            <w:tcW w:w="5835" w:type="dxa"/>
            <w:vAlign w:val="top"/>
          </w:tcPr>
          <w:p w14:paraId="0197AABB">
            <w:pPr>
              <w:spacing w:line="360" w:lineRule="auto"/>
              <w:jc w:val="left"/>
              <w:rPr>
                <w:sz w:val="24"/>
                <w:szCs w:val="24"/>
              </w:rPr>
            </w:pPr>
          </w:p>
        </w:tc>
      </w:tr>
      <w:tr w14:paraId="1E8B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F09C469">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5822119">
            <w:pPr>
              <w:spacing w:line="360" w:lineRule="auto"/>
              <w:jc w:val="left"/>
              <w:rPr>
                <w:rFonts w:hint="eastAsia"/>
                <w:sz w:val="21"/>
                <w:szCs w:val="21"/>
                <w:lang w:val="en-US" w:eastAsia="zh-CN"/>
              </w:rPr>
            </w:pPr>
          </w:p>
          <w:p w14:paraId="06DA180A">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6B10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8AE0B9F">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5B1FFB4">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6ACEDCCA">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5919ED76">
      <w:pPr>
        <w:jc w:val="center"/>
        <w:rPr>
          <w:rFonts w:hint="eastAsia"/>
          <w:sz w:val="24"/>
          <w:szCs w:val="24"/>
        </w:rPr>
      </w:pPr>
      <w:r>
        <w:rPr>
          <w:rFonts w:hint="eastAsia"/>
          <w:sz w:val="24"/>
          <w:szCs w:val="24"/>
        </w:rPr>
        <w:t xml:space="preserve">                                                                              </w:t>
      </w:r>
    </w:p>
    <w:p w14:paraId="7369529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01B278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FC0C02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96CE27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05EA9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4EA933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495F61DD">
      <w:pPr>
        <w:spacing w:line="440" w:lineRule="exact"/>
        <w:rPr>
          <w:rFonts w:hint="eastAsia"/>
          <w:b/>
          <w:bCs/>
          <w:color w:val="0000FF"/>
          <w:sz w:val="21"/>
          <w:szCs w:val="21"/>
        </w:rPr>
      </w:pPr>
      <w:r>
        <w:rPr>
          <w:rFonts w:hint="eastAsia"/>
          <w:b/>
          <w:bCs/>
          <w:color w:val="0000FF"/>
          <w:sz w:val="21"/>
          <w:szCs w:val="21"/>
        </w:rPr>
        <w:t>报价供应商须同时提供以下资料：</w:t>
      </w:r>
    </w:p>
    <w:p w14:paraId="18336E51">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1DB73B8D">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5C141E92">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27D7560">
      <w:pPr>
        <w:pStyle w:val="5"/>
        <w:ind w:left="0" w:leftChars="0" w:firstLine="0" w:firstLineChars="0"/>
        <w:rPr>
          <w:rFonts w:hint="eastAsia"/>
          <w:b/>
          <w:bCs/>
          <w:color w:val="0000FF"/>
          <w:sz w:val="24"/>
        </w:rPr>
      </w:pPr>
    </w:p>
    <w:p w14:paraId="5F71D2D0">
      <w:pPr>
        <w:pStyle w:val="5"/>
        <w:rPr>
          <w:rFonts w:hint="eastAsia"/>
          <w:b/>
          <w:bCs/>
          <w:color w:val="0000FF"/>
          <w:sz w:val="24"/>
        </w:rPr>
      </w:pPr>
    </w:p>
    <w:p w14:paraId="04FADC3D">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2042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BE76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354A18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AA513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7ED24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5EE6E5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50E2B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934B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44B27B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6275E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319AF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305E1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4756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57C1226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3903E5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5BE71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8A839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4431AA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6AD32F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868A1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71CEE7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4F50A7B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2F35D2D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6D4DA5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FD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4EF95E8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37226F8C">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1CF6836">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143DDCB4">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F85AC49">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2C0D9D1">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7448D07F">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47D6136">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3BB5A27">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C58E23E">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6A53331D">
            <w:pPr>
              <w:jc w:val="center"/>
              <w:rPr>
                <w:rFonts w:hint="eastAsia" w:ascii="宋体" w:hAnsi="宋体" w:eastAsia="宋体" w:cs="宋体"/>
                <w:i w:val="0"/>
                <w:iCs w:val="0"/>
                <w:color w:val="000000"/>
                <w:sz w:val="18"/>
                <w:szCs w:val="18"/>
                <w:u w:val="none"/>
              </w:rPr>
            </w:pPr>
          </w:p>
        </w:tc>
      </w:tr>
      <w:tr w14:paraId="673E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04C8130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A7DD782">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F488ACC">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D22FFE5">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3F93F0F">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2B7A4936">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288E295">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8E0A2A7">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9177345">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0C2C805F">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A09394F">
            <w:pPr>
              <w:rPr>
                <w:rFonts w:hint="eastAsia" w:ascii="宋体" w:hAnsi="宋体" w:eastAsia="宋体" w:cs="宋体"/>
                <w:i w:val="0"/>
                <w:iCs w:val="0"/>
                <w:color w:val="000000"/>
                <w:sz w:val="18"/>
                <w:szCs w:val="18"/>
                <w:u w:val="none"/>
              </w:rPr>
            </w:pPr>
          </w:p>
        </w:tc>
      </w:tr>
    </w:tbl>
    <w:p w14:paraId="5EA179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64E2F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00087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1A11AD2">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9DF3E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744572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4E3582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7E98E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6F81DD3">
      <w:pPr>
        <w:spacing w:line="440" w:lineRule="exact"/>
        <w:jc w:val="center"/>
        <w:rPr>
          <w:rFonts w:hint="eastAsia"/>
          <w:b/>
          <w:sz w:val="32"/>
          <w:szCs w:val="32"/>
        </w:rPr>
      </w:pPr>
    </w:p>
    <w:p w14:paraId="5A948A66">
      <w:pPr>
        <w:spacing w:line="440" w:lineRule="exact"/>
        <w:jc w:val="center"/>
        <w:rPr>
          <w:rFonts w:hint="eastAsia"/>
          <w:b/>
          <w:sz w:val="32"/>
          <w:szCs w:val="32"/>
        </w:rPr>
      </w:pPr>
    </w:p>
    <w:p w14:paraId="3FFE011B">
      <w:pPr>
        <w:spacing w:line="440" w:lineRule="exact"/>
        <w:jc w:val="both"/>
        <w:rPr>
          <w:rFonts w:hint="eastAsia"/>
          <w:b/>
          <w:sz w:val="32"/>
          <w:szCs w:val="32"/>
        </w:rPr>
      </w:pPr>
    </w:p>
    <w:p w14:paraId="3EF2632B">
      <w:pPr>
        <w:pStyle w:val="5"/>
        <w:rPr>
          <w:rFonts w:hint="eastAsia"/>
          <w:b/>
          <w:sz w:val="32"/>
          <w:szCs w:val="32"/>
        </w:rPr>
      </w:pPr>
    </w:p>
    <w:p w14:paraId="2DA606D8">
      <w:pPr>
        <w:pStyle w:val="5"/>
        <w:rPr>
          <w:rFonts w:hint="eastAsia"/>
          <w:b/>
          <w:sz w:val="32"/>
          <w:szCs w:val="32"/>
        </w:rPr>
      </w:pPr>
    </w:p>
    <w:p w14:paraId="38A60414">
      <w:pPr>
        <w:pStyle w:val="5"/>
        <w:rPr>
          <w:rFonts w:hint="eastAsia"/>
          <w:b/>
          <w:sz w:val="32"/>
          <w:szCs w:val="32"/>
        </w:rPr>
      </w:pPr>
    </w:p>
    <w:p w14:paraId="2AEA177F">
      <w:pPr>
        <w:pStyle w:val="5"/>
        <w:rPr>
          <w:rFonts w:hint="eastAsia"/>
          <w:b/>
          <w:sz w:val="32"/>
          <w:szCs w:val="32"/>
        </w:rPr>
      </w:pPr>
    </w:p>
    <w:p w14:paraId="36688D37">
      <w:pPr>
        <w:spacing w:line="440" w:lineRule="exact"/>
        <w:jc w:val="center"/>
        <w:rPr>
          <w:rFonts w:hint="eastAsia"/>
          <w:b/>
          <w:sz w:val="32"/>
          <w:szCs w:val="32"/>
        </w:rPr>
      </w:pPr>
    </w:p>
    <w:p w14:paraId="070D1EF3">
      <w:pPr>
        <w:spacing w:line="440" w:lineRule="exact"/>
        <w:jc w:val="both"/>
        <w:rPr>
          <w:rFonts w:hint="eastAsia"/>
          <w:b/>
          <w:sz w:val="32"/>
          <w:szCs w:val="32"/>
        </w:rPr>
      </w:pPr>
    </w:p>
    <w:p w14:paraId="79DBD7F2">
      <w:pPr>
        <w:spacing w:line="440" w:lineRule="exact"/>
        <w:jc w:val="center"/>
        <w:rPr>
          <w:rFonts w:hint="eastAsia"/>
          <w:b/>
          <w:sz w:val="32"/>
          <w:szCs w:val="32"/>
        </w:rPr>
      </w:pPr>
    </w:p>
    <w:p w14:paraId="3A8A2B09">
      <w:pPr>
        <w:spacing w:line="440" w:lineRule="exact"/>
        <w:jc w:val="center"/>
        <w:rPr>
          <w:b/>
          <w:sz w:val="32"/>
          <w:szCs w:val="32"/>
        </w:rPr>
      </w:pPr>
      <w:r>
        <w:rPr>
          <w:rFonts w:hint="eastAsia"/>
          <w:b/>
          <w:sz w:val="32"/>
          <w:szCs w:val="32"/>
        </w:rPr>
        <w:t>参数偏离情况表</w:t>
      </w:r>
    </w:p>
    <w:p w14:paraId="0C3514A8">
      <w:pPr>
        <w:spacing w:line="440" w:lineRule="exact"/>
        <w:rPr>
          <w:b/>
          <w:bCs/>
          <w:sz w:val="24"/>
        </w:rPr>
      </w:pPr>
      <w:r>
        <w:rPr>
          <w:rFonts w:hint="eastAsia"/>
          <w:b/>
          <w:bCs/>
          <w:sz w:val="24"/>
        </w:rPr>
        <w:t>填写要求：</w:t>
      </w:r>
    </w:p>
    <w:p w14:paraId="6CBD46B4">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A0CAA3B">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23502191">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6F18ADB">
      <w:pPr>
        <w:spacing w:line="380" w:lineRule="exact"/>
        <w:rPr>
          <w:rFonts w:ascii="宋体" w:hAnsi="宋体"/>
          <w:color w:val="000000"/>
          <w:szCs w:val="21"/>
        </w:rPr>
      </w:pPr>
    </w:p>
    <w:p w14:paraId="59966CB9">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22FC31FA">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118E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E76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E2671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A8323F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7C804D0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E3A48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783DFE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47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32D05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BF0A33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456583A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7769D4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58347AB">
            <w:pPr>
              <w:widowControl/>
              <w:spacing w:line="440" w:lineRule="exact"/>
              <w:rPr>
                <w:rFonts w:ascii="宋体" w:hAnsi="宋体" w:cs="宋体"/>
                <w:bCs/>
                <w:sz w:val="18"/>
                <w:szCs w:val="18"/>
              </w:rPr>
            </w:pPr>
          </w:p>
        </w:tc>
      </w:tr>
      <w:tr w14:paraId="1E62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84A56D8">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E45A49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F13217E">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4010406">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E8F027A">
            <w:pPr>
              <w:widowControl/>
              <w:spacing w:line="440" w:lineRule="exact"/>
              <w:rPr>
                <w:rFonts w:ascii="宋体" w:hAnsi="宋体" w:cs="宋体"/>
                <w:bCs/>
                <w:sz w:val="18"/>
                <w:szCs w:val="18"/>
              </w:rPr>
            </w:pPr>
          </w:p>
        </w:tc>
      </w:tr>
      <w:tr w14:paraId="26D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329850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6E2E235">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39048E6">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A66E1">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F44E30E">
            <w:pPr>
              <w:widowControl/>
              <w:spacing w:line="440" w:lineRule="exact"/>
              <w:rPr>
                <w:rFonts w:ascii="宋体" w:hAnsi="宋体" w:cs="宋体"/>
                <w:bCs/>
                <w:sz w:val="18"/>
                <w:szCs w:val="18"/>
              </w:rPr>
            </w:pPr>
          </w:p>
        </w:tc>
      </w:tr>
      <w:tr w14:paraId="6AE6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5EB793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F5556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0B2A9DF">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D436BA4">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EC6925C">
            <w:pPr>
              <w:widowControl/>
              <w:spacing w:line="440" w:lineRule="exact"/>
              <w:rPr>
                <w:rFonts w:ascii="宋体" w:hAnsi="宋体" w:cs="宋体"/>
                <w:bCs/>
                <w:sz w:val="18"/>
                <w:szCs w:val="18"/>
              </w:rPr>
            </w:pPr>
          </w:p>
        </w:tc>
      </w:tr>
      <w:tr w14:paraId="1B16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02F9239">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14E3BB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24E5DED">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BF9F54C">
            <w:pPr>
              <w:spacing w:line="440" w:lineRule="exact"/>
              <w:jc w:val="center"/>
              <w:rPr>
                <w:rFonts w:ascii="宋体" w:hAnsi="宋体" w:cs="宋体"/>
                <w:bCs/>
                <w:sz w:val="18"/>
                <w:szCs w:val="18"/>
              </w:rPr>
            </w:pPr>
          </w:p>
        </w:tc>
        <w:tc>
          <w:tcPr>
            <w:tcW w:w="1669" w:type="dxa"/>
            <w:shd w:val="clear" w:color="000000" w:fill="FFFFFF"/>
            <w:noWrap/>
            <w:vAlign w:val="center"/>
          </w:tcPr>
          <w:p w14:paraId="70E501E8">
            <w:pPr>
              <w:widowControl/>
              <w:spacing w:line="440" w:lineRule="exact"/>
              <w:rPr>
                <w:rFonts w:ascii="宋体" w:hAnsi="宋体" w:cs="宋体"/>
                <w:bCs/>
                <w:sz w:val="18"/>
                <w:szCs w:val="18"/>
              </w:rPr>
            </w:pPr>
          </w:p>
        </w:tc>
      </w:tr>
      <w:tr w14:paraId="312D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35101D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0AA2CD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72CEC01">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9C82EA9">
            <w:pPr>
              <w:spacing w:line="440" w:lineRule="exact"/>
              <w:jc w:val="center"/>
              <w:rPr>
                <w:rFonts w:ascii="宋体" w:hAnsi="宋体" w:cs="宋体"/>
                <w:bCs/>
                <w:sz w:val="18"/>
                <w:szCs w:val="18"/>
              </w:rPr>
            </w:pPr>
          </w:p>
        </w:tc>
        <w:tc>
          <w:tcPr>
            <w:tcW w:w="1669" w:type="dxa"/>
            <w:shd w:val="clear" w:color="000000" w:fill="FFFFFF"/>
            <w:noWrap/>
            <w:vAlign w:val="center"/>
          </w:tcPr>
          <w:p w14:paraId="3FE35B46">
            <w:pPr>
              <w:widowControl/>
              <w:spacing w:line="440" w:lineRule="exact"/>
              <w:rPr>
                <w:rFonts w:ascii="宋体" w:hAnsi="宋体" w:cs="宋体"/>
                <w:bCs/>
                <w:sz w:val="18"/>
                <w:szCs w:val="18"/>
              </w:rPr>
            </w:pPr>
          </w:p>
        </w:tc>
      </w:tr>
      <w:tr w14:paraId="7D57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73D69C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372DF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3DD384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8981025">
            <w:pPr>
              <w:spacing w:line="440" w:lineRule="exact"/>
              <w:jc w:val="center"/>
              <w:rPr>
                <w:rFonts w:ascii="宋体" w:hAnsi="宋体" w:cs="宋体"/>
                <w:bCs/>
                <w:sz w:val="18"/>
                <w:szCs w:val="18"/>
              </w:rPr>
            </w:pPr>
          </w:p>
        </w:tc>
        <w:tc>
          <w:tcPr>
            <w:tcW w:w="1669" w:type="dxa"/>
            <w:shd w:val="clear" w:color="000000" w:fill="FFFFFF"/>
            <w:noWrap/>
            <w:vAlign w:val="center"/>
          </w:tcPr>
          <w:p w14:paraId="7F5BABBE">
            <w:pPr>
              <w:widowControl/>
              <w:spacing w:line="440" w:lineRule="exact"/>
              <w:rPr>
                <w:rFonts w:ascii="宋体" w:hAnsi="宋体" w:cs="宋体"/>
                <w:bCs/>
                <w:sz w:val="18"/>
                <w:szCs w:val="18"/>
              </w:rPr>
            </w:pPr>
          </w:p>
        </w:tc>
      </w:tr>
    </w:tbl>
    <w:p w14:paraId="02385879">
      <w:pPr>
        <w:spacing w:line="340" w:lineRule="exact"/>
        <w:rPr>
          <w:rFonts w:ascii="宋体"/>
          <w:sz w:val="30"/>
          <w:szCs w:val="30"/>
        </w:rPr>
      </w:pPr>
    </w:p>
    <w:p w14:paraId="055366E3">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C39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2465E3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14682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901947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795D64A2">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CD97B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39874B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D0E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1B425FD8">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90A434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6CD4039">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F5D3EAD">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B90BBF9">
            <w:pPr>
              <w:widowControl/>
              <w:spacing w:line="440" w:lineRule="exact"/>
              <w:rPr>
                <w:rFonts w:ascii="宋体" w:hAnsi="宋体" w:cs="宋体"/>
                <w:bCs/>
                <w:sz w:val="18"/>
                <w:szCs w:val="18"/>
              </w:rPr>
            </w:pPr>
          </w:p>
        </w:tc>
      </w:tr>
      <w:tr w14:paraId="7F2F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572D2B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0647F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EA5888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C25F42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87FBA0B">
            <w:pPr>
              <w:widowControl/>
              <w:spacing w:line="440" w:lineRule="exact"/>
              <w:rPr>
                <w:rFonts w:ascii="宋体" w:hAnsi="宋体" w:cs="宋体"/>
                <w:bCs/>
                <w:sz w:val="18"/>
                <w:szCs w:val="18"/>
              </w:rPr>
            </w:pPr>
          </w:p>
        </w:tc>
      </w:tr>
      <w:tr w14:paraId="5A54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F0B8B2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9A79D89">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241291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7986E53">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7CBBCAF">
            <w:pPr>
              <w:widowControl/>
              <w:spacing w:line="440" w:lineRule="exact"/>
              <w:rPr>
                <w:rFonts w:ascii="宋体" w:hAnsi="宋体" w:cs="宋体"/>
                <w:bCs/>
                <w:sz w:val="18"/>
                <w:szCs w:val="18"/>
              </w:rPr>
            </w:pPr>
          </w:p>
        </w:tc>
      </w:tr>
      <w:tr w14:paraId="0921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A09017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833993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7C76EA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B02002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7383FA8">
            <w:pPr>
              <w:widowControl/>
              <w:spacing w:line="440" w:lineRule="exact"/>
              <w:rPr>
                <w:rFonts w:ascii="宋体" w:hAnsi="宋体" w:cs="宋体"/>
                <w:bCs/>
                <w:sz w:val="18"/>
                <w:szCs w:val="18"/>
              </w:rPr>
            </w:pPr>
          </w:p>
        </w:tc>
      </w:tr>
      <w:tr w14:paraId="0A40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F1F461F">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36E73D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6B68F90">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6A6C3E8">
            <w:pPr>
              <w:spacing w:line="440" w:lineRule="exact"/>
              <w:jc w:val="center"/>
              <w:rPr>
                <w:rFonts w:ascii="宋体" w:hAnsi="宋体" w:cs="宋体"/>
                <w:bCs/>
                <w:sz w:val="18"/>
                <w:szCs w:val="18"/>
              </w:rPr>
            </w:pPr>
          </w:p>
        </w:tc>
        <w:tc>
          <w:tcPr>
            <w:tcW w:w="1669" w:type="dxa"/>
            <w:shd w:val="clear" w:color="000000" w:fill="FFFFFF"/>
            <w:noWrap/>
            <w:vAlign w:val="center"/>
          </w:tcPr>
          <w:p w14:paraId="3156271F">
            <w:pPr>
              <w:widowControl/>
              <w:spacing w:line="440" w:lineRule="exact"/>
              <w:rPr>
                <w:rFonts w:ascii="宋体" w:hAnsi="宋体" w:cs="宋体"/>
                <w:bCs/>
                <w:sz w:val="18"/>
                <w:szCs w:val="18"/>
              </w:rPr>
            </w:pPr>
          </w:p>
        </w:tc>
      </w:tr>
      <w:tr w14:paraId="28E2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BCF2B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A8183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6BE741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C98EA08">
            <w:pPr>
              <w:spacing w:line="440" w:lineRule="exact"/>
              <w:jc w:val="center"/>
              <w:rPr>
                <w:rFonts w:ascii="宋体" w:hAnsi="宋体" w:cs="宋体"/>
                <w:bCs/>
                <w:sz w:val="18"/>
                <w:szCs w:val="18"/>
              </w:rPr>
            </w:pPr>
          </w:p>
        </w:tc>
        <w:tc>
          <w:tcPr>
            <w:tcW w:w="1669" w:type="dxa"/>
            <w:shd w:val="clear" w:color="000000" w:fill="FFFFFF"/>
            <w:noWrap/>
            <w:vAlign w:val="center"/>
          </w:tcPr>
          <w:p w14:paraId="412352D0">
            <w:pPr>
              <w:widowControl/>
              <w:spacing w:line="440" w:lineRule="exact"/>
              <w:rPr>
                <w:rFonts w:ascii="宋体" w:hAnsi="宋体" w:cs="宋体"/>
                <w:bCs/>
                <w:sz w:val="18"/>
                <w:szCs w:val="18"/>
              </w:rPr>
            </w:pPr>
          </w:p>
        </w:tc>
      </w:tr>
      <w:tr w14:paraId="1B93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0682A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E5C51F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277314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E359594">
            <w:pPr>
              <w:spacing w:line="440" w:lineRule="exact"/>
              <w:jc w:val="center"/>
              <w:rPr>
                <w:rFonts w:ascii="宋体" w:hAnsi="宋体" w:cs="宋体"/>
                <w:bCs/>
                <w:sz w:val="18"/>
                <w:szCs w:val="18"/>
              </w:rPr>
            </w:pPr>
          </w:p>
        </w:tc>
        <w:tc>
          <w:tcPr>
            <w:tcW w:w="1669" w:type="dxa"/>
            <w:shd w:val="clear" w:color="000000" w:fill="FFFFFF"/>
            <w:noWrap/>
            <w:vAlign w:val="center"/>
          </w:tcPr>
          <w:p w14:paraId="2D841681">
            <w:pPr>
              <w:widowControl/>
              <w:spacing w:line="440" w:lineRule="exact"/>
              <w:rPr>
                <w:rFonts w:ascii="宋体" w:hAnsi="宋体" w:cs="宋体"/>
                <w:bCs/>
                <w:sz w:val="18"/>
                <w:szCs w:val="18"/>
              </w:rPr>
            </w:pPr>
          </w:p>
        </w:tc>
      </w:tr>
    </w:tbl>
    <w:p w14:paraId="64BAF021">
      <w:pPr>
        <w:tabs>
          <w:tab w:val="left" w:pos="720"/>
        </w:tabs>
        <w:spacing w:line="340" w:lineRule="exact"/>
        <w:jc w:val="left"/>
        <w:rPr>
          <w:rFonts w:ascii="宋体" w:hAnsi="宋体"/>
          <w:b/>
          <w:bCs/>
          <w:sz w:val="30"/>
          <w:szCs w:val="30"/>
        </w:rPr>
      </w:pPr>
    </w:p>
    <w:p w14:paraId="55CBDE36">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p w14:paraId="3192A77B">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病人监护仪</w:t>
      </w:r>
    </w:p>
    <w:p w14:paraId="26B12F7A">
      <w:pPr>
        <w:spacing w:line="440" w:lineRule="exact"/>
        <w:rPr>
          <w:rFonts w:ascii="仿宋" w:hAnsi="仿宋" w:eastAsia="仿宋" w:cs="仿宋"/>
          <w:color w:val="000000" w:themeColor="text1"/>
          <w:sz w:val="24"/>
        </w:rPr>
      </w:pPr>
    </w:p>
    <w:p w14:paraId="0131614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w:t>
      </w:r>
      <w:r>
        <w:rPr>
          <w:rFonts w:hint="eastAsia" w:ascii="仿宋" w:hAnsi="仿宋" w:eastAsia="仿宋" w:cs="仿宋"/>
          <w:color w:val="000000"/>
          <w:sz w:val="24"/>
          <w:lang w:val="en-US" w:eastAsia="zh-CN"/>
        </w:rPr>
        <w:t>监测患者生命体征</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7516"/>
      </w:tblGrid>
      <w:tr w14:paraId="465D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7CAB6523">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16" w:type="dxa"/>
            <w:noWrap w:val="0"/>
            <w:vAlign w:val="top"/>
          </w:tcPr>
          <w:p w14:paraId="31DB0E57">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1538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2AA4FF95">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w:t>
            </w:r>
          </w:p>
        </w:tc>
        <w:tc>
          <w:tcPr>
            <w:tcW w:w="7516" w:type="dxa"/>
            <w:noWrap w:val="0"/>
            <w:vAlign w:val="top"/>
          </w:tcPr>
          <w:p w14:paraId="672463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b w:val="0"/>
                <w:bCs w:val="0"/>
                <w:color w:val="000000"/>
                <w:sz w:val="24"/>
                <w:szCs w:val="24"/>
                <w:lang w:val="en-US" w:eastAsia="zh-CN"/>
              </w:rPr>
              <w:t>便携一体式监护仪，可用于监护成人、儿童</w:t>
            </w:r>
          </w:p>
        </w:tc>
      </w:tr>
      <w:tr w14:paraId="176C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6952CEA8">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w:t>
            </w:r>
          </w:p>
        </w:tc>
        <w:tc>
          <w:tcPr>
            <w:tcW w:w="7516" w:type="dxa"/>
            <w:noWrap w:val="0"/>
            <w:vAlign w:val="top"/>
          </w:tcPr>
          <w:p w14:paraId="5445D8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≥10英寸彩色LED液晶显示屏，≥8通道显示</w:t>
            </w:r>
          </w:p>
        </w:tc>
      </w:tr>
      <w:tr w14:paraId="4290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2948FE6D">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w:t>
            </w:r>
          </w:p>
        </w:tc>
        <w:tc>
          <w:tcPr>
            <w:tcW w:w="7516" w:type="dxa"/>
            <w:noWrap w:val="0"/>
            <w:vAlign w:val="top"/>
          </w:tcPr>
          <w:p w14:paraId="7D94275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标准配置可监测心电、呼吸、无创血压、血氧饱和度、脉搏和体温</w:t>
            </w:r>
          </w:p>
        </w:tc>
      </w:tr>
      <w:tr w14:paraId="00C9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6" w:type="dxa"/>
            <w:noWrap w:val="0"/>
            <w:vAlign w:val="top"/>
          </w:tcPr>
          <w:p w14:paraId="42171861">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w:t>
            </w:r>
          </w:p>
        </w:tc>
        <w:tc>
          <w:tcPr>
            <w:tcW w:w="7516" w:type="dxa"/>
            <w:noWrap w:val="0"/>
            <w:vAlign w:val="top"/>
          </w:tcPr>
          <w:p w14:paraId="59D806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lang w:val="en-US" w:eastAsia="zh-CN"/>
              </w:rPr>
              <w:t>具备智能导联脱落监测功能，个别导联脱落的情况下仍能保持监护</w:t>
            </w:r>
          </w:p>
        </w:tc>
      </w:tr>
      <w:tr w14:paraId="3864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10AB6FE1">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w:t>
            </w:r>
          </w:p>
        </w:tc>
        <w:tc>
          <w:tcPr>
            <w:tcW w:w="7516" w:type="dxa"/>
            <w:noWrap w:val="0"/>
            <w:vAlign w:val="top"/>
          </w:tcPr>
          <w:p w14:paraId="49480284">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lang w:val="en-US" w:eastAsia="zh-CN"/>
              </w:rPr>
              <w:t>监测参数：提供心率变化统计界面，包括患者平均心率、夜间平均心率、白天平均心率、最快心率和最慢心率等，直观快速了解过去24小时患者的心率变化和心率分布情况。</w:t>
            </w:r>
          </w:p>
        </w:tc>
      </w:tr>
      <w:tr w14:paraId="74D9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4495410D">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w:t>
            </w:r>
          </w:p>
        </w:tc>
        <w:tc>
          <w:tcPr>
            <w:tcW w:w="7516" w:type="dxa"/>
            <w:noWrap w:val="0"/>
            <w:vAlign w:val="top"/>
          </w:tcPr>
          <w:p w14:paraId="5D46C9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lang w:val="en-US" w:eastAsia="zh-CN"/>
              </w:rPr>
              <w:t>血氧监测时标配支持PI血氧灌注指数的监测，有效反映血氧灌注情况。</w:t>
            </w:r>
          </w:p>
        </w:tc>
      </w:tr>
      <w:tr w14:paraId="157F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0CD57A95">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w:t>
            </w:r>
          </w:p>
        </w:tc>
        <w:tc>
          <w:tcPr>
            <w:tcW w:w="7516" w:type="dxa"/>
            <w:noWrap w:val="0"/>
            <w:vAlign w:val="top"/>
          </w:tcPr>
          <w:p w14:paraId="14148E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val="en-US" w:eastAsia="zh-CN"/>
              </w:rPr>
              <w:t>无创血压支持手动，连续和自动测量模式。</w:t>
            </w:r>
          </w:p>
        </w:tc>
      </w:tr>
      <w:tr w14:paraId="23C3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4A93A150">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w:t>
            </w:r>
          </w:p>
        </w:tc>
        <w:tc>
          <w:tcPr>
            <w:tcW w:w="7516" w:type="dxa"/>
            <w:noWrap w:val="0"/>
            <w:vAlign w:val="top"/>
          </w:tcPr>
          <w:p w14:paraId="23A551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成人无创血压测量范围：收缩压 25~290mmHg，舒张压 10~250mmHg；小儿无创血压测量范围：收缩压 25~240mmHg，舒张压 10~200mmHg</w:t>
            </w:r>
          </w:p>
        </w:tc>
      </w:tr>
      <w:tr w14:paraId="6C1A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4FA623C8">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9</w:t>
            </w:r>
          </w:p>
        </w:tc>
        <w:tc>
          <w:tcPr>
            <w:tcW w:w="7516" w:type="dxa"/>
            <w:noWrap w:val="0"/>
            <w:vAlign w:val="top"/>
          </w:tcPr>
          <w:p w14:paraId="10AEE691">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可提供动态血压分析界面，包括平均血压、白天平均血压、夜间平均血压、最高血压、最低血压和正常血压比例等，直观快速了解过去24小时患者血压变化和分布情况；</w:t>
            </w:r>
          </w:p>
        </w:tc>
      </w:tr>
      <w:tr w14:paraId="35A2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6EF21B65">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10</w:t>
            </w:r>
          </w:p>
        </w:tc>
        <w:tc>
          <w:tcPr>
            <w:tcW w:w="7516" w:type="dxa"/>
            <w:noWrap w:val="0"/>
            <w:vAlign w:val="top"/>
          </w:tcPr>
          <w:p w14:paraId="0A0115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具有三级声光报警，参数报警级别可调，具备报警集中设置功能</w:t>
            </w:r>
          </w:p>
        </w:tc>
      </w:tr>
      <w:tr w14:paraId="04D0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6A2FBD53">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11</w:t>
            </w:r>
          </w:p>
        </w:tc>
        <w:tc>
          <w:tcPr>
            <w:tcW w:w="7516" w:type="dxa"/>
            <w:noWrap w:val="0"/>
            <w:vAlign w:val="top"/>
          </w:tcPr>
          <w:p w14:paraId="3F40D0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支持≥720小时趋势数据的存储与回顾功能</w:t>
            </w:r>
          </w:p>
        </w:tc>
      </w:tr>
      <w:tr w14:paraId="7A0F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0C0239DD">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12</w:t>
            </w:r>
          </w:p>
        </w:tc>
        <w:tc>
          <w:tcPr>
            <w:tcW w:w="7516" w:type="dxa"/>
            <w:noWrap w:val="0"/>
            <w:vAlign w:val="top"/>
          </w:tcPr>
          <w:p w14:paraId="251CF0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具备监护模式、待机模式，演示模式、隐私模式和夜间模式不少于5种工作模式</w:t>
            </w:r>
          </w:p>
        </w:tc>
      </w:tr>
      <w:tr w14:paraId="659C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24564B2C">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13</w:t>
            </w:r>
          </w:p>
        </w:tc>
        <w:tc>
          <w:tcPr>
            <w:tcW w:w="7516" w:type="dxa"/>
            <w:noWrap w:val="0"/>
            <w:vAlign w:val="top"/>
          </w:tcPr>
          <w:p w14:paraId="32534A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具备网络通信功能，实现中央站的集中监护</w:t>
            </w:r>
          </w:p>
        </w:tc>
      </w:tr>
      <w:tr w14:paraId="1E16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73016AE3">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14</w:t>
            </w:r>
          </w:p>
        </w:tc>
        <w:tc>
          <w:tcPr>
            <w:tcW w:w="7516" w:type="dxa"/>
            <w:noWrap w:val="0"/>
            <w:vAlign w:val="top"/>
          </w:tcPr>
          <w:p w14:paraId="1BDE00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持监护仪系统日志的向U盘设备的导出功能，日志包括：系统状态、异常和技术报警等，满足设备管理的日常维护需求</w:t>
            </w:r>
          </w:p>
        </w:tc>
      </w:tr>
      <w:tr w14:paraId="152F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31ABD1FA">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15</w:t>
            </w:r>
          </w:p>
        </w:tc>
        <w:tc>
          <w:tcPr>
            <w:tcW w:w="7516" w:type="dxa"/>
            <w:noWrap w:val="0"/>
            <w:vAlign w:val="top"/>
          </w:tcPr>
          <w:p w14:paraId="7FDFDF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主机集成附件收纳槽，支持将心电、血氧和无创血压等导联线附件进行收纳放置，方便监护仪设备的高效管理和转移</w:t>
            </w:r>
          </w:p>
        </w:tc>
      </w:tr>
      <w:tr w14:paraId="6E8C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0B757718">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16</w:t>
            </w:r>
          </w:p>
        </w:tc>
        <w:tc>
          <w:tcPr>
            <w:tcW w:w="7516" w:type="dxa"/>
            <w:noWrap w:val="0"/>
            <w:vAlign w:val="top"/>
          </w:tcPr>
          <w:p w14:paraId="749DDB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安全规格：ECG, TEMP, SpO2 , NIBP监测参数抗电击程度为防除颤CF型</w:t>
            </w:r>
          </w:p>
        </w:tc>
      </w:tr>
      <w:tr w14:paraId="1D4F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76B210DE">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17</w:t>
            </w:r>
          </w:p>
        </w:tc>
        <w:tc>
          <w:tcPr>
            <w:tcW w:w="7516" w:type="dxa"/>
            <w:noWrap w:val="0"/>
            <w:vAlign w:val="top"/>
          </w:tcPr>
          <w:p w14:paraId="039A5B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按配置要求提供内置热敏打印机</w:t>
            </w:r>
          </w:p>
        </w:tc>
      </w:tr>
      <w:tr w14:paraId="0945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678F12B9">
            <w:pPr>
              <w:spacing w:line="44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18</w:t>
            </w:r>
          </w:p>
        </w:tc>
        <w:tc>
          <w:tcPr>
            <w:tcW w:w="7516" w:type="dxa"/>
            <w:noWrap w:val="0"/>
            <w:vAlign w:val="top"/>
          </w:tcPr>
          <w:p w14:paraId="64B56E1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标配锂电池，工作时间≥4小时</w:t>
            </w:r>
          </w:p>
        </w:tc>
      </w:tr>
      <w:tr w14:paraId="2AFA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724A887F">
            <w:pPr>
              <w:spacing w:line="440" w:lineRule="exact"/>
              <w:jc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19</w:t>
            </w:r>
          </w:p>
        </w:tc>
        <w:tc>
          <w:tcPr>
            <w:tcW w:w="7516" w:type="dxa"/>
            <w:noWrap w:val="0"/>
            <w:vAlign w:val="top"/>
          </w:tcPr>
          <w:p w14:paraId="4337AD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sz w:val="24"/>
                <w:szCs w:val="24"/>
                <w:lang w:val="en-US" w:eastAsia="zh-CN"/>
              </w:rPr>
              <w:t>设备使用年限≥5年</w:t>
            </w:r>
          </w:p>
        </w:tc>
      </w:tr>
    </w:tbl>
    <w:p w14:paraId="4A83F173">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shd w:val="clear"/>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shd w:val="clear"/>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0347B35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02441D"/>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2025-03-04T07:13:36Z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