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体检报告装订信封调研报价表</w:t>
      </w:r>
    </w:p>
    <w:tbl>
      <w:tblPr>
        <w:tblStyle w:val="2"/>
        <w:tblW w:w="9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03"/>
        <w:gridCol w:w="477"/>
        <w:gridCol w:w="968"/>
        <w:gridCol w:w="1378"/>
        <w:gridCol w:w="586"/>
        <w:gridCol w:w="1255"/>
        <w:gridCol w:w="804"/>
        <w:gridCol w:w="1063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9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参考款式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2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体检报告装订信封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FC22">
            <w:pPr>
              <w:pStyle w:val="6"/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1、材质：230g白卡纸</w:t>
            </w:r>
          </w:p>
          <w:p w14:paraId="4FE1438A">
            <w:pPr>
              <w:pStyle w:val="6"/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2、颜色：四色</w:t>
            </w:r>
          </w:p>
          <w:p w14:paraId="0493B6A7">
            <w:pPr>
              <w:pStyle w:val="6"/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3、工艺：过光油</w:t>
            </w:r>
          </w:p>
          <w:p w14:paraId="55B8A84F">
            <w:pPr>
              <w:pStyle w:val="6"/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4、开口</w:t>
            </w:r>
          </w:p>
          <w:p w14:paraId="10EBECF5">
            <w:pPr>
              <w:pStyle w:val="6"/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5、离型纸</w:t>
            </w:r>
          </w:p>
          <w:p w14:paraId="70E29D6D">
            <w:pPr>
              <w:pStyle w:val="6"/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6、可撕口</w:t>
            </w:r>
          </w:p>
          <w:p w14:paraId="1A78D1C9">
            <w:pPr>
              <w:pStyle w:val="6"/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7、根据采购人提出的要求进行排版设计，或按照采购人提供的样板制作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30000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3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详见附图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6705C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供货时间：供应商应保证充足的货物，保证供货，在收到采购人下单通知后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日内把指定货物交付到中山市小榄人民医院日用品仓库。如收到采购人紧急下单情况的，应在3小时内到货。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供货结算：协议供货，供货期内采购人可按照实际使用需要分批次要求成交供应商供货，并按批次结算。合同无预付款，每批次订货无预付款。</w:t>
      </w:r>
    </w:p>
    <w:p w14:paraId="30CED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要求：</w:t>
      </w:r>
      <w:r>
        <w:rPr>
          <w:rFonts w:hint="default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lang w:val="en-US" w:eastAsia="zh-CN"/>
        </w:rPr>
        <w:t>（普票）</w:t>
      </w:r>
      <w:r>
        <w:rPr>
          <w:rFonts w:hint="default"/>
          <w:lang w:val="en-US" w:eastAsia="zh-CN"/>
        </w:rPr>
        <w:t>及</w:t>
      </w:r>
      <w:r>
        <w:rPr>
          <w:rFonts w:hint="eastAsia"/>
          <w:lang w:val="en-US" w:eastAsia="zh-CN"/>
        </w:rPr>
        <w:t>本项目实施过程中</w:t>
      </w:r>
      <w:r>
        <w:rPr>
          <w:rFonts w:hint="default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658C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F1C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A051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CF0E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73F7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B566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D24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7BC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附图：</w:t>
      </w:r>
    </w:p>
    <w:p w14:paraId="4C85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106795" cy="4533900"/>
            <wp:effectExtent l="0" t="0" r="8255" b="0"/>
            <wp:docPr id="2" name="图片 2" descr="847437f115a75e68dff390a8a3ea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7437f115a75e68dff390a8a3ea0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BCF26"/>
    <w:multiLevelType w:val="singleLevel"/>
    <w:tmpl w:val="C76BC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1CE143C2"/>
    <w:rsid w:val="2ED76E3F"/>
    <w:rsid w:val="3CCE14F1"/>
    <w:rsid w:val="5A31568F"/>
    <w:rsid w:val="5E6501F2"/>
    <w:rsid w:val="6E9E63FC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623</Characters>
  <Lines>0</Lines>
  <Paragraphs>0</Paragraphs>
  <TotalTime>9</TotalTime>
  <ScaleCrop>false</ScaleCrop>
  <LinksUpToDate>false</LinksUpToDate>
  <CharactersWithSpaces>631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2025-02-06T08:37:03Z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