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ED992">
      <w:pPr>
        <w:spacing w:line="440" w:lineRule="exact"/>
        <w:jc w:val="center"/>
        <w:rPr>
          <w:b/>
          <w:bCs/>
          <w:color w:val="auto"/>
          <w:sz w:val="44"/>
          <w:szCs w:val="44"/>
        </w:rPr>
      </w:pPr>
      <w:r>
        <w:rPr>
          <w:rFonts w:hint="eastAsia"/>
          <w:b/>
          <w:bCs/>
          <w:color w:val="auto"/>
          <w:sz w:val="44"/>
          <w:szCs w:val="44"/>
        </w:rPr>
        <w:t>报价单</w:t>
      </w:r>
    </w:p>
    <w:p w14:paraId="6D9ED34B">
      <w:pPr>
        <w:spacing w:line="440" w:lineRule="exact"/>
        <w:jc w:val="center"/>
        <w:rPr>
          <w:color w:val="auto"/>
          <w:sz w:val="24"/>
          <w:szCs w:val="24"/>
        </w:rPr>
      </w:pPr>
    </w:p>
    <w:p w14:paraId="06752786">
      <w:pPr>
        <w:spacing w:line="440" w:lineRule="exact"/>
        <w:rPr>
          <w:color w:val="auto"/>
          <w:sz w:val="24"/>
          <w:szCs w:val="24"/>
        </w:rPr>
      </w:pPr>
      <w:r>
        <w:rPr>
          <w:rFonts w:hint="eastAsia"/>
          <w:color w:val="auto"/>
          <w:sz w:val="24"/>
          <w:szCs w:val="24"/>
        </w:rPr>
        <w:t>致中山市小榄人民医院：</w:t>
      </w:r>
    </w:p>
    <w:tbl>
      <w:tblPr>
        <w:tblStyle w:val="11"/>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FC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028" w:type="dxa"/>
            <w:vAlign w:val="top"/>
          </w:tcPr>
          <w:p w14:paraId="2F3107D7">
            <w:pPr>
              <w:spacing w:line="360" w:lineRule="auto"/>
              <w:jc w:val="center"/>
              <w:rPr>
                <w:rFonts w:hint="eastAsia"/>
                <w:color w:val="auto"/>
                <w:sz w:val="24"/>
                <w:szCs w:val="24"/>
                <w:lang w:val="en-US" w:eastAsia="zh-CN"/>
              </w:rPr>
            </w:pPr>
          </w:p>
          <w:p w14:paraId="51AD78B9">
            <w:pPr>
              <w:spacing w:line="360" w:lineRule="auto"/>
              <w:jc w:val="center"/>
              <w:rPr>
                <w:color w:val="auto"/>
                <w:sz w:val="24"/>
                <w:szCs w:val="24"/>
              </w:rPr>
            </w:pPr>
            <w:r>
              <w:rPr>
                <w:rFonts w:hint="eastAsia"/>
                <w:color w:val="auto"/>
                <w:sz w:val="24"/>
                <w:szCs w:val="24"/>
                <w:lang w:val="en-US" w:eastAsia="zh-CN"/>
              </w:rPr>
              <w:t>项目</w:t>
            </w:r>
            <w:r>
              <w:rPr>
                <w:rFonts w:hint="eastAsia"/>
                <w:color w:val="auto"/>
                <w:sz w:val="24"/>
                <w:szCs w:val="24"/>
              </w:rPr>
              <w:t>名称</w:t>
            </w:r>
          </w:p>
        </w:tc>
        <w:tc>
          <w:tcPr>
            <w:tcW w:w="5835" w:type="dxa"/>
            <w:vAlign w:val="top"/>
          </w:tcPr>
          <w:p w14:paraId="496469D3">
            <w:pPr>
              <w:spacing w:line="360" w:lineRule="auto"/>
              <w:jc w:val="left"/>
              <w:rPr>
                <w:rFonts w:hint="default" w:eastAsia="宋体"/>
                <w:color w:val="auto"/>
                <w:sz w:val="24"/>
                <w:szCs w:val="24"/>
                <w:lang w:val="en-US" w:eastAsia="zh-CN"/>
              </w:rPr>
            </w:pPr>
            <w:r>
              <w:rPr>
                <w:rFonts w:hint="eastAsia"/>
                <w:color w:val="auto"/>
                <w:sz w:val="24"/>
                <w:szCs w:val="24"/>
                <w:lang w:val="en-US" w:eastAsia="zh-CN"/>
              </w:rPr>
              <w:t>中山市小榄人民医院1.5T MRI 3年整机维保服务</w:t>
            </w:r>
          </w:p>
        </w:tc>
      </w:tr>
      <w:tr w14:paraId="219B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028" w:type="dxa"/>
            <w:vAlign w:val="top"/>
          </w:tcPr>
          <w:p w14:paraId="261E6704">
            <w:pPr>
              <w:spacing w:line="360" w:lineRule="auto"/>
              <w:jc w:val="center"/>
              <w:rPr>
                <w:rFonts w:hint="eastAsia"/>
                <w:color w:val="auto"/>
                <w:sz w:val="24"/>
                <w:szCs w:val="24"/>
                <w:lang w:val="en-US" w:eastAsia="zh-CN"/>
              </w:rPr>
            </w:pPr>
          </w:p>
          <w:p w14:paraId="69641F29">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投标公司性质</w:t>
            </w:r>
          </w:p>
        </w:tc>
        <w:tc>
          <w:tcPr>
            <w:tcW w:w="5835" w:type="dxa"/>
            <w:vAlign w:val="top"/>
          </w:tcPr>
          <w:p w14:paraId="6FC6CF28">
            <w:pPr>
              <w:spacing w:line="360" w:lineRule="auto"/>
              <w:jc w:val="left"/>
              <w:rPr>
                <w:rFonts w:hint="eastAsia"/>
                <w:color w:val="auto"/>
                <w:sz w:val="24"/>
                <w:szCs w:val="24"/>
                <w:lang w:val="en-US" w:eastAsia="zh-CN"/>
              </w:rPr>
            </w:pPr>
            <w:r>
              <w:rPr>
                <w:rFonts w:hint="eastAsia"/>
                <w:color w:val="auto"/>
                <w:sz w:val="24"/>
                <w:szCs w:val="24"/>
                <w:lang w:val="en-US" w:eastAsia="zh-CN"/>
              </w:rPr>
              <w:t>大型企业</w:t>
            </w:r>
            <w:r>
              <w:rPr>
                <w:rFonts w:hint="eastAsia"/>
                <w:color w:val="auto"/>
                <w:sz w:val="24"/>
                <w:szCs w:val="24"/>
                <w:lang w:val="en-US" w:eastAsia="zh-CN"/>
              </w:rPr>
              <w:sym w:font="Wingdings 2" w:char="00A3"/>
            </w:r>
            <w:r>
              <w:rPr>
                <w:rFonts w:hint="eastAsia"/>
                <w:color w:val="auto"/>
                <w:sz w:val="24"/>
                <w:szCs w:val="24"/>
                <w:lang w:val="en-US" w:eastAsia="zh-CN"/>
              </w:rPr>
              <w:t xml:space="preserve"> 中小企业□ 小微企业□</w:t>
            </w:r>
          </w:p>
          <w:p w14:paraId="4F3BC88B">
            <w:pPr>
              <w:spacing w:line="360" w:lineRule="auto"/>
              <w:jc w:val="left"/>
              <w:rPr>
                <w:rFonts w:hint="default" w:eastAsia="宋体"/>
                <w:color w:val="auto"/>
                <w:sz w:val="24"/>
                <w:szCs w:val="24"/>
                <w:lang w:val="en-US" w:eastAsia="zh-CN"/>
              </w:rPr>
            </w:pPr>
            <w:r>
              <w:rPr>
                <w:rFonts w:hint="eastAsia"/>
                <w:color w:val="auto"/>
                <w:sz w:val="18"/>
                <w:szCs w:val="18"/>
                <w:lang w:val="en-US" w:eastAsia="zh-CN"/>
              </w:rPr>
              <w:t>（100万以上项目需填写，提供证明文件，进口设备无需填写）</w:t>
            </w:r>
          </w:p>
        </w:tc>
      </w:tr>
      <w:tr w14:paraId="3D26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C9A30C5">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投标公司维修站/零件仓库所在地</w:t>
            </w:r>
          </w:p>
        </w:tc>
        <w:tc>
          <w:tcPr>
            <w:tcW w:w="5835" w:type="dxa"/>
            <w:vAlign w:val="top"/>
          </w:tcPr>
          <w:p w14:paraId="6BE921C3">
            <w:pPr>
              <w:spacing w:line="360" w:lineRule="auto"/>
              <w:jc w:val="left"/>
              <w:rPr>
                <w:color w:val="auto"/>
                <w:sz w:val="24"/>
                <w:szCs w:val="24"/>
              </w:rPr>
            </w:pPr>
          </w:p>
        </w:tc>
      </w:tr>
      <w:tr w14:paraId="3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790194D">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维保时间（年）</w:t>
            </w:r>
          </w:p>
        </w:tc>
        <w:tc>
          <w:tcPr>
            <w:tcW w:w="5835" w:type="dxa"/>
            <w:vAlign w:val="top"/>
          </w:tcPr>
          <w:p w14:paraId="6270FD9A">
            <w:pPr>
              <w:spacing w:line="360" w:lineRule="auto"/>
              <w:jc w:val="left"/>
              <w:rPr>
                <w:rFonts w:hint="default" w:eastAsia="宋体"/>
                <w:color w:val="auto"/>
                <w:sz w:val="24"/>
                <w:szCs w:val="24"/>
                <w:lang w:val="en-US" w:eastAsia="zh-CN"/>
              </w:rPr>
            </w:pPr>
            <w:r>
              <w:rPr>
                <w:rFonts w:hint="eastAsia"/>
                <w:color w:val="auto"/>
                <w:sz w:val="24"/>
                <w:szCs w:val="24"/>
                <w:lang w:val="en-US" w:eastAsia="zh-CN"/>
              </w:rPr>
              <w:t>3年</w:t>
            </w:r>
          </w:p>
        </w:tc>
      </w:tr>
      <w:tr w14:paraId="7A1C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F68925E">
            <w:pPr>
              <w:spacing w:line="360" w:lineRule="auto"/>
              <w:jc w:val="center"/>
              <w:rPr>
                <w:color w:val="auto"/>
                <w:sz w:val="24"/>
                <w:szCs w:val="24"/>
              </w:rPr>
            </w:pPr>
            <w:r>
              <w:rPr>
                <w:rFonts w:hint="eastAsia"/>
                <w:color w:val="auto"/>
                <w:sz w:val="24"/>
                <w:szCs w:val="24"/>
              </w:rPr>
              <w:t>单价（元）</w:t>
            </w:r>
          </w:p>
        </w:tc>
        <w:tc>
          <w:tcPr>
            <w:tcW w:w="5835" w:type="dxa"/>
            <w:vAlign w:val="top"/>
          </w:tcPr>
          <w:p w14:paraId="0162729C">
            <w:pPr>
              <w:spacing w:line="360" w:lineRule="auto"/>
              <w:jc w:val="left"/>
              <w:rPr>
                <w:rFonts w:hint="eastAsia" w:eastAsia="宋体"/>
                <w:color w:val="auto"/>
                <w:sz w:val="24"/>
                <w:szCs w:val="24"/>
                <w:lang w:val="en-US" w:eastAsia="zh-CN"/>
              </w:rPr>
            </w:pPr>
            <w:r>
              <w:rPr>
                <w:rFonts w:hint="eastAsia"/>
                <w:color w:val="auto"/>
                <w:sz w:val="24"/>
                <w:szCs w:val="24"/>
                <w:lang w:val="en-US" w:eastAsia="zh-CN"/>
              </w:rPr>
              <w:t xml:space="preserve"> </w:t>
            </w:r>
          </w:p>
        </w:tc>
      </w:tr>
      <w:tr w14:paraId="2AA9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41EEB35">
            <w:pPr>
              <w:spacing w:line="360" w:lineRule="auto"/>
              <w:jc w:val="center"/>
              <w:rPr>
                <w:color w:val="auto"/>
                <w:sz w:val="24"/>
                <w:szCs w:val="24"/>
              </w:rPr>
            </w:pPr>
            <w:r>
              <w:rPr>
                <w:rFonts w:hint="eastAsia"/>
                <w:color w:val="auto"/>
                <w:sz w:val="24"/>
                <w:szCs w:val="24"/>
              </w:rPr>
              <w:t>总价（元）</w:t>
            </w:r>
          </w:p>
        </w:tc>
        <w:tc>
          <w:tcPr>
            <w:tcW w:w="5835" w:type="dxa"/>
            <w:vAlign w:val="top"/>
          </w:tcPr>
          <w:p w14:paraId="333B5708">
            <w:pPr>
              <w:spacing w:line="360" w:lineRule="auto"/>
              <w:jc w:val="left"/>
              <w:rPr>
                <w:color w:val="auto"/>
                <w:sz w:val="24"/>
                <w:szCs w:val="24"/>
              </w:rPr>
            </w:pPr>
          </w:p>
        </w:tc>
      </w:tr>
      <w:tr w14:paraId="735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4A2497A">
            <w:pPr>
              <w:spacing w:line="360" w:lineRule="auto"/>
              <w:jc w:val="center"/>
              <w:rPr>
                <w:rFonts w:hint="default" w:eastAsia="宋体"/>
                <w:color w:val="auto"/>
                <w:sz w:val="24"/>
                <w:szCs w:val="24"/>
                <w:lang w:val="en-US" w:eastAsia="zh-CN"/>
              </w:rPr>
            </w:pPr>
            <w:r>
              <w:rPr>
                <w:rFonts w:hint="eastAsia"/>
                <w:color w:val="auto"/>
                <w:sz w:val="24"/>
                <w:szCs w:val="24"/>
                <w:lang w:val="en-US" w:eastAsia="zh-CN"/>
              </w:rPr>
              <w:t>本项目拟参与工程师人数</w:t>
            </w:r>
          </w:p>
        </w:tc>
        <w:tc>
          <w:tcPr>
            <w:tcW w:w="5835" w:type="dxa"/>
            <w:vAlign w:val="top"/>
          </w:tcPr>
          <w:p w14:paraId="230EC922">
            <w:pPr>
              <w:spacing w:line="360" w:lineRule="auto"/>
              <w:jc w:val="left"/>
              <w:rPr>
                <w:color w:val="auto"/>
                <w:sz w:val="24"/>
                <w:szCs w:val="24"/>
              </w:rPr>
            </w:pPr>
          </w:p>
        </w:tc>
      </w:tr>
      <w:tr w14:paraId="389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7A9D70F">
            <w:pPr>
              <w:spacing w:line="360" w:lineRule="auto"/>
              <w:jc w:val="center"/>
              <w:rPr>
                <w:rFonts w:hint="default"/>
                <w:color w:val="auto"/>
                <w:sz w:val="24"/>
                <w:szCs w:val="24"/>
                <w:lang w:val="en-US" w:eastAsia="zh-CN"/>
              </w:rPr>
            </w:pPr>
          </w:p>
        </w:tc>
        <w:tc>
          <w:tcPr>
            <w:tcW w:w="5835" w:type="dxa"/>
            <w:vAlign w:val="top"/>
          </w:tcPr>
          <w:p w14:paraId="4FF8DB93">
            <w:pPr>
              <w:spacing w:line="360" w:lineRule="auto"/>
              <w:jc w:val="left"/>
              <w:rPr>
                <w:color w:val="auto"/>
                <w:sz w:val="24"/>
                <w:szCs w:val="24"/>
              </w:rPr>
            </w:pPr>
          </w:p>
        </w:tc>
      </w:tr>
    </w:tbl>
    <w:p w14:paraId="1A1BBC88">
      <w:pPr>
        <w:jc w:val="center"/>
        <w:rPr>
          <w:rFonts w:hint="eastAsia"/>
          <w:color w:val="auto"/>
          <w:sz w:val="24"/>
          <w:szCs w:val="24"/>
        </w:rPr>
      </w:pPr>
      <w:r>
        <w:rPr>
          <w:rFonts w:hint="eastAsia"/>
          <w:color w:val="auto"/>
          <w:sz w:val="24"/>
          <w:szCs w:val="24"/>
        </w:rPr>
        <w:t xml:space="preserve">                                                                              </w:t>
      </w:r>
    </w:p>
    <w:p w14:paraId="726128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52D84E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6B43FE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12F89C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37CB8A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6FAFB2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5C8675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124055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634EA4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224393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64B295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AA89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1C5777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498FD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7ACC3F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4F772A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061AF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p>
    <w:p w14:paraId="09992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报价公司（盖章）：</w:t>
      </w:r>
    </w:p>
    <w:p w14:paraId="20A62B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rPr>
      </w:pPr>
      <w:r>
        <w:rPr>
          <w:rFonts w:hint="eastAsia"/>
          <w:color w:val="auto"/>
          <w:sz w:val="24"/>
          <w:szCs w:val="24"/>
        </w:rPr>
        <w:t>报价联系人：</w:t>
      </w:r>
    </w:p>
    <w:p w14:paraId="6A099F88">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联系方式：</w:t>
      </w:r>
    </w:p>
    <w:p w14:paraId="5AF3B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color w:val="auto"/>
          <w:sz w:val="24"/>
          <w:szCs w:val="24"/>
        </w:rPr>
        <w:t>邮箱：</w:t>
      </w:r>
    </w:p>
    <w:p w14:paraId="48C065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8"/>
          <w:szCs w:val="28"/>
        </w:rPr>
      </w:pPr>
      <w:r>
        <w:rPr>
          <w:rFonts w:hint="eastAsia"/>
          <w:color w:val="auto"/>
          <w:sz w:val="24"/>
          <w:szCs w:val="24"/>
        </w:rPr>
        <w:t>报价时间：</w:t>
      </w:r>
    </w:p>
    <w:p w14:paraId="0EE42829">
      <w:pPr>
        <w:spacing w:line="440" w:lineRule="exact"/>
        <w:rPr>
          <w:rFonts w:hint="eastAsia"/>
          <w:b/>
          <w:bCs/>
          <w:color w:val="auto"/>
          <w:sz w:val="21"/>
          <w:szCs w:val="21"/>
        </w:rPr>
      </w:pPr>
    </w:p>
    <w:p w14:paraId="1D2425A0">
      <w:pPr>
        <w:spacing w:line="440" w:lineRule="exact"/>
        <w:rPr>
          <w:rFonts w:hint="eastAsia"/>
          <w:b/>
          <w:bCs/>
          <w:color w:val="FF0000"/>
          <w:sz w:val="21"/>
          <w:szCs w:val="21"/>
        </w:rPr>
      </w:pPr>
      <w:r>
        <w:rPr>
          <w:rFonts w:hint="eastAsia"/>
          <w:b/>
          <w:bCs/>
          <w:color w:val="FF0000"/>
          <w:sz w:val="21"/>
          <w:szCs w:val="21"/>
        </w:rPr>
        <w:t>报价供应商须同时提供以下资料</w:t>
      </w:r>
      <w:r>
        <w:rPr>
          <w:rFonts w:hint="eastAsia"/>
          <w:b/>
          <w:bCs/>
          <w:color w:val="FF0000"/>
          <w:sz w:val="21"/>
          <w:szCs w:val="21"/>
          <w:lang w:eastAsia="zh-CN"/>
        </w:rPr>
        <w:t>（</w:t>
      </w:r>
      <w:r>
        <w:rPr>
          <w:rFonts w:hint="eastAsia"/>
          <w:b/>
          <w:bCs/>
          <w:color w:val="FF0000"/>
          <w:sz w:val="21"/>
          <w:szCs w:val="21"/>
          <w:lang w:val="en-US" w:eastAsia="zh-CN"/>
        </w:rPr>
        <w:t>均需盖章</w:t>
      </w:r>
      <w:r>
        <w:rPr>
          <w:rFonts w:hint="eastAsia"/>
          <w:b/>
          <w:bCs/>
          <w:color w:val="FF0000"/>
          <w:sz w:val="21"/>
          <w:szCs w:val="21"/>
          <w:lang w:eastAsia="zh-CN"/>
        </w:rPr>
        <w:t>）</w:t>
      </w:r>
      <w:r>
        <w:rPr>
          <w:rFonts w:hint="eastAsia"/>
          <w:b/>
          <w:bCs/>
          <w:color w:val="FF0000"/>
          <w:sz w:val="21"/>
          <w:szCs w:val="21"/>
        </w:rPr>
        <w:t>：</w:t>
      </w:r>
    </w:p>
    <w:p w14:paraId="189F156F">
      <w:pPr>
        <w:numPr>
          <w:ilvl w:val="0"/>
          <w:numId w:val="1"/>
        </w:numPr>
        <w:spacing w:line="440" w:lineRule="exact"/>
        <w:rPr>
          <w:rFonts w:hint="eastAsia"/>
          <w:b/>
          <w:bCs/>
          <w:color w:val="auto"/>
          <w:sz w:val="21"/>
          <w:szCs w:val="21"/>
        </w:rPr>
      </w:pPr>
      <w:r>
        <w:rPr>
          <w:rFonts w:hint="eastAsia"/>
          <w:b/>
          <w:bCs/>
          <w:color w:val="auto"/>
          <w:sz w:val="21"/>
          <w:szCs w:val="21"/>
          <w:lang w:val="en-US" w:eastAsia="zh-CN"/>
        </w:rPr>
        <w:t>报价单</w:t>
      </w:r>
    </w:p>
    <w:p w14:paraId="491E57C1">
      <w:pPr>
        <w:numPr>
          <w:ilvl w:val="0"/>
          <w:numId w:val="1"/>
        </w:numPr>
        <w:spacing w:line="440" w:lineRule="exact"/>
        <w:rPr>
          <w:rFonts w:hint="eastAsia"/>
          <w:b/>
          <w:bCs/>
          <w:color w:val="auto"/>
          <w:sz w:val="21"/>
          <w:szCs w:val="21"/>
        </w:rPr>
      </w:pPr>
      <w:r>
        <w:rPr>
          <w:rFonts w:hint="eastAsia"/>
          <w:b/>
          <w:bCs/>
          <w:color w:val="auto"/>
          <w:sz w:val="21"/>
          <w:szCs w:val="21"/>
        </w:rPr>
        <w:t>参数偏离情况表</w:t>
      </w:r>
    </w:p>
    <w:p w14:paraId="1B292B3E">
      <w:pPr>
        <w:numPr>
          <w:ilvl w:val="0"/>
          <w:numId w:val="1"/>
        </w:numPr>
        <w:spacing w:line="440" w:lineRule="exact"/>
        <w:rPr>
          <w:rFonts w:hint="eastAsia"/>
          <w:b/>
          <w:bCs/>
          <w:color w:val="auto"/>
          <w:sz w:val="24"/>
        </w:rPr>
      </w:pPr>
      <w:r>
        <w:rPr>
          <w:rFonts w:hint="eastAsia"/>
          <w:b/>
          <w:bCs/>
          <w:color w:val="auto"/>
          <w:sz w:val="24"/>
          <w:lang w:val="en-US" w:eastAsia="zh-CN"/>
        </w:rPr>
        <w:t>2021年1月1日至今的医院名单、维保时间、成交金额（针对MR设备维保项目）</w:t>
      </w:r>
    </w:p>
    <w:p w14:paraId="06662167">
      <w:pPr>
        <w:numPr>
          <w:ilvl w:val="0"/>
          <w:numId w:val="1"/>
        </w:numPr>
        <w:spacing w:line="440" w:lineRule="exact"/>
        <w:rPr>
          <w:rFonts w:hint="eastAsia"/>
          <w:b/>
          <w:bCs/>
          <w:color w:val="auto"/>
          <w:sz w:val="24"/>
        </w:rPr>
      </w:pPr>
      <w:r>
        <w:rPr>
          <w:rFonts w:hint="eastAsia"/>
          <w:b/>
          <w:bCs/>
          <w:color w:val="auto"/>
          <w:sz w:val="21"/>
          <w:szCs w:val="21"/>
          <w:lang w:val="en-US" w:eastAsia="zh-CN"/>
        </w:rPr>
        <w:t>拟参与本项目的工程师名单及人员</w:t>
      </w:r>
      <w:bookmarkStart w:id="0" w:name="_GoBack"/>
      <w:bookmarkEnd w:id="0"/>
      <w:r>
        <w:rPr>
          <w:rFonts w:hint="eastAsia"/>
          <w:b/>
          <w:bCs/>
          <w:color w:val="auto"/>
          <w:sz w:val="21"/>
          <w:szCs w:val="21"/>
          <w:lang w:val="en-US" w:eastAsia="zh-CN"/>
        </w:rPr>
        <w:t>资质</w:t>
      </w:r>
    </w:p>
    <w:p w14:paraId="4BC9FE65">
      <w:pPr>
        <w:numPr>
          <w:ilvl w:val="0"/>
          <w:numId w:val="1"/>
        </w:numPr>
        <w:spacing w:line="440" w:lineRule="exact"/>
        <w:rPr>
          <w:rFonts w:hint="eastAsia"/>
          <w:b/>
          <w:bCs/>
          <w:color w:val="auto"/>
          <w:sz w:val="24"/>
        </w:rPr>
      </w:pPr>
      <w:r>
        <w:rPr>
          <w:rFonts w:hint="eastAsia"/>
          <w:b/>
          <w:bCs/>
          <w:color w:val="auto"/>
          <w:sz w:val="21"/>
          <w:szCs w:val="21"/>
        </w:rPr>
        <w:t>供应商</w:t>
      </w:r>
      <w:r>
        <w:rPr>
          <w:rFonts w:hint="eastAsia"/>
          <w:b/>
          <w:bCs/>
          <w:color w:val="auto"/>
          <w:sz w:val="21"/>
          <w:szCs w:val="21"/>
          <w:lang w:val="en-US" w:eastAsia="zh-CN"/>
        </w:rPr>
        <w:t>及厂家</w:t>
      </w:r>
      <w:r>
        <w:rPr>
          <w:rFonts w:hint="eastAsia"/>
          <w:b/>
          <w:bCs/>
          <w:color w:val="auto"/>
          <w:sz w:val="21"/>
          <w:szCs w:val="21"/>
        </w:rPr>
        <w:t>证件</w:t>
      </w:r>
      <w:r>
        <w:rPr>
          <w:rFonts w:hint="eastAsia"/>
          <w:b/>
          <w:bCs/>
          <w:color w:val="auto"/>
          <w:sz w:val="21"/>
          <w:szCs w:val="21"/>
          <w:lang w:eastAsia="zh-CN"/>
        </w:rPr>
        <w:t>（</w:t>
      </w:r>
      <w:r>
        <w:rPr>
          <w:rFonts w:hint="eastAsia"/>
          <w:b/>
          <w:bCs/>
          <w:color w:val="auto"/>
          <w:sz w:val="21"/>
          <w:szCs w:val="21"/>
          <w:lang w:val="en-US" w:eastAsia="zh-CN"/>
        </w:rPr>
        <w:t>营业执照、医疗器械经营许可证/备案凭证、生产许可证、授权书等</w:t>
      </w:r>
      <w:r>
        <w:rPr>
          <w:rFonts w:hint="eastAsia"/>
          <w:b/>
          <w:bCs/>
          <w:color w:val="auto"/>
          <w:sz w:val="21"/>
          <w:szCs w:val="21"/>
          <w:lang w:eastAsia="zh-CN"/>
        </w:rPr>
        <w:t>）</w:t>
      </w:r>
    </w:p>
    <w:p w14:paraId="05ED4493">
      <w:pPr>
        <w:numPr>
          <w:numId w:val="0"/>
        </w:numPr>
        <w:spacing w:line="440" w:lineRule="exact"/>
        <w:rPr>
          <w:rFonts w:hint="eastAsia"/>
          <w:b/>
          <w:bCs/>
          <w:color w:val="auto"/>
          <w:sz w:val="24"/>
        </w:rPr>
      </w:pPr>
    </w:p>
    <w:p w14:paraId="00781A34">
      <w:pPr>
        <w:pStyle w:val="3"/>
        <w:rPr>
          <w:rFonts w:hint="eastAsia"/>
          <w:b/>
          <w:bCs/>
          <w:color w:val="auto"/>
          <w:sz w:val="24"/>
        </w:rPr>
      </w:pPr>
    </w:p>
    <w:p w14:paraId="5CAD334B">
      <w:pPr>
        <w:spacing w:line="440" w:lineRule="exact"/>
        <w:jc w:val="both"/>
        <w:rPr>
          <w:rFonts w:hint="eastAsia"/>
          <w:b/>
          <w:color w:val="auto"/>
          <w:sz w:val="32"/>
          <w:szCs w:val="32"/>
        </w:rPr>
      </w:pPr>
    </w:p>
    <w:p w14:paraId="7B8A55D1">
      <w:pPr>
        <w:spacing w:line="440" w:lineRule="exact"/>
        <w:jc w:val="center"/>
        <w:rPr>
          <w:b/>
          <w:color w:val="auto"/>
          <w:sz w:val="32"/>
          <w:szCs w:val="32"/>
        </w:rPr>
      </w:pPr>
      <w:r>
        <w:rPr>
          <w:rFonts w:hint="eastAsia"/>
          <w:b/>
          <w:color w:val="auto"/>
          <w:sz w:val="32"/>
          <w:szCs w:val="32"/>
        </w:rPr>
        <w:t>参数偏离情况表</w:t>
      </w:r>
    </w:p>
    <w:p w14:paraId="1DD9DC39">
      <w:pPr>
        <w:spacing w:line="440" w:lineRule="exact"/>
        <w:rPr>
          <w:b/>
          <w:bCs/>
          <w:color w:val="auto"/>
          <w:sz w:val="24"/>
        </w:rPr>
      </w:pPr>
      <w:r>
        <w:rPr>
          <w:rFonts w:hint="eastAsia"/>
          <w:b/>
          <w:bCs/>
          <w:color w:val="auto"/>
          <w:sz w:val="24"/>
        </w:rPr>
        <w:t>填写要求：</w:t>
      </w:r>
    </w:p>
    <w:p w14:paraId="6A6B8C28">
      <w:pPr>
        <w:spacing w:line="440" w:lineRule="exact"/>
        <w:rPr>
          <w:color w:val="auto"/>
          <w:sz w:val="24"/>
        </w:rPr>
      </w:pPr>
      <w:r>
        <w:rPr>
          <w:rFonts w:hint="eastAsia"/>
          <w:color w:val="auto"/>
          <w:sz w:val="24"/>
        </w:rPr>
        <w:t>1、请按用户需求</w:t>
      </w:r>
      <w:r>
        <w:rPr>
          <w:rFonts w:hint="eastAsia"/>
          <w:color w:val="auto"/>
          <w:sz w:val="24"/>
          <w:lang w:val="en-US" w:eastAsia="zh-CN"/>
        </w:rPr>
        <w:t>的</w:t>
      </w:r>
      <w:r>
        <w:rPr>
          <w:rFonts w:hint="eastAsia"/>
          <w:color w:val="auto"/>
          <w:sz w:val="24"/>
        </w:rPr>
        <w:t>要求</w:t>
      </w:r>
      <w:r>
        <w:rPr>
          <w:rFonts w:hint="eastAsia"/>
          <w:b/>
          <w:bCs/>
          <w:color w:val="auto"/>
          <w:sz w:val="24"/>
        </w:rPr>
        <w:t>逐条响应</w:t>
      </w:r>
      <w:r>
        <w:rPr>
          <w:rFonts w:hint="eastAsia"/>
          <w:color w:val="auto"/>
          <w:sz w:val="24"/>
        </w:rPr>
        <w:t>，正负偏离参数</w:t>
      </w:r>
      <w:r>
        <w:rPr>
          <w:rFonts w:hint="eastAsia"/>
          <w:color w:val="auto"/>
          <w:sz w:val="24"/>
          <w:lang w:val="en-US" w:eastAsia="zh-CN"/>
        </w:rPr>
        <w:t>请</w:t>
      </w:r>
      <w:r>
        <w:rPr>
          <w:rFonts w:hint="eastAsia"/>
          <w:color w:val="auto"/>
          <w:sz w:val="24"/>
        </w:rPr>
        <w:t>备注说明。</w:t>
      </w:r>
    </w:p>
    <w:p w14:paraId="15A54D4A">
      <w:pPr>
        <w:spacing w:line="440" w:lineRule="exact"/>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、其中带★的参数是</w:t>
      </w:r>
      <w:r>
        <w:rPr>
          <w:rFonts w:hint="eastAsia" w:ascii="宋体" w:hAnsi="宋体"/>
          <w:b/>
          <w:bCs/>
          <w:color w:val="auto"/>
          <w:sz w:val="24"/>
        </w:rPr>
        <w:t>必须完全响应</w:t>
      </w:r>
      <w:r>
        <w:rPr>
          <w:rFonts w:hint="eastAsia" w:ascii="宋体" w:hAnsi="宋体"/>
          <w:color w:val="auto"/>
          <w:sz w:val="24"/>
        </w:rPr>
        <w:t>的参数。</w:t>
      </w:r>
    </w:p>
    <w:p w14:paraId="3088029E">
      <w:pPr>
        <w:spacing w:line="440" w:lineRule="exact"/>
        <w:rPr>
          <w:rFonts w:hint="default" w:ascii="宋体" w:hAnsi="宋体" w:eastAsia="宋体"/>
          <w:color w:val="auto"/>
          <w:sz w:val="24"/>
          <w:lang w:val="en-US" w:eastAsia="zh-CN"/>
        </w:rPr>
      </w:pPr>
      <w:r>
        <w:rPr>
          <w:rFonts w:hint="eastAsia" w:ascii="宋体" w:hAnsi="宋体"/>
          <w:color w:val="auto"/>
          <w:sz w:val="24"/>
          <w:lang w:val="en-US" w:eastAsia="zh-CN"/>
        </w:rPr>
        <w:t>3、所投产品的</w:t>
      </w:r>
      <w:r>
        <w:rPr>
          <w:rFonts w:hint="eastAsia" w:ascii="宋体" w:hAnsi="宋体"/>
          <w:b/>
          <w:bCs/>
          <w:color w:val="auto"/>
          <w:sz w:val="24"/>
          <w:lang w:val="en-US" w:eastAsia="zh-CN"/>
        </w:rPr>
        <w:t>参数满足率≥90%</w:t>
      </w:r>
      <w:r>
        <w:rPr>
          <w:rFonts w:hint="eastAsia" w:ascii="宋体" w:hAnsi="宋体"/>
          <w:color w:val="auto"/>
          <w:sz w:val="24"/>
          <w:lang w:val="en-US" w:eastAsia="zh-CN"/>
        </w:rPr>
        <w:t>方视为满足需求的合格产品。</w:t>
      </w:r>
    </w:p>
    <w:p w14:paraId="27506DA1">
      <w:pPr>
        <w:spacing w:line="380" w:lineRule="exact"/>
        <w:rPr>
          <w:rFonts w:ascii="宋体" w:hAnsi="宋体"/>
          <w:color w:val="auto"/>
          <w:szCs w:val="21"/>
        </w:rPr>
      </w:pPr>
    </w:p>
    <w:p w14:paraId="3C02B5E6">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技术要求：</w:t>
      </w:r>
      <w:r>
        <w:rPr>
          <w:rFonts w:hint="eastAsia" w:asciiTheme="minorEastAsia" w:hAnsiTheme="minorEastAsia" w:eastAsiaTheme="minorEastAsia" w:cstheme="minorEastAsia"/>
          <w:color w:val="auto"/>
          <w:sz w:val="24"/>
        </w:rPr>
        <w:t>（请按用户需求里的技术要求及配置要求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p w14:paraId="3565A978">
      <w:pPr>
        <w:tabs>
          <w:tab w:val="left" w:pos="720"/>
        </w:tabs>
        <w:spacing w:line="340" w:lineRule="exact"/>
        <w:jc w:val="left"/>
        <w:rPr>
          <w:rFonts w:ascii="宋体" w:hAnsi="宋体"/>
          <w:b/>
          <w:bCs/>
          <w:color w:val="auto"/>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841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3CAE10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39049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技术参数项目</w:t>
            </w:r>
          </w:p>
        </w:tc>
        <w:tc>
          <w:tcPr>
            <w:tcW w:w="4638" w:type="dxa"/>
            <w:shd w:val="clear" w:color="000000" w:fill="FFFFFF"/>
            <w:noWrap/>
            <w:vAlign w:val="center"/>
          </w:tcPr>
          <w:p w14:paraId="2F149412">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技术参数及配置要求</w:t>
            </w:r>
          </w:p>
        </w:tc>
        <w:tc>
          <w:tcPr>
            <w:tcW w:w="1072" w:type="dxa"/>
            <w:shd w:val="clear" w:color="000000" w:fill="FFFFFF"/>
            <w:noWrap/>
            <w:vAlign w:val="center"/>
          </w:tcPr>
          <w:p w14:paraId="24A7613F">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0D9D467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5F76EF9E">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356B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0832A81">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4B82E0A8">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7840208D">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0ECA7641">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7251DC55">
            <w:pPr>
              <w:widowControl/>
              <w:spacing w:line="440" w:lineRule="exact"/>
              <w:rPr>
                <w:rFonts w:ascii="宋体" w:hAnsi="宋体" w:cs="宋体"/>
                <w:bCs/>
                <w:color w:val="auto"/>
                <w:sz w:val="18"/>
                <w:szCs w:val="18"/>
              </w:rPr>
            </w:pPr>
          </w:p>
        </w:tc>
      </w:tr>
      <w:tr w14:paraId="1AB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EA2E070">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1683F07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4FA94A60">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EF28604">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1E09927B">
            <w:pPr>
              <w:widowControl/>
              <w:spacing w:line="440" w:lineRule="exact"/>
              <w:rPr>
                <w:rFonts w:ascii="宋体" w:hAnsi="宋体" w:cs="宋体"/>
                <w:bCs/>
                <w:color w:val="auto"/>
                <w:sz w:val="18"/>
                <w:szCs w:val="18"/>
              </w:rPr>
            </w:pPr>
          </w:p>
        </w:tc>
      </w:tr>
      <w:tr w14:paraId="508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64408E1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B2AF939">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6646F8ED">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27AF8654">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456FB720">
            <w:pPr>
              <w:widowControl/>
              <w:spacing w:line="440" w:lineRule="exact"/>
              <w:rPr>
                <w:rFonts w:ascii="宋体" w:hAnsi="宋体" w:cs="宋体"/>
                <w:bCs/>
                <w:color w:val="auto"/>
                <w:sz w:val="18"/>
                <w:szCs w:val="18"/>
              </w:rPr>
            </w:pPr>
          </w:p>
        </w:tc>
      </w:tr>
      <w:tr w14:paraId="693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20947898">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4C340306">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062C976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35F968CE">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47F24E7C">
            <w:pPr>
              <w:widowControl/>
              <w:spacing w:line="440" w:lineRule="exact"/>
              <w:rPr>
                <w:rFonts w:ascii="宋体" w:hAnsi="宋体" w:cs="宋体"/>
                <w:bCs/>
                <w:color w:val="auto"/>
                <w:sz w:val="18"/>
                <w:szCs w:val="18"/>
              </w:rPr>
            </w:pPr>
          </w:p>
        </w:tc>
      </w:tr>
      <w:tr w14:paraId="3109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44F7F6E">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4A818420">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64171F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4ED65404">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D170AF">
            <w:pPr>
              <w:widowControl/>
              <w:spacing w:line="440" w:lineRule="exact"/>
              <w:rPr>
                <w:rFonts w:ascii="宋体" w:hAnsi="宋体" w:cs="宋体"/>
                <w:bCs/>
                <w:color w:val="auto"/>
                <w:sz w:val="18"/>
                <w:szCs w:val="18"/>
              </w:rPr>
            </w:pPr>
          </w:p>
        </w:tc>
      </w:tr>
      <w:tr w14:paraId="3958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1194B30D">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1930A894">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5B5EB9A0">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6987548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5704B57D">
            <w:pPr>
              <w:widowControl/>
              <w:spacing w:line="440" w:lineRule="exact"/>
              <w:rPr>
                <w:rFonts w:ascii="宋体" w:hAnsi="宋体" w:cs="宋体"/>
                <w:bCs/>
                <w:color w:val="auto"/>
                <w:sz w:val="18"/>
                <w:szCs w:val="18"/>
              </w:rPr>
            </w:pPr>
          </w:p>
        </w:tc>
      </w:tr>
      <w:tr w14:paraId="44F2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704D7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32F0B88C">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60A39E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6C0E0B2C">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3EEF73B9">
            <w:pPr>
              <w:widowControl/>
              <w:spacing w:line="440" w:lineRule="exact"/>
              <w:rPr>
                <w:rFonts w:ascii="宋体" w:hAnsi="宋体" w:cs="宋体"/>
                <w:bCs/>
                <w:color w:val="auto"/>
                <w:sz w:val="18"/>
                <w:szCs w:val="18"/>
              </w:rPr>
            </w:pPr>
          </w:p>
        </w:tc>
      </w:tr>
    </w:tbl>
    <w:p w14:paraId="71119EBB">
      <w:pPr>
        <w:spacing w:line="340" w:lineRule="exact"/>
        <w:rPr>
          <w:rFonts w:ascii="宋体"/>
          <w:color w:val="auto"/>
          <w:sz w:val="30"/>
          <w:szCs w:val="30"/>
        </w:rPr>
      </w:pPr>
    </w:p>
    <w:p w14:paraId="4C0FC5C7">
      <w:pPr>
        <w:numPr>
          <w:ilvl w:val="0"/>
          <w:numId w:val="2"/>
        </w:numPr>
        <w:tabs>
          <w:tab w:val="left" w:pos="720"/>
        </w:tabs>
        <w:spacing w:line="340" w:lineRule="exact"/>
        <w:jc w:val="left"/>
        <w:rPr>
          <w:rFonts w:ascii="宋体" w:hAnsi="宋体"/>
          <w:b/>
          <w:bCs/>
          <w:color w:val="auto"/>
          <w:sz w:val="30"/>
          <w:szCs w:val="30"/>
        </w:rPr>
      </w:pPr>
      <w:r>
        <w:rPr>
          <w:rFonts w:hint="eastAsia" w:ascii="宋体" w:hAnsi="宋体"/>
          <w:b/>
          <w:bCs/>
          <w:color w:val="auto"/>
          <w:sz w:val="30"/>
          <w:szCs w:val="30"/>
        </w:rPr>
        <w:t>商务要求：</w:t>
      </w:r>
      <w:r>
        <w:rPr>
          <w:rFonts w:hint="eastAsia" w:asciiTheme="minorEastAsia" w:hAnsiTheme="minorEastAsia" w:eastAsiaTheme="minorEastAsia" w:cstheme="minorEastAsia"/>
          <w:color w:val="auto"/>
          <w:sz w:val="24"/>
        </w:rPr>
        <w:t>（请按用户需求里的商务要求</w:t>
      </w:r>
      <w:r>
        <w:rPr>
          <w:rFonts w:hint="eastAsia" w:asciiTheme="minorEastAsia" w:hAnsiTheme="minorEastAsia" w:eastAsiaTheme="minorEastAsia" w:cstheme="minorEastAsia"/>
          <w:color w:val="auto"/>
          <w:sz w:val="24"/>
          <w:highlight w:val="yellow"/>
        </w:rPr>
        <w:t>逐条</w:t>
      </w:r>
      <w:r>
        <w:rPr>
          <w:rFonts w:hint="eastAsia" w:asciiTheme="minorEastAsia" w:hAnsiTheme="minorEastAsia" w:eastAsiaTheme="minorEastAsia" w:cstheme="minorEastAsia"/>
          <w:color w:val="auto"/>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0DF2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BCC4ACA">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序号</w:t>
            </w:r>
          </w:p>
        </w:tc>
        <w:tc>
          <w:tcPr>
            <w:tcW w:w="1116" w:type="dxa"/>
            <w:shd w:val="clear" w:color="000000" w:fill="FFFFFF"/>
            <w:noWrap/>
            <w:vAlign w:val="center"/>
          </w:tcPr>
          <w:p w14:paraId="23605997">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商务参数项目</w:t>
            </w:r>
          </w:p>
        </w:tc>
        <w:tc>
          <w:tcPr>
            <w:tcW w:w="4638" w:type="dxa"/>
            <w:shd w:val="clear" w:color="000000" w:fill="FFFFFF"/>
            <w:noWrap/>
            <w:vAlign w:val="center"/>
          </w:tcPr>
          <w:p w14:paraId="7A2525A3">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kern w:val="0"/>
                <w:szCs w:val="21"/>
                <w:lang w:val="zh-CN"/>
              </w:rPr>
              <w:t>商务要求</w:t>
            </w:r>
          </w:p>
        </w:tc>
        <w:tc>
          <w:tcPr>
            <w:tcW w:w="1072" w:type="dxa"/>
            <w:shd w:val="clear" w:color="000000" w:fill="FFFFFF"/>
            <w:noWrap/>
            <w:vAlign w:val="center"/>
          </w:tcPr>
          <w:p w14:paraId="77B097AE">
            <w:pPr>
              <w:tabs>
                <w:tab w:val="left" w:pos="720"/>
              </w:tabs>
              <w:spacing w:line="440" w:lineRule="exact"/>
              <w:jc w:val="center"/>
              <w:rPr>
                <w:rFonts w:ascii="宋体" w:hAnsi="宋体" w:cs="宋体"/>
                <w:bCs/>
                <w:color w:val="auto"/>
                <w:szCs w:val="21"/>
              </w:rPr>
            </w:pPr>
            <w:r>
              <w:rPr>
                <w:rFonts w:hint="eastAsia" w:ascii="宋体" w:hAnsi="宋体" w:cs="宋体"/>
                <w:bCs/>
                <w:color w:val="auto"/>
                <w:szCs w:val="21"/>
              </w:rPr>
              <w:t>完全响应或</w:t>
            </w:r>
          </w:p>
          <w:p w14:paraId="5E938491">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正/负偏离</w:t>
            </w:r>
          </w:p>
        </w:tc>
        <w:tc>
          <w:tcPr>
            <w:tcW w:w="1669" w:type="dxa"/>
            <w:shd w:val="clear" w:color="000000" w:fill="FFFFFF"/>
            <w:noWrap/>
            <w:vAlign w:val="center"/>
          </w:tcPr>
          <w:p w14:paraId="4DDAFC2F">
            <w:pPr>
              <w:autoSpaceDE w:val="0"/>
              <w:autoSpaceDN w:val="0"/>
              <w:adjustRightInd w:val="0"/>
              <w:spacing w:line="440" w:lineRule="exact"/>
              <w:jc w:val="center"/>
              <w:rPr>
                <w:rFonts w:ascii="宋体" w:hAnsi="宋体" w:cs="宋体"/>
                <w:bCs/>
                <w:color w:val="auto"/>
                <w:kern w:val="0"/>
                <w:szCs w:val="21"/>
                <w:lang w:val="zh-CN"/>
              </w:rPr>
            </w:pPr>
            <w:r>
              <w:rPr>
                <w:rFonts w:hint="eastAsia" w:ascii="宋体" w:hAnsi="宋体" w:cs="宋体"/>
                <w:bCs/>
                <w:color w:val="auto"/>
                <w:szCs w:val="21"/>
              </w:rPr>
              <w:t>偏离情况说明</w:t>
            </w:r>
          </w:p>
        </w:tc>
      </w:tr>
      <w:tr w14:paraId="7778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22993F3B">
            <w:pPr>
              <w:autoSpaceDE w:val="0"/>
              <w:autoSpaceDN w:val="0"/>
              <w:adjustRightInd w:val="0"/>
              <w:spacing w:line="4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c>
          <w:tcPr>
            <w:tcW w:w="1116" w:type="dxa"/>
            <w:vMerge w:val="restart"/>
            <w:shd w:val="clear" w:color="000000" w:fill="FFFFFF"/>
            <w:noWrap/>
            <w:vAlign w:val="center"/>
          </w:tcPr>
          <w:p w14:paraId="19EC9D5D">
            <w:pPr>
              <w:autoSpaceDE w:val="0"/>
              <w:autoSpaceDN w:val="0"/>
              <w:adjustRightInd w:val="0"/>
              <w:spacing w:line="440" w:lineRule="exact"/>
              <w:jc w:val="center"/>
              <w:rPr>
                <w:rFonts w:ascii="宋体" w:hAnsi="宋体" w:cs="宋体"/>
                <w:bCs/>
                <w:color w:val="auto"/>
                <w:kern w:val="0"/>
                <w:sz w:val="18"/>
                <w:szCs w:val="18"/>
                <w:lang w:val="zh-CN"/>
              </w:rPr>
            </w:pPr>
          </w:p>
        </w:tc>
        <w:tc>
          <w:tcPr>
            <w:tcW w:w="4638" w:type="dxa"/>
            <w:shd w:val="clear" w:color="000000" w:fill="FFFFFF"/>
            <w:noWrap/>
            <w:vAlign w:val="center"/>
          </w:tcPr>
          <w:p w14:paraId="1F8F0EA2">
            <w:pPr>
              <w:tabs>
                <w:tab w:val="left" w:pos="720"/>
              </w:tabs>
              <w:jc w:val="left"/>
              <w:rPr>
                <w:rFonts w:ascii="宋体" w:hAnsi="宋体" w:cs="宋体"/>
                <w:bCs/>
                <w:color w:val="auto"/>
                <w:kern w:val="0"/>
                <w:sz w:val="18"/>
                <w:szCs w:val="18"/>
                <w:lang w:val="zh-CN"/>
              </w:rPr>
            </w:pPr>
            <w:r>
              <w:rPr>
                <w:rFonts w:hint="eastAsia" w:ascii="宋体" w:hAnsi="宋体" w:cs="宋体"/>
                <w:bCs/>
                <w:color w:val="auto"/>
                <w:kern w:val="0"/>
                <w:sz w:val="18"/>
                <w:szCs w:val="18"/>
                <w:lang w:val="zh-CN"/>
              </w:rPr>
              <w:t>1.1</w:t>
            </w:r>
          </w:p>
        </w:tc>
        <w:tc>
          <w:tcPr>
            <w:tcW w:w="1072" w:type="dxa"/>
            <w:shd w:val="clear" w:color="000000" w:fill="FFFFFF"/>
            <w:noWrap/>
            <w:vAlign w:val="center"/>
          </w:tcPr>
          <w:p w14:paraId="1692FE16">
            <w:pPr>
              <w:autoSpaceDE w:val="0"/>
              <w:autoSpaceDN w:val="0"/>
              <w:adjustRightInd w:val="0"/>
              <w:spacing w:line="440" w:lineRule="exact"/>
              <w:jc w:val="center"/>
              <w:rPr>
                <w:rFonts w:ascii="宋体" w:hAnsi="宋体" w:cs="宋体"/>
                <w:bCs/>
                <w:color w:val="auto"/>
                <w:sz w:val="18"/>
                <w:szCs w:val="18"/>
              </w:rPr>
            </w:pPr>
          </w:p>
        </w:tc>
        <w:tc>
          <w:tcPr>
            <w:tcW w:w="1669" w:type="dxa"/>
            <w:shd w:val="clear" w:color="000000" w:fill="FFFFFF"/>
            <w:noWrap/>
            <w:vAlign w:val="center"/>
          </w:tcPr>
          <w:p w14:paraId="2B0BA429">
            <w:pPr>
              <w:widowControl/>
              <w:spacing w:line="440" w:lineRule="exact"/>
              <w:rPr>
                <w:rFonts w:ascii="宋体" w:hAnsi="宋体" w:cs="宋体"/>
                <w:bCs/>
                <w:color w:val="auto"/>
                <w:sz w:val="18"/>
                <w:szCs w:val="18"/>
              </w:rPr>
            </w:pPr>
          </w:p>
        </w:tc>
      </w:tr>
      <w:tr w14:paraId="714E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09E2A38">
            <w:pPr>
              <w:autoSpaceDE w:val="0"/>
              <w:autoSpaceDN w:val="0"/>
              <w:adjustRightInd w:val="0"/>
              <w:spacing w:line="440" w:lineRule="exact"/>
              <w:jc w:val="center"/>
              <w:rPr>
                <w:rFonts w:ascii="宋体" w:hAnsi="宋体" w:cs="宋体"/>
                <w:bCs/>
                <w:color w:val="auto"/>
                <w:kern w:val="0"/>
                <w:sz w:val="18"/>
                <w:szCs w:val="18"/>
              </w:rPr>
            </w:pPr>
          </w:p>
        </w:tc>
        <w:tc>
          <w:tcPr>
            <w:tcW w:w="1116" w:type="dxa"/>
            <w:vMerge w:val="continue"/>
            <w:shd w:val="clear" w:color="000000" w:fill="FFFFFF"/>
            <w:noWrap/>
            <w:vAlign w:val="center"/>
          </w:tcPr>
          <w:p w14:paraId="30D23D1A">
            <w:pPr>
              <w:autoSpaceDE w:val="0"/>
              <w:autoSpaceDN w:val="0"/>
              <w:adjustRightInd w:val="0"/>
              <w:spacing w:line="440" w:lineRule="exact"/>
              <w:jc w:val="center"/>
              <w:rPr>
                <w:rFonts w:ascii="宋体" w:hAnsi="宋体" w:cs="宋体"/>
                <w:bCs/>
                <w:color w:val="auto"/>
                <w:sz w:val="18"/>
                <w:szCs w:val="18"/>
              </w:rPr>
            </w:pPr>
          </w:p>
        </w:tc>
        <w:tc>
          <w:tcPr>
            <w:tcW w:w="4638" w:type="dxa"/>
            <w:vMerge w:val="restart"/>
            <w:shd w:val="clear" w:color="000000" w:fill="FFFFFF"/>
            <w:noWrap/>
            <w:vAlign w:val="center"/>
          </w:tcPr>
          <w:p w14:paraId="6A040FE7">
            <w:pPr>
              <w:tabs>
                <w:tab w:val="left" w:pos="720"/>
              </w:tabs>
              <w:jc w:val="left"/>
              <w:rPr>
                <w:rFonts w:ascii="宋体" w:hAnsi="宋体" w:cs="宋体"/>
                <w:bCs/>
                <w:color w:val="auto"/>
                <w:sz w:val="18"/>
                <w:szCs w:val="18"/>
              </w:rPr>
            </w:pPr>
            <w:r>
              <w:rPr>
                <w:rFonts w:hint="eastAsia" w:ascii="宋体" w:hAnsi="宋体" w:cs="宋体"/>
                <w:bCs/>
                <w:color w:val="auto"/>
                <w:sz w:val="18"/>
                <w:szCs w:val="18"/>
              </w:rPr>
              <w:t>1.2</w:t>
            </w:r>
          </w:p>
        </w:tc>
        <w:tc>
          <w:tcPr>
            <w:tcW w:w="1072" w:type="dxa"/>
            <w:vMerge w:val="restart"/>
            <w:shd w:val="clear" w:color="000000" w:fill="FFFFFF"/>
            <w:noWrap/>
            <w:vAlign w:val="center"/>
          </w:tcPr>
          <w:p w14:paraId="51821811">
            <w:pPr>
              <w:autoSpaceDE w:val="0"/>
              <w:autoSpaceDN w:val="0"/>
              <w:adjustRightInd w:val="0"/>
              <w:spacing w:line="440" w:lineRule="exact"/>
              <w:jc w:val="center"/>
              <w:rPr>
                <w:rFonts w:ascii="宋体" w:hAnsi="宋体" w:cs="宋体"/>
                <w:bCs/>
                <w:color w:val="auto"/>
                <w:sz w:val="18"/>
                <w:szCs w:val="18"/>
              </w:rPr>
            </w:pPr>
          </w:p>
        </w:tc>
        <w:tc>
          <w:tcPr>
            <w:tcW w:w="1669" w:type="dxa"/>
            <w:vMerge w:val="restart"/>
            <w:shd w:val="clear" w:color="000000" w:fill="FFFFFF"/>
            <w:noWrap/>
            <w:vAlign w:val="center"/>
          </w:tcPr>
          <w:p w14:paraId="27496899">
            <w:pPr>
              <w:widowControl/>
              <w:spacing w:line="440" w:lineRule="exact"/>
              <w:rPr>
                <w:rFonts w:ascii="宋体" w:hAnsi="宋体" w:cs="宋体"/>
                <w:bCs/>
                <w:color w:val="auto"/>
                <w:sz w:val="18"/>
                <w:szCs w:val="18"/>
              </w:rPr>
            </w:pPr>
          </w:p>
        </w:tc>
      </w:tr>
      <w:tr w14:paraId="5F7B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438323A">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65C8EBB4">
            <w:pPr>
              <w:widowControl/>
              <w:spacing w:line="440" w:lineRule="exact"/>
              <w:jc w:val="center"/>
              <w:rPr>
                <w:rFonts w:ascii="宋体" w:hAnsi="宋体" w:cs="宋体"/>
                <w:bCs/>
                <w:color w:val="auto"/>
                <w:sz w:val="18"/>
                <w:szCs w:val="18"/>
              </w:rPr>
            </w:pPr>
          </w:p>
        </w:tc>
        <w:tc>
          <w:tcPr>
            <w:tcW w:w="4638" w:type="dxa"/>
            <w:vMerge w:val="continue"/>
            <w:shd w:val="clear" w:color="000000" w:fill="FFFFFF"/>
            <w:noWrap/>
            <w:vAlign w:val="center"/>
          </w:tcPr>
          <w:p w14:paraId="5B5098E6">
            <w:pPr>
              <w:numPr>
                <w:ilvl w:val="0"/>
                <w:numId w:val="3"/>
              </w:numPr>
              <w:tabs>
                <w:tab w:val="left" w:pos="720"/>
              </w:tabs>
              <w:jc w:val="left"/>
              <w:rPr>
                <w:rFonts w:ascii="宋体" w:hAnsi="宋体" w:cs="宋体"/>
                <w:bCs/>
                <w:color w:val="auto"/>
                <w:sz w:val="18"/>
                <w:szCs w:val="18"/>
              </w:rPr>
            </w:pPr>
          </w:p>
        </w:tc>
        <w:tc>
          <w:tcPr>
            <w:tcW w:w="1072" w:type="dxa"/>
            <w:vMerge w:val="continue"/>
            <w:shd w:val="clear" w:color="000000" w:fill="FFFFFF"/>
            <w:noWrap/>
            <w:vAlign w:val="center"/>
          </w:tcPr>
          <w:p w14:paraId="09A0640D">
            <w:pPr>
              <w:widowControl/>
              <w:spacing w:line="440" w:lineRule="exact"/>
              <w:jc w:val="center"/>
              <w:rPr>
                <w:rFonts w:ascii="宋体" w:hAnsi="宋体" w:cs="宋体"/>
                <w:bCs/>
                <w:color w:val="auto"/>
                <w:sz w:val="18"/>
                <w:szCs w:val="18"/>
              </w:rPr>
            </w:pPr>
          </w:p>
        </w:tc>
        <w:tc>
          <w:tcPr>
            <w:tcW w:w="1669" w:type="dxa"/>
            <w:vMerge w:val="continue"/>
            <w:shd w:val="clear" w:color="000000" w:fill="FFFFFF"/>
            <w:noWrap/>
            <w:vAlign w:val="center"/>
          </w:tcPr>
          <w:p w14:paraId="585D79D5">
            <w:pPr>
              <w:widowControl/>
              <w:spacing w:line="440" w:lineRule="exact"/>
              <w:rPr>
                <w:rFonts w:ascii="宋体" w:hAnsi="宋体" w:cs="宋体"/>
                <w:bCs/>
                <w:color w:val="auto"/>
                <w:sz w:val="18"/>
                <w:szCs w:val="18"/>
              </w:rPr>
            </w:pPr>
          </w:p>
        </w:tc>
      </w:tr>
      <w:tr w14:paraId="602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6D128EE">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278A13F7">
            <w:pPr>
              <w:widowControl/>
              <w:spacing w:line="440" w:lineRule="exact"/>
              <w:jc w:val="center"/>
              <w:rPr>
                <w:rFonts w:ascii="宋体" w:hAnsi="宋体" w:cs="宋体"/>
                <w:bCs/>
                <w:color w:val="auto"/>
                <w:sz w:val="18"/>
                <w:szCs w:val="18"/>
              </w:rPr>
            </w:pPr>
          </w:p>
        </w:tc>
        <w:tc>
          <w:tcPr>
            <w:tcW w:w="4638" w:type="dxa"/>
            <w:shd w:val="clear" w:color="000000" w:fill="FFFFFF"/>
            <w:noWrap/>
            <w:vAlign w:val="center"/>
          </w:tcPr>
          <w:p w14:paraId="6FA6D3B2">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1.3</w:t>
            </w:r>
          </w:p>
        </w:tc>
        <w:tc>
          <w:tcPr>
            <w:tcW w:w="1072" w:type="dxa"/>
            <w:shd w:val="clear" w:color="000000" w:fill="FFFFFF"/>
            <w:noWrap/>
            <w:vAlign w:val="center"/>
          </w:tcPr>
          <w:p w14:paraId="4B7BA723">
            <w:pPr>
              <w:widowControl/>
              <w:spacing w:line="440" w:lineRule="exact"/>
              <w:jc w:val="center"/>
              <w:rPr>
                <w:rFonts w:ascii="宋体" w:hAnsi="宋体" w:cs="宋体"/>
                <w:bCs/>
                <w:color w:val="auto"/>
                <w:sz w:val="18"/>
                <w:szCs w:val="18"/>
              </w:rPr>
            </w:pPr>
          </w:p>
        </w:tc>
        <w:tc>
          <w:tcPr>
            <w:tcW w:w="1669" w:type="dxa"/>
            <w:shd w:val="clear" w:color="000000" w:fill="FFFFFF"/>
            <w:noWrap/>
            <w:vAlign w:val="center"/>
          </w:tcPr>
          <w:p w14:paraId="7FDFB62C">
            <w:pPr>
              <w:widowControl/>
              <w:spacing w:line="440" w:lineRule="exact"/>
              <w:rPr>
                <w:rFonts w:ascii="宋体" w:hAnsi="宋体" w:cs="宋体"/>
                <w:bCs/>
                <w:color w:val="auto"/>
                <w:sz w:val="18"/>
                <w:szCs w:val="18"/>
              </w:rPr>
            </w:pPr>
          </w:p>
        </w:tc>
      </w:tr>
      <w:tr w14:paraId="530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C213B0F">
            <w:pPr>
              <w:autoSpaceDE w:val="0"/>
              <w:autoSpaceDN w:val="0"/>
              <w:adjustRightInd w:val="0"/>
              <w:spacing w:line="440" w:lineRule="exact"/>
              <w:jc w:val="center"/>
              <w:rPr>
                <w:rFonts w:ascii="宋体" w:hAnsi="宋体" w:cs="宋体"/>
                <w:bCs/>
                <w:color w:val="auto"/>
                <w:kern w:val="0"/>
                <w:sz w:val="18"/>
                <w:szCs w:val="18"/>
                <w:lang w:val="zh-CN"/>
              </w:rPr>
            </w:pPr>
            <w:r>
              <w:rPr>
                <w:rFonts w:hint="eastAsia" w:ascii="宋体" w:hAnsi="宋体" w:cs="宋体"/>
                <w:bCs/>
                <w:color w:val="auto"/>
                <w:kern w:val="0"/>
                <w:sz w:val="18"/>
                <w:szCs w:val="18"/>
                <w:lang w:val="zh-CN"/>
              </w:rPr>
              <w:t>2</w:t>
            </w:r>
          </w:p>
        </w:tc>
        <w:tc>
          <w:tcPr>
            <w:tcW w:w="1116" w:type="dxa"/>
            <w:vMerge w:val="restart"/>
            <w:shd w:val="clear" w:color="000000" w:fill="FFFFFF"/>
            <w:noWrap/>
            <w:vAlign w:val="center"/>
          </w:tcPr>
          <w:p w14:paraId="53499E72">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3C023979">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2.1</w:t>
            </w:r>
          </w:p>
        </w:tc>
        <w:tc>
          <w:tcPr>
            <w:tcW w:w="1072" w:type="dxa"/>
            <w:shd w:val="clear" w:color="000000" w:fill="FFFFFF"/>
            <w:noWrap/>
            <w:vAlign w:val="center"/>
          </w:tcPr>
          <w:p w14:paraId="790C8B91">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A469A90">
            <w:pPr>
              <w:widowControl/>
              <w:spacing w:line="440" w:lineRule="exact"/>
              <w:rPr>
                <w:rFonts w:ascii="宋体" w:hAnsi="宋体" w:cs="宋体"/>
                <w:bCs/>
                <w:color w:val="auto"/>
                <w:sz w:val="18"/>
                <w:szCs w:val="18"/>
              </w:rPr>
            </w:pPr>
          </w:p>
        </w:tc>
      </w:tr>
      <w:tr w14:paraId="2B9A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536D22C">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79BF7D9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4D59B16">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2.2</w:t>
            </w:r>
          </w:p>
        </w:tc>
        <w:tc>
          <w:tcPr>
            <w:tcW w:w="1072" w:type="dxa"/>
            <w:shd w:val="clear" w:color="000000" w:fill="FFFFFF"/>
            <w:noWrap/>
            <w:vAlign w:val="center"/>
          </w:tcPr>
          <w:p w14:paraId="256E2659">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127938CC">
            <w:pPr>
              <w:widowControl/>
              <w:spacing w:line="440" w:lineRule="exact"/>
              <w:rPr>
                <w:rFonts w:ascii="宋体" w:hAnsi="宋体" w:cs="宋体"/>
                <w:bCs/>
                <w:color w:val="auto"/>
                <w:sz w:val="18"/>
                <w:szCs w:val="18"/>
              </w:rPr>
            </w:pPr>
          </w:p>
        </w:tc>
      </w:tr>
      <w:tr w14:paraId="0DA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0E86E94">
            <w:pPr>
              <w:autoSpaceDE w:val="0"/>
              <w:autoSpaceDN w:val="0"/>
              <w:adjustRightInd w:val="0"/>
              <w:spacing w:line="440" w:lineRule="exact"/>
              <w:jc w:val="center"/>
              <w:rPr>
                <w:rFonts w:ascii="宋体" w:hAnsi="宋体" w:cs="宋体"/>
                <w:bCs/>
                <w:color w:val="auto"/>
                <w:kern w:val="0"/>
                <w:sz w:val="18"/>
                <w:szCs w:val="18"/>
                <w:lang w:val="zh-CN"/>
              </w:rPr>
            </w:pPr>
          </w:p>
        </w:tc>
        <w:tc>
          <w:tcPr>
            <w:tcW w:w="1116" w:type="dxa"/>
            <w:vMerge w:val="continue"/>
            <w:shd w:val="clear" w:color="000000" w:fill="FFFFFF"/>
            <w:noWrap/>
            <w:vAlign w:val="center"/>
          </w:tcPr>
          <w:p w14:paraId="51CA4C71">
            <w:pPr>
              <w:snapToGrid w:val="0"/>
              <w:spacing w:line="440" w:lineRule="exact"/>
              <w:jc w:val="center"/>
              <w:rPr>
                <w:rFonts w:ascii="宋体" w:hAnsi="宋体" w:cs="宋体"/>
                <w:bCs/>
                <w:color w:val="auto"/>
                <w:sz w:val="18"/>
                <w:szCs w:val="18"/>
              </w:rPr>
            </w:pPr>
          </w:p>
        </w:tc>
        <w:tc>
          <w:tcPr>
            <w:tcW w:w="4638" w:type="dxa"/>
            <w:shd w:val="clear" w:color="000000" w:fill="FFFFFF"/>
            <w:noWrap/>
            <w:vAlign w:val="center"/>
          </w:tcPr>
          <w:p w14:paraId="0951FC7E">
            <w:pPr>
              <w:tabs>
                <w:tab w:val="left" w:pos="420"/>
                <w:tab w:val="left" w:pos="720"/>
              </w:tabs>
              <w:jc w:val="left"/>
              <w:rPr>
                <w:rFonts w:ascii="宋体" w:hAnsi="宋体" w:cs="宋体"/>
                <w:bCs/>
                <w:color w:val="auto"/>
                <w:sz w:val="18"/>
                <w:szCs w:val="18"/>
              </w:rPr>
            </w:pPr>
            <w:r>
              <w:rPr>
                <w:rFonts w:hint="eastAsia" w:ascii="宋体" w:hAnsi="宋体" w:cs="宋体"/>
                <w:bCs/>
                <w:color w:val="auto"/>
                <w:sz w:val="18"/>
                <w:szCs w:val="18"/>
              </w:rPr>
              <w:t>2.3</w:t>
            </w:r>
          </w:p>
        </w:tc>
        <w:tc>
          <w:tcPr>
            <w:tcW w:w="1072" w:type="dxa"/>
            <w:shd w:val="clear" w:color="000000" w:fill="FFFFFF"/>
            <w:noWrap/>
            <w:vAlign w:val="center"/>
          </w:tcPr>
          <w:p w14:paraId="10726F38">
            <w:pPr>
              <w:spacing w:line="440" w:lineRule="exact"/>
              <w:jc w:val="center"/>
              <w:rPr>
                <w:rFonts w:ascii="宋体" w:hAnsi="宋体" w:cs="宋体"/>
                <w:bCs/>
                <w:color w:val="auto"/>
                <w:sz w:val="18"/>
                <w:szCs w:val="18"/>
              </w:rPr>
            </w:pPr>
          </w:p>
        </w:tc>
        <w:tc>
          <w:tcPr>
            <w:tcW w:w="1669" w:type="dxa"/>
            <w:shd w:val="clear" w:color="000000" w:fill="FFFFFF"/>
            <w:noWrap/>
            <w:vAlign w:val="center"/>
          </w:tcPr>
          <w:p w14:paraId="48DD58AB">
            <w:pPr>
              <w:widowControl/>
              <w:spacing w:line="440" w:lineRule="exact"/>
              <w:rPr>
                <w:rFonts w:ascii="宋体" w:hAnsi="宋体" w:cs="宋体"/>
                <w:bCs/>
                <w:color w:val="auto"/>
                <w:sz w:val="18"/>
                <w:szCs w:val="18"/>
              </w:rPr>
            </w:pPr>
          </w:p>
        </w:tc>
      </w:tr>
    </w:tbl>
    <w:p w14:paraId="00363A08">
      <w:pPr>
        <w:tabs>
          <w:tab w:val="left" w:pos="720"/>
        </w:tabs>
        <w:spacing w:line="340" w:lineRule="exact"/>
        <w:jc w:val="left"/>
        <w:rPr>
          <w:rFonts w:ascii="宋体" w:hAnsi="宋体"/>
          <w:b/>
          <w:bCs/>
          <w:color w:val="auto"/>
          <w:sz w:val="30"/>
          <w:szCs w:val="30"/>
        </w:rPr>
      </w:pPr>
    </w:p>
    <w:p w14:paraId="40BAE5C7">
      <w:pPr>
        <w:spacing w:line="440" w:lineRule="exact"/>
        <w:rPr>
          <w:rFonts w:ascii="宋体" w:hAnsi="宋体"/>
          <w:color w:val="auto"/>
          <w:sz w:val="24"/>
        </w:rPr>
      </w:pPr>
    </w:p>
    <w:p w14:paraId="54D48189">
      <w:pPr>
        <w:rPr>
          <w:color w:val="auto"/>
        </w:rPr>
      </w:pPr>
    </w:p>
    <w:p w14:paraId="00A2EA1B">
      <w:pPr>
        <w:pStyle w:val="3"/>
        <w:rPr>
          <w:color w:val="auto"/>
        </w:rPr>
      </w:pPr>
    </w:p>
    <w:p w14:paraId="7E9807E8">
      <w:pPr>
        <w:pStyle w:val="3"/>
        <w:rPr>
          <w:color w:val="auto"/>
        </w:rPr>
      </w:pPr>
    </w:p>
    <w:p w14:paraId="51AED3D7">
      <w:pPr>
        <w:pStyle w:val="3"/>
        <w:rPr>
          <w:color w:val="auto"/>
        </w:rPr>
      </w:pPr>
    </w:p>
    <w:p w14:paraId="14B4DE54">
      <w:pPr>
        <w:pStyle w:val="3"/>
        <w:rPr>
          <w:color w:val="auto"/>
        </w:rPr>
      </w:pPr>
    </w:p>
    <w:p w14:paraId="0E353245">
      <w:pPr>
        <w:pStyle w:val="3"/>
        <w:rPr>
          <w:color w:val="auto"/>
        </w:rPr>
      </w:pPr>
    </w:p>
    <w:p w14:paraId="1540D012">
      <w:pPr>
        <w:pStyle w:val="3"/>
        <w:rPr>
          <w:color w:val="auto"/>
        </w:rPr>
      </w:pPr>
    </w:p>
    <w:p w14:paraId="6A5BCF3C">
      <w:pPr>
        <w:pStyle w:val="3"/>
        <w:rPr>
          <w:color w:val="auto"/>
        </w:rPr>
      </w:pPr>
    </w:p>
    <w:p w14:paraId="4B2EC5C4">
      <w:pPr>
        <w:pStyle w:val="3"/>
        <w:rPr>
          <w:color w:val="auto"/>
        </w:rPr>
      </w:pPr>
    </w:p>
    <w:p w14:paraId="62C30B84">
      <w:pPr>
        <w:pStyle w:val="3"/>
        <w:rPr>
          <w:color w:val="auto"/>
        </w:rPr>
      </w:pPr>
    </w:p>
    <w:p w14:paraId="10B89D76">
      <w:pPr>
        <w:pStyle w:val="3"/>
        <w:rPr>
          <w:color w:val="auto"/>
        </w:rPr>
      </w:pPr>
    </w:p>
    <w:p w14:paraId="76D97A4B">
      <w:pPr>
        <w:pStyle w:val="3"/>
        <w:rPr>
          <w:color w:val="auto"/>
        </w:rPr>
      </w:pPr>
    </w:p>
    <w:p w14:paraId="5DBF83F5">
      <w:pPr>
        <w:pStyle w:val="3"/>
        <w:rPr>
          <w:color w:val="auto"/>
        </w:rPr>
      </w:pPr>
    </w:p>
    <w:p w14:paraId="0877AF51">
      <w:pPr>
        <w:pStyle w:val="3"/>
        <w:rPr>
          <w:color w:val="auto"/>
        </w:rPr>
      </w:pPr>
    </w:p>
    <w:p w14:paraId="3129BC50">
      <w:pPr>
        <w:pStyle w:val="3"/>
        <w:rPr>
          <w:color w:val="auto"/>
        </w:rPr>
      </w:pPr>
    </w:p>
    <w:p w14:paraId="32EEB245">
      <w:pPr>
        <w:pStyle w:val="3"/>
        <w:rPr>
          <w:color w:val="auto"/>
        </w:rPr>
      </w:pPr>
    </w:p>
    <w:p w14:paraId="22DE0212">
      <w:pPr>
        <w:pStyle w:val="3"/>
        <w:rPr>
          <w:color w:val="auto"/>
        </w:rPr>
      </w:pPr>
    </w:p>
    <w:p w14:paraId="1CA65756">
      <w:pPr>
        <w:pStyle w:val="3"/>
        <w:rPr>
          <w:color w:val="auto"/>
        </w:rPr>
      </w:pPr>
    </w:p>
    <w:p w14:paraId="0897457E">
      <w:pPr>
        <w:pStyle w:val="3"/>
        <w:rPr>
          <w:color w:val="auto"/>
        </w:rPr>
      </w:pPr>
    </w:p>
    <w:p w14:paraId="56665EBA">
      <w:pPr>
        <w:pStyle w:val="3"/>
        <w:rPr>
          <w:color w:val="auto"/>
        </w:rPr>
      </w:pPr>
    </w:p>
    <w:p w14:paraId="50D97264">
      <w:pPr>
        <w:pStyle w:val="3"/>
        <w:rPr>
          <w:color w:val="auto"/>
        </w:rPr>
      </w:pPr>
    </w:p>
    <w:p w14:paraId="0C147176">
      <w:pPr>
        <w:pStyle w:val="3"/>
        <w:rPr>
          <w:color w:val="auto"/>
        </w:rPr>
      </w:pPr>
    </w:p>
    <w:p w14:paraId="0B6CF32C">
      <w:pPr>
        <w:pStyle w:val="3"/>
        <w:rPr>
          <w:color w:val="auto"/>
        </w:rPr>
      </w:pPr>
    </w:p>
    <w:p w14:paraId="6E507F25">
      <w:pPr>
        <w:pStyle w:val="3"/>
        <w:rPr>
          <w:color w:val="auto"/>
        </w:rPr>
      </w:pPr>
    </w:p>
    <w:p w14:paraId="2B1C4642">
      <w:pPr>
        <w:pStyle w:val="3"/>
        <w:rPr>
          <w:color w:val="auto"/>
        </w:rPr>
      </w:pPr>
    </w:p>
    <w:p w14:paraId="768CBB22">
      <w:pPr>
        <w:pStyle w:val="3"/>
        <w:rPr>
          <w:color w:val="auto"/>
        </w:rPr>
      </w:pPr>
    </w:p>
    <w:p w14:paraId="16D16DF8">
      <w:pPr>
        <w:pStyle w:val="3"/>
        <w:rPr>
          <w:color w:val="auto"/>
        </w:rPr>
      </w:pPr>
    </w:p>
    <w:p w14:paraId="182312F8">
      <w:pPr>
        <w:pStyle w:val="3"/>
        <w:rPr>
          <w:color w:val="auto"/>
        </w:rPr>
      </w:pPr>
    </w:p>
    <w:p w14:paraId="6B6672EB">
      <w:pPr>
        <w:pStyle w:val="3"/>
        <w:rPr>
          <w:color w:val="auto"/>
        </w:rPr>
      </w:pPr>
    </w:p>
    <w:p w14:paraId="16261266">
      <w:pPr>
        <w:pStyle w:val="3"/>
        <w:rPr>
          <w:color w:val="auto"/>
        </w:rPr>
      </w:pPr>
    </w:p>
    <w:p w14:paraId="28E8C1CF">
      <w:pPr>
        <w:pStyle w:val="3"/>
        <w:rPr>
          <w:color w:val="auto"/>
        </w:rPr>
      </w:pPr>
    </w:p>
    <w:p w14:paraId="28E77BC4">
      <w:pPr>
        <w:pStyle w:val="3"/>
        <w:rPr>
          <w:color w:val="auto"/>
        </w:rPr>
      </w:pPr>
    </w:p>
    <w:p w14:paraId="148C821B">
      <w:pPr>
        <w:pStyle w:val="3"/>
        <w:rPr>
          <w:color w:val="auto"/>
        </w:rPr>
      </w:pPr>
    </w:p>
    <w:p w14:paraId="7ECB43FC">
      <w:pPr>
        <w:pStyle w:val="3"/>
        <w:rPr>
          <w:color w:val="auto"/>
        </w:rPr>
      </w:pPr>
    </w:p>
    <w:p w14:paraId="75A0F9CA">
      <w:pPr>
        <w:pStyle w:val="3"/>
        <w:rPr>
          <w:color w:val="auto"/>
        </w:rPr>
      </w:pPr>
    </w:p>
    <w:p w14:paraId="473AD94C">
      <w:pPr>
        <w:pStyle w:val="3"/>
        <w:rPr>
          <w:color w:val="auto"/>
        </w:rPr>
      </w:pPr>
    </w:p>
    <w:p w14:paraId="7CE3BAB4">
      <w:pPr>
        <w:jc w:val="center"/>
        <w:rPr>
          <w:rFonts w:ascii="宋体" w:hAnsi="宋体"/>
          <w:b/>
          <w:color w:val="auto"/>
          <w:kern w:val="28"/>
          <w:sz w:val="44"/>
          <w:szCs w:val="36"/>
        </w:rPr>
      </w:pPr>
      <w:r>
        <w:rPr>
          <w:rFonts w:hint="eastAsia" w:ascii="宋体" w:hAnsi="宋体"/>
          <w:b/>
          <w:color w:val="auto"/>
          <w:kern w:val="28"/>
          <w:sz w:val="44"/>
          <w:szCs w:val="36"/>
        </w:rPr>
        <w:t>采购</w:t>
      </w:r>
      <w:r>
        <w:rPr>
          <w:rFonts w:ascii="宋体" w:hAnsi="宋体"/>
          <w:b/>
          <w:color w:val="auto"/>
          <w:kern w:val="28"/>
          <w:sz w:val="44"/>
          <w:szCs w:val="36"/>
        </w:rPr>
        <w:t>需求书</w:t>
      </w:r>
    </w:p>
    <w:p w14:paraId="5289B7A5">
      <w:pPr>
        <w:pStyle w:val="5"/>
        <w:keepNext w:val="0"/>
        <w:keepLines w:val="0"/>
        <w:pageBreakBefore w:val="0"/>
        <w:widowControl/>
        <w:kinsoku w:val="0"/>
        <w:wordWrap/>
        <w:overflowPunct/>
        <w:topLinePunct w:val="0"/>
        <w:autoSpaceDE w:val="0"/>
        <w:autoSpaceDN w:val="0"/>
        <w:bidi w:val="0"/>
        <w:adjustRightInd w:val="0"/>
        <w:snapToGrid w:val="0"/>
        <w:spacing w:before="196" w:line="360" w:lineRule="auto"/>
        <w:ind w:left="3"/>
        <w:textAlignment w:val="baseline"/>
        <w:rPr>
          <w:rFonts w:hint="eastAsia" w:ascii="仿宋_GB2312" w:hAnsi="仿宋_GB2312" w:eastAsia="仿宋_GB2312" w:cs="仿宋_GB2312"/>
          <w:b/>
          <w:bCs/>
          <w:color w:val="auto"/>
          <w:spacing w:val="13"/>
          <w:sz w:val="24"/>
          <w:szCs w:val="24"/>
        </w:rPr>
      </w:pPr>
      <w:r>
        <w:rPr>
          <w:rFonts w:hint="eastAsia" w:ascii="仿宋_GB2312" w:hAnsi="仿宋_GB2312" w:eastAsia="仿宋_GB2312" w:cs="仿宋_GB2312"/>
          <w:b/>
          <w:bCs/>
          <w:color w:val="auto"/>
          <w:spacing w:val="13"/>
          <w:sz w:val="24"/>
          <w:szCs w:val="24"/>
        </w:rPr>
        <w:t>项目名称：中山市小榄人民医院1.5</w:t>
      </w:r>
      <w:r>
        <w:rPr>
          <w:rFonts w:hint="eastAsia" w:ascii="仿宋_GB2312" w:hAnsi="仿宋_GB2312" w:eastAsia="仿宋_GB2312" w:cs="仿宋_GB2312"/>
          <w:b/>
          <w:bCs/>
          <w:color w:val="auto"/>
          <w:sz w:val="24"/>
          <w:szCs w:val="24"/>
        </w:rPr>
        <w:t>TMRI</w:t>
      </w:r>
      <w:r>
        <w:rPr>
          <w:rFonts w:hint="eastAsia" w:ascii="仿宋_GB2312" w:hAnsi="仿宋_GB2312" w:eastAsia="仿宋_GB2312" w:cs="仿宋_GB2312"/>
          <w:color w:val="auto"/>
          <w:spacing w:val="-44"/>
          <w:sz w:val="24"/>
          <w:szCs w:val="24"/>
        </w:rPr>
        <w:t xml:space="preserve"> </w:t>
      </w:r>
      <w:r>
        <w:rPr>
          <w:rFonts w:hint="eastAsia" w:ascii="仿宋_GB2312" w:hAnsi="仿宋_GB2312" w:eastAsia="仿宋_GB2312" w:cs="仿宋_GB2312"/>
          <w:b/>
          <w:bCs/>
          <w:color w:val="auto"/>
          <w:spacing w:val="13"/>
          <w:sz w:val="24"/>
          <w:szCs w:val="24"/>
        </w:rPr>
        <w:t>整机维保采购项目</w:t>
      </w:r>
    </w:p>
    <w:p w14:paraId="1F81365B">
      <w:pPr>
        <w:pStyle w:val="5"/>
        <w:keepNext w:val="0"/>
        <w:keepLines w:val="0"/>
        <w:pageBreakBefore w:val="0"/>
        <w:widowControl/>
        <w:kinsoku w:val="0"/>
        <w:wordWrap/>
        <w:overflowPunct/>
        <w:topLinePunct w:val="0"/>
        <w:autoSpaceDE w:val="0"/>
        <w:autoSpaceDN w:val="0"/>
        <w:bidi w:val="0"/>
        <w:adjustRightInd w:val="0"/>
        <w:snapToGrid w:val="0"/>
        <w:spacing w:before="196" w:line="360" w:lineRule="auto"/>
        <w:ind w:left="3"/>
        <w:textAlignment w:val="baseline"/>
        <w:rPr>
          <w:rFonts w:hint="default" w:ascii="仿宋_GB2312" w:hAnsi="仿宋_GB2312" w:eastAsia="仿宋_GB2312" w:cs="仿宋_GB2312"/>
          <w:b/>
          <w:bCs/>
          <w:color w:val="auto"/>
          <w:spacing w:val="13"/>
          <w:sz w:val="24"/>
          <w:szCs w:val="24"/>
          <w:lang w:val="en-US" w:eastAsia="zh-CN"/>
        </w:rPr>
      </w:pPr>
      <w:r>
        <w:rPr>
          <w:rFonts w:hint="eastAsia" w:ascii="仿宋_GB2312" w:hAnsi="仿宋_GB2312" w:eastAsia="仿宋_GB2312" w:cs="仿宋_GB2312"/>
          <w:b/>
          <w:bCs/>
          <w:color w:val="auto"/>
          <w:spacing w:val="13"/>
          <w:sz w:val="24"/>
          <w:szCs w:val="24"/>
          <w:lang w:val="en-US" w:eastAsia="zh-CN"/>
        </w:rPr>
        <w:t>用户单位：中山市小榄人民医院</w:t>
      </w:r>
    </w:p>
    <w:p w14:paraId="166ECE3B">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 w:right="584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20"/>
          <w:sz w:val="24"/>
          <w:szCs w:val="24"/>
        </w:rPr>
        <w:t>使用科室：放射科</w:t>
      </w:r>
    </w:p>
    <w:p w14:paraId="1BF396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3ECD25F7">
      <w:pPr>
        <w:keepNext w:val="0"/>
        <w:keepLines w:val="0"/>
        <w:pageBreakBefore w:val="0"/>
        <w:widowControl/>
        <w:kinsoku w:val="0"/>
        <w:wordWrap/>
        <w:overflowPunct/>
        <w:topLinePunct w:val="0"/>
        <w:autoSpaceDE w:val="0"/>
        <w:autoSpaceDN w:val="0"/>
        <w:bidi w:val="0"/>
        <w:adjustRightInd w:val="0"/>
        <w:snapToGrid w:val="0"/>
        <w:spacing w:before="74" w:line="360" w:lineRule="auto"/>
        <w:ind w:left="303"/>
        <w:textAlignment w:val="baseline"/>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11"/>
          <w:sz w:val="24"/>
          <w:szCs w:val="24"/>
        </w:rPr>
        <w:t>一</w:t>
      </w:r>
      <w:r>
        <w:rPr>
          <w:rFonts w:hint="eastAsia" w:ascii="仿宋_GB2312" w:hAnsi="仿宋_GB2312" w:eastAsia="仿宋_GB2312" w:cs="仿宋_GB2312"/>
          <w:color w:val="auto"/>
          <w:spacing w:val="-38"/>
          <w:sz w:val="24"/>
          <w:szCs w:val="24"/>
        </w:rPr>
        <w:t xml:space="preserve"> </w:t>
      </w:r>
      <w:r>
        <w:rPr>
          <w:rFonts w:hint="eastAsia" w:ascii="仿宋_GB2312" w:hAnsi="仿宋_GB2312" w:eastAsia="仿宋_GB2312" w:cs="仿宋_GB2312"/>
          <w:b/>
          <w:bCs/>
          <w:color w:val="auto"/>
          <w:spacing w:val="-11"/>
          <w:sz w:val="24"/>
          <w:szCs w:val="24"/>
        </w:rPr>
        <w:t>、项目概况：</w:t>
      </w:r>
    </w:p>
    <w:p w14:paraId="7D6F99E2">
      <w:pPr>
        <w:keepNext w:val="0"/>
        <w:keepLines w:val="0"/>
        <w:pageBreakBefore w:val="0"/>
        <w:widowControl/>
        <w:kinsoku w:val="0"/>
        <w:wordWrap/>
        <w:overflowPunct/>
        <w:topLinePunct w:val="0"/>
        <w:autoSpaceDE w:val="0"/>
        <w:autoSpaceDN w:val="0"/>
        <w:bidi w:val="0"/>
        <w:adjustRightInd w:val="0"/>
        <w:snapToGrid w:val="0"/>
        <w:spacing w:before="236" w:line="360" w:lineRule="auto"/>
        <w:ind w:right="138" w:firstLine="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(一)在招标文件中凡有“★”标识的内容条款被视为重要的响应要求、技术指标要求</w:t>
      </w:r>
      <w:r>
        <w:rPr>
          <w:rFonts w:hint="eastAsia" w:ascii="仿宋_GB2312" w:hAnsi="仿宋_GB2312" w:eastAsia="仿宋_GB2312" w:cs="仿宋_GB2312"/>
          <w:color w:val="auto"/>
          <w:spacing w:val="7"/>
          <w:sz w:val="24"/>
          <w:szCs w:val="24"/>
        </w:rPr>
        <w:t xml:space="preserve"> 和性能要求。投标人必须对此作出回答并完全满足这些要求不可以出现任</w:t>
      </w:r>
      <w:r>
        <w:rPr>
          <w:rFonts w:hint="eastAsia" w:ascii="仿宋_GB2312" w:hAnsi="仿宋_GB2312" w:eastAsia="仿宋_GB2312" w:cs="仿宋_GB2312"/>
          <w:color w:val="auto"/>
          <w:spacing w:val="6"/>
          <w:sz w:val="24"/>
          <w:szCs w:val="24"/>
        </w:rPr>
        <w:t>何负偏离，如</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7"/>
          <w:sz w:val="24"/>
          <w:szCs w:val="24"/>
        </w:rPr>
        <w:t>果出现负偏离则将被视为无效投标。</w:t>
      </w:r>
    </w:p>
    <w:p w14:paraId="4F1A49F3">
      <w:pPr>
        <w:keepNext w:val="0"/>
        <w:keepLines w:val="0"/>
        <w:pageBreakBefore w:val="0"/>
        <w:widowControl/>
        <w:kinsoku w:val="0"/>
        <w:wordWrap/>
        <w:overflowPunct/>
        <w:topLinePunct w:val="0"/>
        <w:autoSpaceDE w:val="0"/>
        <w:autoSpaceDN w:val="0"/>
        <w:bidi w:val="0"/>
        <w:adjustRightInd w:val="0"/>
        <w:snapToGrid w:val="0"/>
        <w:spacing w:before="213" w:line="360" w:lineRule="auto"/>
        <w:ind w:firstLine="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(二)招标文件中，如标有“▲”的条款均为评审的重要</w:t>
      </w:r>
      <w:r>
        <w:rPr>
          <w:rFonts w:hint="eastAsia" w:ascii="仿宋_GB2312" w:hAnsi="仿宋_GB2312" w:eastAsia="仿宋_GB2312" w:cs="仿宋_GB2312"/>
          <w:color w:val="auto"/>
          <w:spacing w:val="1"/>
          <w:sz w:val="24"/>
          <w:szCs w:val="24"/>
        </w:rPr>
        <w:t>评分指标，投标人若有部分“▲”</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8"/>
          <w:sz w:val="24"/>
          <w:szCs w:val="24"/>
        </w:rPr>
        <w:t>条款未响应或不满足，将导致其响应性评审严重扣分。</w:t>
      </w:r>
    </w:p>
    <w:p w14:paraId="697A7249">
      <w:pPr>
        <w:keepNext w:val="0"/>
        <w:keepLines w:val="0"/>
        <w:pageBreakBefore w:val="0"/>
        <w:widowControl/>
        <w:kinsoku w:val="0"/>
        <w:wordWrap/>
        <w:overflowPunct/>
        <w:topLinePunct w:val="0"/>
        <w:autoSpaceDE w:val="0"/>
        <w:autoSpaceDN w:val="0"/>
        <w:bidi w:val="0"/>
        <w:adjustRightInd w:val="0"/>
        <w:snapToGrid w:val="0"/>
        <w:spacing w:before="206" w:line="360" w:lineRule="auto"/>
        <w:ind w:right="119" w:firstLine="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(三)本项目由中标人负责招标文件对中标人要求的一切</w:t>
      </w:r>
      <w:r>
        <w:rPr>
          <w:rFonts w:hint="eastAsia" w:ascii="仿宋_GB2312" w:hAnsi="仿宋_GB2312" w:eastAsia="仿宋_GB2312" w:cs="仿宋_GB2312"/>
          <w:color w:val="auto"/>
          <w:spacing w:val="10"/>
          <w:sz w:val="24"/>
          <w:szCs w:val="24"/>
        </w:rPr>
        <w:t>事宜及责任，如果投标人在中</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7"/>
          <w:sz w:val="24"/>
          <w:szCs w:val="24"/>
        </w:rPr>
        <w:t>标并签署合同后，在项目实施过程中出现报价内容的任何遗漏，均由中标人负责，采购</w:t>
      </w:r>
      <w:r>
        <w:rPr>
          <w:rFonts w:hint="eastAsia" w:ascii="仿宋_GB2312" w:hAnsi="仿宋_GB2312" w:eastAsia="仿宋_GB2312" w:cs="仿宋_GB2312"/>
          <w:color w:val="auto"/>
          <w:spacing w:val="11"/>
          <w:sz w:val="24"/>
          <w:szCs w:val="24"/>
        </w:rPr>
        <w:t xml:space="preserve"> </w:t>
      </w:r>
      <w:r>
        <w:rPr>
          <w:rFonts w:hint="eastAsia" w:ascii="仿宋_GB2312" w:hAnsi="仿宋_GB2312" w:eastAsia="仿宋_GB2312" w:cs="仿宋_GB2312"/>
          <w:color w:val="auto"/>
          <w:spacing w:val="4"/>
          <w:sz w:val="24"/>
          <w:szCs w:val="24"/>
        </w:rPr>
        <w:t>人将不再支付任何费用。</w:t>
      </w:r>
    </w:p>
    <w:p w14:paraId="2C91FEBB">
      <w:pPr>
        <w:keepNext w:val="0"/>
        <w:keepLines w:val="0"/>
        <w:pageBreakBefore w:val="0"/>
        <w:widowControl/>
        <w:kinsoku w:val="0"/>
        <w:wordWrap/>
        <w:overflowPunct/>
        <w:topLinePunct w:val="0"/>
        <w:autoSpaceDE w:val="0"/>
        <w:autoSpaceDN w:val="0"/>
        <w:bidi w:val="0"/>
        <w:adjustRightInd w:val="0"/>
        <w:snapToGrid w:val="0"/>
        <w:spacing w:before="216" w:line="360" w:lineRule="auto"/>
        <w:ind w:left="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(四)本项目由中标人承包及负责招标文件对中标人要求的一切事宜及责任。</w:t>
      </w:r>
    </w:p>
    <w:p w14:paraId="0047DB75">
      <w:pPr>
        <w:keepNext w:val="0"/>
        <w:keepLines w:val="0"/>
        <w:pageBreakBefore w:val="0"/>
        <w:widowControl/>
        <w:kinsoku w:val="0"/>
        <w:wordWrap/>
        <w:overflowPunct/>
        <w:topLinePunct w:val="0"/>
        <w:autoSpaceDE w:val="0"/>
        <w:autoSpaceDN w:val="0"/>
        <w:bidi w:val="0"/>
        <w:adjustRightInd w:val="0"/>
        <w:snapToGrid w:val="0"/>
        <w:spacing w:before="163" w:line="360" w:lineRule="auto"/>
        <w:ind w:left="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(五)本项目不接受联合体投标。</w:t>
      </w:r>
    </w:p>
    <w:p w14:paraId="6C60BE4B">
      <w:pPr>
        <w:keepNext w:val="0"/>
        <w:keepLines w:val="0"/>
        <w:pageBreakBefore w:val="0"/>
        <w:widowControl/>
        <w:kinsoku w:val="0"/>
        <w:wordWrap/>
        <w:overflowPunct/>
        <w:topLinePunct w:val="0"/>
        <w:autoSpaceDE w:val="0"/>
        <w:autoSpaceDN w:val="0"/>
        <w:bidi w:val="0"/>
        <w:adjustRightInd w:val="0"/>
        <w:snapToGrid w:val="0"/>
        <w:spacing w:before="198" w:line="360" w:lineRule="auto"/>
        <w:ind w:left="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(六)中标人不得以任何方式转包本项目。</w:t>
      </w:r>
    </w:p>
    <w:p w14:paraId="29191DBB">
      <w:pPr>
        <w:keepNext w:val="0"/>
        <w:keepLines w:val="0"/>
        <w:pageBreakBefore w:val="0"/>
        <w:widowControl/>
        <w:kinsoku w:val="0"/>
        <w:wordWrap/>
        <w:overflowPunct/>
        <w:topLinePunct w:val="0"/>
        <w:autoSpaceDE w:val="0"/>
        <w:autoSpaceDN w:val="0"/>
        <w:bidi w:val="0"/>
        <w:adjustRightInd w:val="0"/>
        <w:snapToGrid w:val="0"/>
        <w:spacing w:before="233" w:line="360" w:lineRule="auto"/>
        <w:ind w:right="139" w:firstLine="14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(七)落实政府采购政策需满足的资格要求：本项目不属于专门面向中小企业采购的项</w:t>
      </w:r>
      <w:r>
        <w:rPr>
          <w:rFonts w:hint="eastAsia" w:ascii="仿宋_GB2312" w:hAnsi="仿宋_GB2312" w:eastAsia="仿宋_GB2312" w:cs="仿宋_GB2312"/>
          <w:color w:val="auto"/>
          <w:spacing w:val="6"/>
          <w:sz w:val="24"/>
          <w:szCs w:val="24"/>
        </w:rPr>
        <w:t xml:space="preserve"> </w:t>
      </w:r>
      <w:r>
        <w:rPr>
          <w:rFonts w:hint="eastAsia" w:ascii="仿宋_GB2312" w:hAnsi="仿宋_GB2312" w:eastAsia="仿宋_GB2312" w:cs="仿宋_GB2312"/>
          <w:color w:val="auto"/>
          <w:spacing w:val="7"/>
          <w:sz w:val="24"/>
          <w:szCs w:val="24"/>
        </w:rPr>
        <w:t>目。预留采购份额无法确保充分供应、充分竞争，或者存在</w:t>
      </w:r>
      <w:r>
        <w:rPr>
          <w:rFonts w:hint="eastAsia" w:ascii="仿宋_GB2312" w:hAnsi="仿宋_GB2312" w:eastAsia="仿宋_GB2312" w:cs="仿宋_GB2312"/>
          <w:color w:val="auto"/>
          <w:spacing w:val="6"/>
          <w:sz w:val="24"/>
          <w:szCs w:val="24"/>
        </w:rPr>
        <w:t>可能影响政府采购目标实现</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pacing w:val="-3"/>
          <w:sz w:val="24"/>
          <w:szCs w:val="24"/>
        </w:rPr>
        <w:t>的情形。</w:t>
      </w:r>
    </w:p>
    <w:p w14:paraId="53D8CFE7">
      <w:pPr>
        <w:keepNext w:val="0"/>
        <w:keepLines w:val="0"/>
        <w:pageBreakBefore w:val="0"/>
        <w:widowControl/>
        <w:kinsoku w:val="0"/>
        <w:wordWrap/>
        <w:overflowPunct/>
        <w:topLinePunct w:val="0"/>
        <w:autoSpaceDE w:val="0"/>
        <w:autoSpaceDN w:val="0"/>
        <w:bidi w:val="0"/>
        <w:adjustRightInd w:val="0"/>
        <w:snapToGrid w:val="0"/>
        <w:spacing w:before="230" w:line="360" w:lineRule="auto"/>
        <w:ind w:left="503"/>
        <w:textAlignment w:val="baseline"/>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二、项目采购清单</w:t>
      </w:r>
    </w:p>
    <w:p w14:paraId="64F794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tbl>
      <w:tblPr>
        <w:tblStyle w:val="18"/>
        <w:tblW w:w="9129"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2108"/>
        <w:gridCol w:w="1308"/>
        <w:gridCol w:w="2018"/>
        <w:gridCol w:w="2177"/>
        <w:gridCol w:w="914"/>
      </w:tblGrid>
      <w:tr w14:paraId="157E8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604" w:type="dxa"/>
            <w:textDirection w:val="tbRlV"/>
            <w:vAlign w:val="top"/>
          </w:tcPr>
          <w:p w14:paraId="3480C64A">
            <w:pPr>
              <w:pStyle w:val="17"/>
              <w:keepNext w:val="0"/>
              <w:keepLines w:val="0"/>
              <w:pageBreakBefore w:val="0"/>
              <w:widowControl/>
              <w:kinsoku w:val="0"/>
              <w:wordWrap/>
              <w:overflowPunct/>
              <w:topLinePunct w:val="0"/>
              <w:autoSpaceDE w:val="0"/>
              <w:autoSpaceDN w:val="0"/>
              <w:bidi w:val="0"/>
              <w:adjustRightInd w:val="0"/>
              <w:snapToGrid w:val="0"/>
              <w:spacing w:before="194" w:line="360" w:lineRule="auto"/>
              <w:ind w:left="128"/>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3"/>
                <w:sz w:val="24"/>
                <w:szCs w:val="24"/>
              </w:rPr>
              <w:t>序</w:t>
            </w:r>
            <w:r>
              <w:rPr>
                <w:rFonts w:hint="eastAsia" w:ascii="仿宋_GB2312" w:hAnsi="仿宋_GB2312" w:eastAsia="仿宋_GB2312" w:cs="仿宋_GB2312"/>
                <w:color w:val="auto"/>
                <w:spacing w:val="4"/>
                <w:sz w:val="24"/>
                <w:szCs w:val="24"/>
              </w:rPr>
              <w:t xml:space="preserve">  </w:t>
            </w:r>
            <w:r>
              <w:rPr>
                <w:rFonts w:hint="eastAsia" w:ascii="仿宋_GB2312" w:hAnsi="仿宋_GB2312" w:eastAsia="仿宋_GB2312" w:cs="仿宋_GB2312"/>
                <w:b/>
                <w:bCs/>
                <w:color w:val="auto"/>
                <w:spacing w:val="-3"/>
                <w:sz w:val="24"/>
                <w:szCs w:val="24"/>
              </w:rPr>
              <w:t>号</w:t>
            </w:r>
          </w:p>
        </w:tc>
        <w:tc>
          <w:tcPr>
            <w:tcW w:w="2108" w:type="dxa"/>
            <w:vAlign w:val="top"/>
          </w:tcPr>
          <w:p w14:paraId="420EF5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3660453A">
            <w:pPr>
              <w:pStyle w:val="17"/>
              <w:keepNext w:val="0"/>
              <w:keepLines w:val="0"/>
              <w:pageBreakBefore w:val="0"/>
              <w:widowControl/>
              <w:kinsoku w:val="0"/>
              <w:wordWrap/>
              <w:overflowPunct/>
              <w:topLinePunct w:val="0"/>
              <w:autoSpaceDE w:val="0"/>
              <w:autoSpaceDN w:val="0"/>
              <w:bidi w:val="0"/>
              <w:adjustRightInd w:val="0"/>
              <w:snapToGrid w:val="0"/>
              <w:spacing w:before="81" w:line="360" w:lineRule="auto"/>
              <w:ind w:left="674"/>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5"/>
                <w:sz w:val="24"/>
                <w:szCs w:val="24"/>
              </w:rPr>
              <w:t>服务名</w:t>
            </w:r>
          </w:p>
        </w:tc>
        <w:tc>
          <w:tcPr>
            <w:tcW w:w="1308" w:type="dxa"/>
            <w:vAlign w:val="top"/>
          </w:tcPr>
          <w:p w14:paraId="1878F839">
            <w:pPr>
              <w:pStyle w:val="17"/>
              <w:keepNext w:val="0"/>
              <w:keepLines w:val="0"/>
              <w:pageBreakBefore w:val="0"/>
              <w:widowControl/>
              <w:kinsoku w:val="0"/>
              <w:wordWrap/>
              <w:overflowPunct/>
              <w:topLinePunct w:val="0"/>
              <w:autoSpaceDE w:val="0"/>
              <w:autoSpaceDN w:val="0"/>
              <w:bidi w:val="0"/>
              <w:adjustRightInd w:val="0"/>
              <w:snapToGrid w:val="0"/>
              <w:spacing w:before="121" w:line="360" w:lineRule="auto"/>
              <w:ind w:left="396" w:right="165" w:hanging="25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7"/>
                <w:sz w:val="24"/>
                <w:szCs w:val="24"/>
              </w:rPr>
              <w:t>维保设备</w:t>
            </w:r>
            <w:r>
              <w:rPr>
                <w:rFonts w:hint="eastAsia" w:ascii="仿宋_GB2312" w:hAnsi="仿宋_GB2312" w:eastAsia="仿宋_GB2312" w:cs="仿宋_GB2312"/>
                <w:color w:val="auto"/>
                <w:spacing w:val="2"/>
                <w:sz w:val="24"/>
                <w:szCs w:val="24"/>
              </w:rPr>
              <w:t xml:space="preserve"> </w:t>
            </w:r>
            <w:r>
              <w:rPr>
                <w:rFonts w:hint="eastAsia" w:ascii="仿宋_GB2312" w:hAnsi="仿宋_GB2312" w:eastAsia="仿宋_GB2312" w:cs="仿宋_GB2312"/>
                <w:b/>
                <w:bCs/>
                <w:color w:val="auto"/>
                <w:spacing w:val="-1"/>
                <w:sz w:val="24"/>
                <w:szCs w:val="24"/>
              </w:rPr>
              <w:t>品牌</w:t>
            </w:r>
          </w:p>
        </w:tc>
        <w:tc>
          <w:tcPr>
            <w:tcW w:w="2018" w:type="dxa"/>
            <w:vAlign w:val="top"/>
          </w:tcPr>
          <w:p w14:paraId="11384E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7747C763">
            <w:pPr>
              <w:pStyle w:val="17"/>
              <w:keepNext w:val="0"/>
              <w:keepLines w:val="0"/>
              <w:pageBreakBefore w:val="0"/>
              <w:widowControl/>
              <w:kinsoku w:val="0"/>
              <w:wordWrap/>
              <w:overflowPunct/>
              <w:topLinePunct w:val="0"/>
              <w:autoSpaceDE w:val="0"/>
              <w:autoSpaceDN w:val="0"/>
              <w:bidi w:val="0"/>
              <w:adjustRightInd w:val="0"/>
              <w:snapToGrid w:val="0"/>
              <w:spacing w:before="82" w:line="360" w:lineRule="auto"/>
              <w:ind w:left="548"/>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1"/>
                <w:sz w:val="24"/>
                <w:szCs w:val="24"/>
              </w:rPr>
              <w:t>设备型号</w:t>
            </w:r>
          </w:p>
        </w:tc>
        <w:tc>
          <w:tcPr>
            <w:tcW w:w="2177" w:type="dxa"/>
            <w:vAlign w:val="top"/>
          </w:tcPr>
          <w:p w14:paraId="6489D7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78588E85">
            <w:pPr>
              <w:pStyle w:val="17"/>
              <w:keepNext w:val="0"/>
              <w:keepLines w:val="0"/>
              <w:pageBreakBefore w:val="0"/>
              <w:widowControl/>
              <w:kinsoku w:val="0"/>
              <w:wordWrap/>
              <w:overflowPunct/>
              <w:topLinePunct w:val="0"/>
              <w:autoSpaceDE w:val="0"/>
              <w:autoSpaceDN w:val="0"/>
              <w:bidi w:val="0"/>
              <w:adjustRightInd w:val="0"/>
              <w:snapToGrid w:val="0"/>
              <w:spacing w:before="82" w:line="360" w:lineRule="auto"/>
              <w:ind w:left="59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5"/>
                <w:sz w:val="24"/>
                <w:szCs w:val="24"/>
              </w:rPr>
              <w:t>装机年份</w:t>
            </w:r>
          </w:p>
        </w:tc>
        <w:tc>
          <w:tcPr>
            <w:tcW w:w="914" w:type="dxa"/>
            <w:vAlign w:val="top"/>
          </w:tcPr>
          <w:p w14:paraId="6516641A">
            <w:pPr>
              <w:pStyle w:val="17"/>
              <w:keepNext w:val="0"/>
              <w:keepLines w:val="0"/>
              <w:pageBreakBefore w:val="0"/>
              <w:widowControl/>
              <w:kinsoku w:val="0"/>
              <w:wordWrap/>
              <w:overflowPunct/>
              <w:topLinePunct w:val="0"/>
              <w:autoSpaceDE w:val="0"/>
              <w:autoSpaceDN w:val="0"/>
              <w:bidi w:val="0"/>
              <w:adjustRightInd w:val="0"/>
              <w:snapToGrid w:val="0"/>
              <w:spacing w:before="152" w:line="360" w:lineRule="auto"/>
              <w:ind w:left="203" w:right="21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10"/>
                <w:sz w:val="24"/>
                <w:szCs w:val="24"/>
              </w:rPr>
              <w:t>维保</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pacing w:val="-9"/>
                <w:sz w:val="24"/>
                <w:szCs w:val="24"/>
              </w:rPr>
              <w:t>期限</w:t>
            </w:r>
          </w:p>
        </w:tc>
      </w:tr>
      <w:tr w14:paraId="38A4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604" w:type="dxa"/>
            <w:vAlign w:val="top"/>
          </w:tcPr>
          <w:p w14:paraId="2CAF47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3CCAABEF">
            <w:pPr>
              <w:pStyle w:val="17"/>
              <w:keepNext w:val="0"/>
              <w:keepLines w:val="0"/>
              <w:pageBreakBefore w:val="0"/>
              <w:widowControl/>
              <w:kinsoku w:val="0"/>
              <w:wordWrap/>
              <w:overflowPunct/>
              <w:topLinePunct w:val="0"/>
              <w:autoSpaceDE w:val="0"/>
              <w:autoSpaceDN w:val="0"/>
              <w:bidi w:val="0"/>
              <w:adjustRightInd w:val="0"/>
              <w:snapToGrid w:val="0"/>
              <w:spacing w:before="81" w:line="360" w:lineRule="auto"/>
              <w:ind w:left="225"/>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108" w:type="dxa"/>
            <w:vAlign w:val="top"/>
          </w:tcPr>
          <w:p w14:paraId="29D76553">
            <w:pPr>
              <w:pStyle w:val="17"/>
              <w:keepNext w:val="0"/>
              <w:keepLines w:val="0"/>
              <w:pageBreakBefore w:val="0"/>
              <w:widowControl/>
              <w:kinsoku w:val="0"/>
              <w:wordWrap/>
              <w:overflowPunct/>
              <w:topLinePunct w:val="0"/>
              <w:autoSpaceDE w:val="0"/>
              <w:autoSpaceDN w:val="0"/>
              <w:bidi w:val="0"/>
              <w:adjustRightInd w:val="0"/>
              <w:snapToGrid w:val="0"/>
              <w:spacing w:before="233" w:line="360" w:lineRule="auto"/>
              <w:ind w:left="174"/>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2"/>
                <w:sz w:val="24"/>
                <w:szCs w:val="24"/>
              </w:rPr>
              <w:t>1.5T</w:t>
            </w:r>
            <w:r>
              <w:rPr>
                <w:rFonts w:hint="eastAsia" w:ascii="仿宋_GB2312" w:hAnsi="仿宋_GB2312" w:eastAsia="仿宋_GB2312" w:cs="仿宋_GB2312"/>
                <w:color w:val="auto"/>
                <w:spacing w:val="-2"/>
                <w:sz w:val="24"/>
                <w:szCs w:val="24"/>
              </w:rPr>
              <w:t xml:space="preserve"> </w:t>
            </w:r>
            <w:r>
              <w:rPr>
                <w:rFonts w:hint="eastAsia" w:ascii="仿宋_GB2312" w:hAnsi="仿宋_GB2312" w:eastAsia="仿宋_GB2312" w:cs="仿宋_GB2312"/>
                <w:b/>
                <w:bCs/>
                <w:color w:val="auto"/>
                <w:spacing w:val="-2"/>
                <w:sz w:val="24"/>
                <w:szCs w:val="24"/>
              </w:rPr>
              <w:t>MRI设备整</w:t>
            </w:r>
          </w:p>
          <w:p w14:paraId="032F7964">
            <w:pPr>
              <w:pStyle w:val="17"/>
              <w:keepNext w:val="0"/>
              <w:keepLines w:val="0"/>
              <w:pageBreakBefore w:val="0"/>
              <w:widowControl/>
              <w:kinsoku w:val="0"/>
              <w:wordWrap/>
              <w:overflowPunct/>
              <w:topLinePunct w:val="0"/>
              <w:autoSpaceDE w:val="0"/>
              <w:autoSpaceDN w:val="0"/>
              <w:bidi w:val="0"/>
              <w:adjustRightInd w:val="0"/>
              <w:snapToGrid w:val="0"/>
              <w:spacing w:before="147" w:line="360" w:lineRule="auto"/>
              <w:ind w:left="674"/>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5"/>
                <w:sz w:val="24"/>
                <w:szCs w:val="24"/>
              </w:rPr>
              <w:t>机维保</w:t>
            </w:r>
          </w:p>
        </w:tc>
        <w:tc>
          <w:tcPr>
            <w:tcW w:w="1308" w:type="dxa"/>
            <w:vAlign w:val="top"/>
          </w:tcPr>
          <w:p w14:paraId="0EDA7B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0C5ED9E9">
            <w:pPr>
              <w:pStyle w:val="17"/>
              <w:keepNext w:val="0"/>
              <w:keepLines w:val="0"/>
              <w:pageBreakBefore w:val="0"/>
              <w:widowControl/>
              <w:kinsoku w:val="0"/>
              <w:wordWrap/>
              <w:overflowPunct/>
              <w:topLinePunct w:val="0"/>
              <w:autoSpaceDE w:val="0"/>
              <w:autoSpaceDN w:val="0"/>
              <w:bidi w:val="0"/>
              <w:adjustRightInd w:val="0"/>
              <w:snapToGrid w:val="0"/>
              <w:spacing w:before="82" w:line="360" w:lineRule="auto"/>
              <w:ind w:left="52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GE</w:t>
            </w:r>
          </w:p>
        </w:tc>
        <w:tc>
          <w:tcPr>
            <w:tcW w:w="2018" w:type="dxa"/>
            <w:vAlign w:val="top"/>
          </w:tcPr>
          <w:p w14:paraId="254A67F2">
            <w:pPr>
              <w:pStyle w:val="17"/>
              <w:keepNext w:val="0"/>
              <w:keepLines w:val="0"/>
              <w:pageBreakBefore w:val="0"/>
              <w:widowControl/>
              <w:kinsoku w:val="0"/>
              <w:wordWrap/>
              <w:overflowPunct/>
              <w:topLinePunct w:val="0"/>
              <w:autoSpaceDE w:val="0"/>
              <w:autoSpaceDN w:val="0"/>
              <w:bidi w:val="0"/>
              <w:adjustRightInd w:val="0"/>
              <w:snapToGrid w:val="0"/>
              <w:spacing w:before="277" w:line="360" w:lineRule="auto"/>
              <w:ind w:left="105" w:right="118"/>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position w:val="-2"/>
                <w:sz w:val="24"/>
                <w:szCs w:val="24"/>
              </w:rPr>
              <w:t>1.5T</w:t>
            </w:r>
            <w:r>
              <w:rPr>
                <w:rFonts w:hint="eastAsia" w:ascii="仿宋_GB2312" w:hAnsi="仿宋_GB2312" w:eastAsia="仿宋_GB2312" w:cs="仿宋_GB2312"/>
                <w:color w:val="auto"/>
                <w:spacing w:val="15"/>
                <w:position w:val="-2"/>
                <w:sz w:val="24"/>
                <w:szCs w:val="24"/>
              </w:rPr>
              <w:t xml:space="preserve">     </w:t>
            </w:r>
            <w:r>
              <w:rPr>
                <w:rFonts w:hint="eastAsia" w:ascii="仿宋_GB2312" w:hAnsi="仿宋_GB2312" w:eastAsia="仿宋_GB2312" w:cs="仿宋_GB2312"/>
                <w:color w:val="auto"/>
                <w:spacing w:val="-5"/>
                <w:sz w:val="24"/>
                <w:szCs w:val="24"/>
              </w:rPr>
              <w:t>Signa</w:t>
            </w:r>
            <w:r>
              <w:rPr>
                <w:rFonts w:hint="eastAsia" w:ascii="仿宋_GB2312" w:hAnsi="仿宋_GB2312" w:eastAsia="仿宋_GB2312" w:cs="仿宋_GB2312"/>
                <w:color w:val="auto"/>
                <w:spacing w:val="3"/>
                <w:sz w:val="24"/>
                <w:szCs w:val="24"/>
              </w:rPr>
              <w:t xml:space="preserve"> </w:t>
            </w:r>
            <w:r>
              <w:rPr>
                <w:rFonts w:hint="eastAsia" w:ascii="仿宋_GB2312" w:hAnsi="仿宋_GB2312" w:eastAsia="仿宋_GB2312" w:cs="仿宋_GB2312"/>
                <w:color w:val="auto"/>
                <w:spacing w:val="-1"/>
                <w:sz w:val="24"/>
                <w:szCs w:val="24"/>
              </w:rPr>
              <w:t>Explorer</w:t>
            </w:r>
          </w:p>
        </w:tc>
        <w:tc>
          <w:tcPr>
            <w:tcW w:w="2177" w:type="dxa"/>
            <w:vAlign w:val="top"/>
          </w:tcPr>
          <w:p w14:paraId="628E2857">
            <w:pPr>
              <w:pStyle w:val="17"/>
              <w:keepNext w:val="0"/>
              <w:keepLines w:val="0"/>
              <w:pageBreakBefore w:val="0"/>
              <w:widowControl/>
              <w:kinsoku w:val="0"/>
              <w:wordWrap/>
              <w:overflowPunct/>
              <w:topLinePunct w:val="0"/>
              <w:autoSpaceDE w:val="0"/>
              <w:autoSpaceDN w:val="0"/>
              <w:bidi w:val="0"/>
              <w:adjustRightInd w:val="0"/>
              <w:snapToGrid w:val="0"/>
              <w:spacing w:before="250" w:line="360" w:lineRule="auto"/>
              <w:ind w:left="15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4"/>
                <w:sz w:val="24"/>
                <w:szCs w:val="24"/>
              </w:rPr>
              <w:t>2006年装机(2019</w:t>
            </w:r>
          </w:p>
          <w:p w14:paraId="1BB936EA">
            <w:pPr>
              <w:pStyle w:val="17"/>
              <w:keepNext w:val="0"/>
              <w:keepLines w:val="0"/>
              <w:pageBreakBefore w:val="0"/>
              <w:widowControl/>
              <w:kinsoku w:val="0"/>
              <w:wordWrap/>
              <w:overflowPunct/>
              <w:topLinePunct w:val="0"/>
              <w:autoSpaceDE w:val="0"/>
              <w:autoSpaceDN w:val="0"/>
              <w:bidi w:val="0"/>
              <w:adjustRightInd w:val="0"/>
              <w:snapToGrid w:val="0"/>
              <w:spacing w:before="145" w:line="360" w:lineRule="auto"/>
              <w:ind w:left="65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8"/>
                <w:sz w:val="24"/>
                <w:szCs w:val="24"/>
              </w:rPr>
              <w:t>年升级)</w:t>
            </w:r>
          </w:p>
        </w:tc>
        <w:tc>
          <w:tcPr>
            <w:tcW w:w="914" w:type="dxa"/>
            <w:vAlign w:val="top"/>
          </w:tcPr>
          <w:p w14:paraId="32D133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6337E241">
            <w:pPr>
              <w:pStyle w:val="17"/>
              <w:keepNext w:val="0"/>
              <w:keepLines w:val="0"/>
              <w:pageBreakBefore w:val="0"/>
              <w:widowControl/>
              <w:kinsoku w:val="0"/>
              <w:wordWrap/>
              <w:overflowPunct/>
              <w:topLinePunct w:val="0"/>
              <w:autoSpaceDE w:val="0"/>
              <w:autoSpaceDN w:val="0"/>
              <w:bidi w:val="0"/>
              <w:adjustRightInd w:val="0"/>
              <w:snapToGrid w:val="0"/>
              <w:spacing w:before="81" w:line="360" w:lineRule="auto"/>
              <w:ind w:left="26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1"/>
                <w:sz w:val="24"/>
                <w:szCs w:val="24"/>
                <w:highlight w:val="none"/>
                <w:lang w:val="en-US" w:eastAsia="zh-CN"/>
              </w:rPr>
              <w:t>3</w:t>
            </w:r>
            <w:r>
              <w:rPr>
                <w:rFonts w:hint="eastAsia" w:ascii="仿宋_GB2312" w:hAnsi="仿宋_GB2312" w:eastAsia="仿宋_GB2312" w:cs="仿宋_GB2312"/>
                <w:b/>
                <w:bCs/>
                <w:color w:val="auto"/>
                <w:spacing w:val="1"/>
                <w:sz w:val="24"/>
                <w:szCs w:val="24"/>
                <w:highlight w:val="none"/>
              </w:rPr>
              <w:t>年</w:t>
            </w:r>
          </w:p>
        </w:tc>
      </w:tr>
    </w:tbl>
    <w:p w14:paraId="78AB19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sectPr>
          <w:pgSz w:w="11900" w:h="16840"/>
          <w:pgMar w:top="1431" w:right="1313" w:bottom="0" w:left="1400" w:header="0" w:footer="0" w:gutter="0"/>
          <w:cols w:equalWidth="0" w:num="1">
            <w:col w:w="9187"/>
          </w:cols>
        </w:sectPr>
      </w:pPr>
    </w:p>
    <w:p w14:paraId="51F2CF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45792DC6">
      <w:pPr>
        <w:keepNext w:val="0"/>
        <w:keepLines w:val="0"/>
        <w:pageBreakBefore w:val="0"/>
        <w:widowControl/>
        <w:kinsoku w:val="0"/>
        <w:wordWrap/>
        <w:overflowPunct/>
        <w:topLinePunct w:val="0"/>
        <w:autoSpaceDE w:val="0"/>
        <w:autoSpaceDN w:val="0"/>
        <w:bidi w:val="0"/>
        <w:adjustRightInd w:val="0"/>
        <w:snapToGrid w:val="0"/>
        <w:spacing w:before="74" w:line="360" w:lineRule="auto"/>
        <w:ind w:left="528"/>
        <w:textAlignment w:val="baseline"/>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4"/>
          <w:sz w:val="24"/>
          <w:szCs w:val="24"/>
        </w:rPr>
        <w:t>三</w:t>
      </w:r>
      <w:r>
        <w:rPr>
          <w:rFonts w:hint="eastAsia" w:ascii="仿宋_GB2312" w:hAnsi="仿宋_GB2312" w:eastAsia="仿宋_GB2312" w:cs="仿宋_GB2312"/>
          <w:color w:val="auto"/>
          <w:spacing w:val="-61"/>
          <w:sz w:val="24"/>
          <w:szCs w:val="24"/>
        </w:rPr>
        <w:t xml:space="preserve"> </w:t>
      </w:r>
      <w:r>
        <w:rPr>
          <w:rFonts w:hint="eastAsia" w:ascii="仿宋_GB2312" w:hAnsi="仿宋_GB2312" w:eastAsia="仿宋_GB2312" w:cs="仿宋_GB2312"/>
          <w:b/>
          <w:bCs/>
          <w:color w:val="auto"/>
          <w:spacing w:val="-4"/>
          <w:sz w:val="24"/>
          <w:szCs w:val="24"/>
        </w:rPr>
        <w:t>、商务要求</w:t>
      </w:r>
    </w:p>
    <w:p w14:paraId="68F035E2">
      <w:pPr>
        <w:pStyle w:val="5"/>
        <w:keepNext w:val="0"/>
        <w:keepLines w:val="0"/>
        <w:pageBreakBefore w:val="0"/>
        <w:widowControl/>
        <w:kinsoku w:val="0"/>
        <w:wordWrap/>
        <w:overflowPunct/>
        <w:topLinePunct w:val="0"/>
        <w:autoSpaceDE w:val="0"/>
        <w:autoSpaceDN w:val="0"/>
        <w:bidi w:val="0"/>
        <w:adjustRightInd w:val="0"/>
        <w:snapToGrid w:val="0"/>
        <w:spacing w:before="106" w:line="360" w:lineRule="auto"/>
        <w:ind w:left="45"/>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w:t>
      </w:r>
      <w:r>
        <w:rPr>
          <w:rFonts w:hint="eastAsia" w:ascii="仿宋_GB2312" w:hAnsi="仿宋_GB2312" w:eastAsia="仿宋_GB2312" w:cs="仿宋_GB2312"/>
          <w:color w:val="auto"/>
          <w:spacing w:val="-43"/>
          <w:sz w:val="24"/>
          <w:szCs w:val="24"/>
        </w:rPr>
        <w:t xml:space="preserve"> </w:t>
      </w:r>
      <w:r>
        <w:rPr>
          <w:rFonts w:hint="eastAsia" w:ascii="仿宋_GB2312" w:hAnsi="仿宋_GB2312" w:eastAsia="仿宋_GB2312" w:cs="仿宋_GB2312"/>
          <w:color w:val="auto"/>
          <w:spacing w:val="10"/>
          <w:sz w:val="24"/>
          <w:szCs w:val="24"/>
        </w:rPr>
        <w:t>一</w:t>
      </w:r>
      <w:r>
        <w:rPr>
          <w:rFonts w:hint="eastAsia" w:ascii="仿宋_GB2312" w:hAnsi="仿宋_GB2312" w:eastAsia="仿宋_GB2312" w:cs="仿宋_GB2312"/>
          <w:color w:val="auto"/>
          <w:spacing w:val="-64"/>
          <w:sz w:val="24"/>
          <w:szCs w:val="24"/>
        </w:rPr>
        <w:t xml:space="preserve"> </w:t>
      </w:r>
      <w:r>
        <w:rPr>
          <w:rFonts w:hint="eastAsia" w:ascii="仿宋_GB2312" w:hAnsi="仿宋_GB2312" w:eastAsia="仿宋_GB2312" w:cs="仿宋_GB2312"/>
          <w:color w:val="auto"/>
          <w:spacing w:val="10"/>
          <w:sz w:val="24"/>
          <w:szCs w:val="24"/>
        </w:rPr>
        <w:t>)投标人需通过</w:t>
      </w:r>
      <w:r>
        <w:rPr>
          <w:rFonts w:hint="eastAsia" w:ascii="仿宋_GB2312" w:hAnsi="仿宋_GB2312" w:eastAsia="仿宋_GB2312" w:cs="仿宋_GB2312"/>
          <w:color w:val="auto"/>
          <w:sz w:val="24"/>
          <w:szCs w:val="24"/>
        </w:rPr>
        <w:t>IS</w:t>
      </w:r>
      <w:r>
        <w:rPr>
          <w:rFonts w:hint="eastAsia" w:ascii="仿宋_GB2312" w:hAnsi="仿宋_GB2312" w:eastAsia="仿宋_GB2312" w:cs="仿宋_GB2312"/>
          <w:color w:val="auto"/>
          <w:spacing w:val="10"/>
          <w:sz w:val="24"/>
          <w:szCs w:val="24"/>
        </w:rPr>
        <w:t>09001 体系认证(提供认证复印件)。</w:t>
      </w:r>
    </w:p>
    <w:p w14:paraId="333A11F7">
      <w:pPr>
        <w:pStyle w:val="5"/>
        <w:keepNext w:val="0"/>
        <w:keepLines w:val="0"/>
        <w:pageBreakBefore w:val="0"/>
        <w:widowControl/>
        <w:kinsoku w:val="0"/>
        <w:wordWrap/>
        <w:overflowPunct/>
        <w:topLinePunct w:val="0"/>
        <w:autoSpaceDE w:val="0"/>
        <w:autoSpaceDN w:val="0"/>
        <w:bidi w:val="0"/>
        <w:adjustRightInd w:val="0"/>
        <w:snapToGrid w:val="0"/>
        <w:spacing w:before="182" w:line="360" w:lineRule="auto"/>
        <w:ind w:left="45"/>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3"/>
          <w:sz w:val="24"/>
          <w:szCs w:val="24"/>
        </w:rPr>
        <w:t>▲(二)投标人需通过医疗行业的</w:t>
      </w:r>
      <w:r>
        <w:rPr>
          <w:rFonts w:hint="eastAsia" w:ascii="仿宋_GB2312" w:hAnsi="仿宋_GB2312" w:eastAsia="仿宋_GB2312" w:cs="仿宋_GB2312"/>
          <w:color w:val="auto"/>
          <w:sz w:val="24"/>
          <w:szCs w:val="24"/>
        </w:rPr>
        <w:t>IS</w:t>
      </w:r>
      <w:r>
        <w:rPr>
          <w:rFonts w:hint="eastAsia" w:ascii="仿宋_GB2312" w:hAnsi="仿宋_GB2312" w:eastAsia="仿宋_GB2312" w:cs="仿宋_GB2312"/>
          <w:color w:val="auto"/>
          <w:spacing w:val="13"/>
          <w:sz w:val="24"/>
          <w:szCs w:val="24"/>
        </w:rPr>
        <w:t>013485 体系认证</w:t>
      </w:r>
      <w:r>
        <w:rPr>
          <w:rFonts w:hint="eastAsia" w:ascii="仿宋_GB2312" w:hAnsi="仿宋_GB2312" w:eastAsia="仿宋_GB2312" w:cs="仿宋_GB2312"/>
          <w:color w:val="auto"/>
          <w:spacing w:val="12"/>
          <w:sz w:val="24"/>
          <w:szCs w:val="24"/>
        </w:rPr>
        <w:t>(提供认证复印件)。</w:t>
      </w:r>
    </w:p>
    <w:p w14:paraId="06D1B975">
      <w:pPr>
        <w:keepNext w:val="0"/>
        <w:keepLines w:val="0"/>
        <w:pageBreakBefore w:val="0"/>
        <w:widowControl/>
        <w:kinsoku w:val="0"/>
        <w:wordWrap/>
        <w:overflowPunct/>
        <w:topLinePunct w:val="0"/>
        <w:autoSpaceDE w:val="0"/>
        <w:autoSpaceDN w:val="0"/>
        <w:bidi w:val="0"/>
        <w:adjustRightInd w:val="0"/>
        <w:snapToGrid w:val="0"/>
        <w:spacing w:before="176" w:line="360" w:lineRule="auto"/>
        <w:ind w:left="45" w:right="409" w:firstLine="359"/>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0"/>
          <w:sz w:val="24"/>
          <w:szCs w:val="24"/>
        </w:rPr>
        <w:t>(三)投标人需针对本项目的</w:t>
      </w:r>
      <w:r>
        <w:rPr>
          <w:rFonts w:hint="eastAsia" w:ascii="仿宋_GB2312" w:hAnsi="仿宋_GB2312" w:eastAsia="仿宋_GB2312" w:cs="仿宋_GB2312"/>
          <w:color w:val="auto"/>
          <w:sz w:val="24"/>
          <w:szCs w:val="24"/>
        </w:rPr>
        <w:t>MRI</w:t>
      </w:r>
      <w:r>
        <w:rPr>
          <w:rFonts w:hint="eastAsia" w:ascii="仿宋_GB2312" w:hAnsi="仿宋_GB2312" w:eastAsia="仿宋_GB2312" w:cs="仿宋_GB2312"/>
          <w:color w:val="auto"/>
          <w:spacing w:val="10"/>
          <w:sz w:val="24"/>
          <w:szCs w:val="24"/>
        </w:rPr>
        <w:t>设备配备全职的由原厂认</w:t>
      </w:r>
      <w:r>
        <w:rPr>
          <w:rFonts w:hint="eastAsia" w:ascii="仿宋_GB2312" w:hAnsi="仿宋_GB2312" w:eastAsia="仿宋_GB2312" w:cs="仿宋_GB2312"/>
          <w:color w:val="auto"/>
          <w:spacing w:val="9"/>
          <w:sz w:val="24"/>
          <w:szCs w:val="24"/>
        </w:rPr>
        <w:t>证同类</w:t>
      </w:r>
      <w:r>
        <w:rPr>
          <w:rFonts w:hint="eastAsia" w:ascii="仿宋_GB2312" w:hAnsi="仿宋_GB2312" w:eastAsia="仿宋_GB2312" w:cs="仿宋_GB2312"/>
          <w:color w:val="auto"/>
          <w:spacing w:val="9"/>
          <w:sz w:val="24"/>
          <w:szCs w:val="24"/>
          <w:lang w:val="en-US" w:eastAsia="zh-CN"/>
        </w:rPr>
        <w:t>设备（MRI）</w:t>
      </w:r>
      <w:r>
        <w:rPr>
          <w:rFonts w:hint="eastAsia" w:ascii="仿宋_GB2312" w:hAnsi="仿宋_GB2312" w:eastAsia="仿宋_GB2312" w:cs="仿宋_GB2312"/>
          <w:color w:val="auto"/>
          <w:spacing w:val="9"/>
          <w:sz w:val="24"/>
          <w:szCs w:val="24"/>
        </w:rPr>
        <w:t>维修资质的工</w:t>
      </w:r>
      <w:r>
        <w:rPr>
          <w:rFonts w:hint="eastAsia" w:ascii="仿宋_GB2312" w:hAnsi="仿宋_GB2312" w:eastAsia="仿宋_GB2312" w:cs="仿宋_GB2312"/>
          <w:color w:val="auto"/>
          <w:spacing w:val="7"/>
          <w:sz w:val="24"/>
          <w:szCs w:val="24"/>
        </w:rPr>
        <w:t>程师提供服务</w:t>
      </w:r>
      <w:r>
        <w:rPr>
          <w:rFonts w:hint="eastAsia" w:ascii="仿宋_GB2312" w:hAnsi="仿宋_GB2312" w:eastAsia="仿宋_GB2312" w:cs="仿宋_GB2312"/>
          <w:color w:val="auto"/>
          <w:spacing w:val="6"/>
          <w:sz w:val="24"/>
          <w:szCs w:val="24"/>
          <w:lang w:eastAsia="zh-CN"/>
        </w:rPr>
        <w:t>（</w:t>
      </w:r>
      <w:r>
        <w:rPr>
          <w:rFonts w:hint="eastAsia" w:ascii="仿宋_GB2312" w:hAnsi="仿宋_GB2312" w:eastAsia="仿宋_GB2312" w:cs="仿宋_GB2312"/>
          <w:color w:val="auto"/>
          <w:spacing w:val="6"/>
          <w:sz w:val="24"/>
          <w:szCs w:val="24"/>
          <w:lang w:val="en-US" w:eastAsia="zh-CN"/>
        </w:rPr>
        <w:t>提供工程师的有GE原厂培训的合格证明</w:t>
      </w:r>
      <w:r>
        <w:rPr>
          <w:rFonts w:hint="eastAsia" w:ascii="仿宋_GB2312" w:hAnsi="仿宋_GB2312" w:eastAsia="仿宋_GB2312" w:cs="仿宋_GB2312"/>
          <w:color w:val="auto"/>
          <w:spacing w:val="6"/>
          <w:sz w:val="24"/>
          <w:szCs w:val="24"/>
          <w:lang w:eastAsia="zh-CN"/>
        </w:rPr>
        <w:t>）</w:t>
      </w:r>
    </w:p>
    <w:p w14:paraId="3E75BEE2">
      <w:pPr>
        <w:keepNext w:val="0"/>
        <w:keepLines w:val="0"/>
        <w:pageBreakBefore w:val="0"/>
        <w:widowControl/>
        <w:kinsoku w:val="0"/>
        <w:wordWrap/>
        <w:overflowPunct/>
        <w:topLinePunct w:val="0"/>
        <w:autoSpaceDE w:val="0"/>
        <w:autoSpaceDN w:val="0"/>
        <w:bidi w:val="0"/>
        <w:adjustRightInd w:val="0"/>
        <w:snapToGrid w:val="0"/>
        <w:spacing w:before="2" w:line="360" w:lineRule="auto"/>
        <w:ind w:left="45" w:right="405"/>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pacing w:val="12"/>
          <w:sz w:val="24"/>
          <w:szCs w:val="24"/>
        </w:rPr>
        <w:t>▲(四)投标人在国内设有专业、充足的设备零备件仓</w:t>
      </w:r>
      <w:r>
        <w:rPr>
          <w:rFonts w:hint="eastAsia" w:ascii="仿宋_GB2312" w:hAnsi="仿宋_GB2312" w:eastAsia="仿宋_GB2312" w:cs="仿宋_GB2312"/>
          <w:color w:val="auto"/>
          <w:spacing w:val="11"/>
          <w:sz w:val="24"/>
          <w:szCs w:val="24"/>
        </w:rPr>
        <w:t>库，所有更换的零部件必须为全</w:t>
      </w:r>
      <w:r>
        <w:rPr>
          <w:rFonts w:hint="eastAsia" w:ascii="仿宋_GB2312" w:hAnsi="仿宋_GB2312" w:eastAsia="仿宋_GB2312" w:cs="仿宋_GB2312"/>
          <w:color w:val="auto"/>
          <w:spacing w:val="9"/>
          <w:sz w:val="24"/>
          <w:szCs w:val="24"/>
        </w:rPr>
        <w:t>新原厂认证</w:t>
      </w:r>
      <w:r>
        <w:rPr>
          <w:rFonts w:hint="eastAsia" w:ascii="仿宋_GB2312" w:hAnsi="仿宋_GB2312" w:eastAsia="仿宋_GB2312" w:cs="仿宋_GB2312"/>
          <w:color w:val="auto"/>
          <w:spacing w:val="9"/>
          <w:sz w:val="24"/>
          <w:szCs w:val="24"/>
          <w:lang w:val="en-US" w:eastAsia="zh-CN"/>
        </w:rPr>
        <w:t>未拆封并</w:t>
      </w:r>
      <w:r>
        <w:rPr>
          <w:rFonts w:hint="eastAsia" w:ascii="仿宋_GB2312" w:hAnsi="仿宋_GB2312" w:eastAsia="仿宋_GB2312" w:cs="仿宋_GB2312"/>
          <w:color w:val="auto"/>
          <w:spacing w:val="9"/>
          <w:sz w:val="24"/>
          <w:szCs w:val="24"/>
        </w:rPr>
        <w:t>测试合格件，有追踪号码；如所需的零备件为进口货</w:t>
      </w:r>
      <w:r>
        <w:rPr>
          <w:rFonts w:hint="eastAsia" w:ascii="仿宋_GB2312" w:hAnsi="仿宋_GB2312" w:eastAsia="仿宋_GB2312" w:cs="仿宋_GB2312"/>
          <w:color w:val="auto"/>
          <w:spacing w:val="8"/>
          <w:sz w:val="24"/>
          <w:szCs w:val="24"/>
        </w:rPr>
        <w:t>物，供应的零备件必</w:t>
      </w:r>
      <w:r>
        <w:rPr>
          <w:rFonts w:hint="eastAsia" w:ascii="仿宋_GB2312" w:hAnsi="仿宋_GB2312" w:eastAsia="仿宋_GB2312" w:cs="仿宋_GB2312"/>
          <w:color w:val="auto"/>
          <w:spacing w:val="5"/>
          <w:sz w:val="24"/>
          <w:szCs w:val="24"/>
        </w:rPr>
        <w:t>须能提供相应的合法进口报关证明。</w:t>
      </w:r>
      <w:r>
        <w:rPr>
          <w:rFonts w:hint="eastAsia" w:ascii="仿宋_GB2312" w:hAnsi="仿宋_GB2312" w:eastAsia="仿宋_GB2312" w:cs="仿宋_GB2312"/>
          <w:color w:val="auto"/>
          <w:spacing w:val="5"/>
          <w:sz w:val="24"/>
          <w:szCs w:val="24"/>
          <w:lang w:eastAsia="zh-CN"/>
        </w:rPr>
        <w:t>（</w:t>
      </w:r>
      <w:r>
        <w:rPr>
          <w:rFonts w:hint="eastAsia" w:ascii="仿宋_GB2312" w:hAnsi="仿宋_GB2312" w:eastAsia="仿宋_GB2312" w:cs="仿宋_GB2312"/>
          <w:color w:val="auto"/>
          <w:spacing w:val="5"/>
          <w:sz w:val="24"/>
          <w:szCs w:val="24"/>
          <w:lang w:val="en-US" w:eastAsia="zh-CN"/>
        </w:rPr>
        <w:t>需提供零件仓库租赁合同或自主产权证明等证明</w:t>
      </w:r>
      <w:r>
        <w:rPr>
          <w:rFonts w:hint="eastAsia" w:ascii="仿宋_GB2312" w:hAnsi="仿宋_GB2312" w:eastAsia="仿宋_GB2312" w:cs="仿宋_GB2312"/>
          <w:color w:val="auto"/>
          <w:spacing w:val="5"/>
          <w:sz w:val="24"/>
          <w:szCs w:val="24"/>
          <w:lang w:eastAsia="zh-CN"/>
        </w:rPr>
        <w:t>）</w:t>
      </w:r>
    </w:p>
    <w:p w14:paraId="6C46EB7E">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45" w:right="388"/>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2"/>
          <w:sz w:val="24"/>
          <w:szCs w:val="24"/>
        </w:rPr>
        <w:t>▲(五)投标人承诺在本项目维保期限内能合法获得在有效期内的原厂高级故障诊断维</w:t>
      </w:r>
      <w:r>
        <w:rPr>
          <w:rFonts w:hint="eastAsia" w:ascii="仿宋_GB2312" w:hAnsi="仿宋_GB2312" w:eastAsia="仿宋_GB2312" w:cs="仿宋_GB2312"/>
          <w:color w:val="auto"/>
          <w:spacing w:val="6"/>
          <w:sz w:val="24"/>
          <w:szCs w:val="24"/>
        </w:rPr>
        <w:t>修钥匙(</w:t>
      </w:r>
      <w:r>
        <w:rPr>
          <w:rFonts w:hint="eastAsia" w:ascii="仿宋_GB2312" w:hAnsi="仿宋_GB2312" w:eastAsia="仿宋_GB2312" w:cs="仿宋_GB2312"/>
          <w:color w:val="auto"/>
          <w:sz w:val="24"/>
          <w:szCs w:val="24"/>
        </w:rPr>
        <w:t>Service</w:t>
      </w:r>
      <w:r>
        <w:rPr>
          <w:rFonts w:hint="eastAsia" w:ascii="仿宋_GB2312" w:hAnsi="仿宋_GB2312" w:eastAsia="仿宋_GB2312" w:cs="仿宋_GB2312"/>
          <w:color w:val="auto"/>
          <w:spacing w:val="6"/>
          <w:sz w:val="24"/>
          <w:szCs w:val="24"/>
        </w:rPr>
        <w:t xml:space="preserve">  </w:t>
      </w:r>
      <w:r>
        <w:rPr>
          <w:rFonts w:hint="eastAsia" w:ascii="仿宋_GB2312" w:hAnsi="仿宋_GB2312" w:eastAsia="仿宋_GB2312" w:cs="仿宋_GB2312"/>
          <w:color w:val="auto"/>
          <w:sz w:val="24"/>
          <w:szCs w:val="24"/>
        </w:rPr>
        <w:t>Key</w:t>
      </w:r>
      <w:r>
        <w:rPr>
          <w:rFonts w:hint="eastAsia" w:ascii="仿宋_GB2312" w:hAnsi="仿宋_GB2312" w:eastAsia="仿宋_GB2312" w:cs="仿宋_GB2312"/>
          <w:color w:val="auto"/>
          <w:spacing w:val="6"/>
          <w:sz w:val="24"/>
          <w:szCs w:val="24"/>
        </w:rPr>
        <w:t>)使用权，保证不违反国家有关知识产权的法律规定，并能按时提</w:t>
      </w:r>
      <w:r>
        <w:rPr>
          <w:rFonts w:hint="eastAsia" w:ascii="仿宋_GB2312" w:hAnsi="仿宋_GB2312" w:eastAsia="仿宋_GB2312" w:cs="仿宋_GB2312"/>
          <w:color w:val="auto"/>
          <w:spacing w:val="15"/>
          <w:sz w:val="24"/>
          <w:szCs w:val="24"/>
        </w:rPr>
        <w:t>交加盖投标人公章的年度维修报告书(需提供承诺函并加盖公章)。</w:t>
      </w:r>
    </w:p>
    <w:p w14:paraId="3AD603C8">
      <w:pPr>
        <w:pStyle w:val="5"/>
        <w:keepNext w:val="0"/>
        <w:keepLines w:val="0"/>
        <w:pageBreakBefore w:val="0"/>
        <w:widowControl/>
        <w:kinsoku w:val="0"/>
        <w:wordWrap/>
        <w:overflowPunct/>
        <w:topLinePunct w:val="0"/>
        <w:autoSpaceDE w:val="0"/>
        <w:autoSpaceDN w:val="0"/>
        <w:bidi w:val="0"/>
        <w:adjustRightInd w:val="0"/>
        <w:snapToGrid w:val="0"/>
        <w:spacing w:before="30" w:line="360" w:lineRule="auto"/>
        <w:ind w:left="45" w:right="391" w:firstLine="35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rPr>
        <w:t>(六)投标人具有经合法校正的磁共振</w:t>
      </w:r>
      <w:r>
        <w:rPr>
          <w:rFonts w:hint="eastAsia" w:ascii="仿宋_GB2312" w:hAnsi="仿宋_GB2312" w:eastAsia="仿宋_GB2312" w:cs="仿宋_GB2312"/>
          <w:color w:val="auto"/>
          <w:sz w:val="24"/>
          <w:szCs w:val="24"/>
        </w:rPr>
        <w:t>MRI</w:t>
      </w:r>
      <w:r>
        <w:rPr>
          <w:rFonts w:hint="eastAsia" w:ascii="仿宋_GB2312" w:hAnsi="仿宋_GB2312" w:eastAsia="仿宋_GB2312" w:cs="仿宋_GB2312"/>
          <w:color w:val="auto"/>
          <w:spacing w:val="9"/>
          <w:sz w:val="24"/>
          <w:szCs w:val="24"/>
        </w:rPr>
        <w:t>1.5T 专业维修工具</w:t>
      </w:r>
      <w:r>
        <w:rPr>
          <w:rFonts w:hint="eastAsia" w:ascii="仿宋_GB2312" w:hAnsi="仿宋_GB2312" w:eastAsia="仿宋_GB2312" w:cs="仿宋_GB2312"/>
          <w:color w:val="auto"/>
          <w:spacing w:val="8"/>
          <w:sz w:val="24"/>
          <w:szCs w:val="24"/>
        </w:rPr>
        <w:t>、仪器，并能提供序列</w:t>
      </w:r>
      <w:r>
        <w:rPr>
          <w:rFonts w:hint="eastAsia" w:ascii="仿宋_GB2312" w:hAnsi="仿宋_GB2312" w:eastAsia="仿宋_GB2312" w:cs="仿宋_GB2312"/>
          <w:color w:val="auto"/>
          <w:spacing w:val="5"/>
          <w:sz w:val="24"/>
          <w:szCs w:val="24"/>
        </w:rPr>
        <w:t>号和需校正的工具仪器的校正记录文件。</w:t>
      </w:r>
    </w:p>
    <w:p w14:paraId="7BBD688B">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05"/>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(七)投标人具备原厂磁体更换的能力，可提供磁体进口海关报关单等</w:t>
      </w:r>
      <w:r>
        <w:rPr>
          <w:rFonts w:hint="eastAsia" w:ascii="仿宋_GB2312" w:hAnsi="仿宋_GB2312" w:eastAsia="仿宋_GB2312" w:cs="仿宋_GB2312"/>
          <w:color w:val="auto"/>
          <w:spacing w:val="15"/>
          <w:sz w:val="24"/>
          <w:szCs w:val="24"/>
        </w:rPr>
        <w:t>(需提供</w:t>
      </w:r>
      <w:r>
        <w:rPr>
          <w:rFonts w:hint="eastAsia" w:ascii="仿宋_GB2312" w:hAnsi="仿宋_GB2312" w:eastAsia="仿宋_GB2312" w:cs="仿宋_GB2312"/>
          <w:color w:val="auto"/>
          <w:spacing w:val="15"/>
          <w:sz w:val="24"/>
          <w:szCs w:val="24"/>
          <w:lang w:val="en-US" w:eastAsia="zh-CN"/>
        </w:rPr>
        <w:t>能更换原厂磁体更换能力的</w:t>
      </w:r>
      <w:r>
        <w:rPr>
          <w:rFonts w:hint="eastAsia" w:ascii="仿宋_GB2312" w:hAnsi="仿宋_GB2312" w:eastAsia="仿宋_GB2312" w:cs="仿宋_GB2312"/>
          <w:color w:val="auto"/>
          <w:spacing w:val="15"/>
          <w:sz w:val="24"/>
          <w:szCs w:val="24"/>
        </w:rPr>
        <w:t>承诺函并加盖公章)</w:t>
      </w:r>
      <w:r>
        <w:rPr>
          <w:rFonts w:hint="eastAsia" w:ascii="仿宋_GB2312" w:hAnsi="仿宋_GB2312" w:eastAsia="仿宋_GB2312" w:cs="仿宋_GB2312"/>
          <w:color w:val="auto"/>
          <w:spacing w:val="11"/>
          <w:sz w:val="24"/>
          <w:szCs w:val="24"/>
        </w:rPr>
        <w:t>。</w:t>
      </w:r>
    </w:p>
    <w:p w14:paraId="54ECC410">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2"/>
          <w:sz w:val="24"/>
          <w:szCs w:val="24"/>
        </w:rPr>
        <w:t>四、技术参数要求</w:t>
      </w:r>
    </w:p>
    <w:p w14:paraId="477AB237">
      <w:pPr>
        <w:pStyle w:val="17"/>
        <w:keepNext w:val="0"/>
        <w:keepLines w:val="0"/>
        <w:pageBreakBefore w:val="0"/>
        <w:widowControl/>
        <w:kinsoku w:val="0"/>
        <w:wordWrap/>
        <w:overflowPunct/>
        <w:topLinePunct w:val="0"/>
        <w:autoSpaceDE w:val="0"/>
        <w:autoSpaceDN w:val="0"/>
        <w:bidi w:val="0"/>
        <w:adjustRightInd w:val="0"/>
        <w:snapToGrid w:val="0"/>
        <w:spacing w:before="250" w:line="360" w:lineRule="auto"/>
        <w:ind w:left="150"/>
        <w:textAlignment w:val="baseline"/>
        <w:rPr>
          <w:rFonts w:hint="default" w:ascii="仿宋_GB2312" w:hAnsi="仿宋_GB2312" w:eastAsia="仿宋_GB2312" w:cs="仿宋_GB2312"/>
          <w:snapToGrid w:val="0"/>
          <w:color w:val="auto"/>
          <w:spacing w:val="6"/>
          <w:kern w:val="0"/>
          <w:sz w:val="24"/>
          <w:szCs w:val="24"/>
          <w:highlight w:val="none"/>
          <w:lang w:val="en-US" w:eastAsia="zh-CN" w:bidi="ar-SA"/>
        </w:rPr>
      </w:pPr>
      <w:r>
        <w:rPr>
          <w:rFonts w:hint="eastAsia" w:ascii="仿宋_GB2312" w:hAnsi="仿宋_GB2312" w:eastAsia="仿宋_GB2312" w:cs="仿宋_GB2312"/>
          <w:snapToGrid w:val="0"/>
          <w:color w:val="auto"/>
          <w:spacing w:val="6"/>
          <w:kern w:val="0"/>
          <w:sz w:val="24"/>
          <w:szCs w:val="24"/>
          <w:lang w:val="en-US" w:eastAsia="zh-CN" w:bidi="ar-SA"/>
        </w:rPr>
        <w:t>1、</w:t>
      </w:r>
      <w:r>
        <w:rPr>
          <w:rFonts w:hint="eastAsia" w:ascii="仿宋_GB2312" w:hAnsi="仿宋_GB2312" w:eastAsia="仿宋_GB2312" w:cs="仿宋_GB2312"/>
          <w:snapToGrid w:val="0"/>
          <w:color w:val="auto"/>
          <w:spacing w:val="6"/>
          <w:kern w:val="0"/>
          <w:sz w:val="24"/>
          <w:szCs w:val="24"/>
          <w:lang w:val="en-US" w:eastAsia="en-US" w:bidi="ar-SA"/>
        </w:rPr>
        <w:t>维保设备型号</w:t>
      </w:r>
      <w:r>
        <w:rPr>
          <w:rFonts w:hint="eastAsia" w:ascii="仿宋_GB2312" w:hAnsi="仿宋_GB2312" w:eastAsia="仿宋_GB2312" w:cs="仿宋_GB2312"/>
          <w:snapToGrid w:val="0"/>
          <w:color w:val="auto"/>
          <w:spacing w:val="6"/>
          <w:kern w:val="0"/>
          <w:sz w:val="24"/>
          <w:szCs w:val="24"/>
          <w:lang w:val="en-US" w:eastAsia="zh-CN" w:bidi="ar-SA"/>
        </w:rPr>
        <w:t>：</w:t>
      </w:r>
      <w:r>
        <w:rPr>
          <w:rFonts w:hint="eastAsia" w:ascii="仿宋_GB2312" w:hAnsi="仿宋_GB2312" w:eastAsia="仿宋_GB2312" w:cs="仿宋_GB2312"/>
          <w:snapToGrid w:val="0"/>
          <w:color w:val="auto"/>
          <w:spacing w:val="6"/>
          <w:kern w:val="0"/>
          <w:sz w:val="24"/>
          <w:szCs w:val="24"/>
          <w:highlight w:val="none"/>
          <w:lang w:val="en-US" w:eastAsia="zh-CN" w:bidi="ar-SA"/>
        </w:rPr>
        <w:t xml:space="preserve">GE </w:t>
      </w:r>
      <w:r>
        <w:rPr>
          <w:rFonts w:hint="eastAsia" w:ascii="仿宋_GB2312" w:hAnsi="仿宋_GB2312" w:eastAsia="仿宋_GB2312" w:cs="仿宋_GB2312"/>
          <w:snapToGrid w:val="0"/>
          <w:color w:val="auto"/>
          <w:spacing w:val="6"/>
          <w:kern w:val="0"/>
          <w:sz w:val="24"/>
          <w:szCs w:val="24"/>
          <w:highlight w:val="none"/>
          <w:lang w:val="en-US" w:eastAsia="en-US" w:bidi="ar-SA"/>
        </w:rPr>
        <w:t>1.5T Signa Explorer</w:t>
      </w:r>
      <w:r>
        <w:rPr>
          <w:rFonts w:hint="eastAsia" w:ascii="仿宋_GB2312" w:hAnsi="仿宋_GB2312" w:eastAsia="仿宋_GB2312" w:cs="仿宋_GB2312"/>
          <w:snapToGrid w:val="0"/>
          <w:color w:val="auto"/>
          <w:spacing w:val="6"/>
          <w:kern w:val="0"/>
          <w:sz w:val="24"/>
          <w:szCs w:val="24"/>
          <w:highlight w:val="none"/>
          <w:lang w:val="en-US" w:eastAsia="zh-CN" w:bidi="ar-SA"/>
        </w:rPr>
        <w:t>一台，该设备2006年装机(2019年升级)。</w:t>
      </w:r>
    </w:p>
    <w:p w14:paraId="5AD66F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napToGrid w:val="0"/>
          <w:color w:val="auto"/>
          <w:spacing w:val="6"/>
          <w:kern w:val="0"/>
          <w:sz w:val="24"/>
          <w:szCs w:val="24"/>
          <w:highlight w:val="none"/>
          <w:lang w:val="en-US" w:eastAsia="en-US" w:bidi="ar-SA"/>
        </w:rPr>
      </w:pPr>
      <w:r>
        <w:rPr>
          <w:rFonts w:hint="eastAsia" w:ascii="仿宋_GB2312" w:hAnsi="仿宋_GB2312" w:eastAsia="仿宋_GB2312" w:cs="仿宋_GB2312"/>
          <w:color w:val="auto"/>
          <w:spacing w:val="-5"/>
          <w:sz w:val="24"/>
          <w:szCs w:val="24"/>
          <w:highlight w:val="none"/>
        </w:rPr>
        <w:t>★2</w:t>
      </w:r>
      <w:r>
        <w:rPr>
          <w:rFonts w:hint="eastAsia" w:ascii="仿宋_GB2312" w:hAnsi="仿宋_GB2312" w:eastAsia="仿宋_GB2312" w:cs="仿宋_GB2312"/>
          <w:color w:val="auto"/>
          <w:spacing w:val="-5"/>
          <w:sz w:val="24"/>
          <w:szCs w:val="24"/>
          <w:highlight w:val="none"/>
          <w:lang w:eastAsia="zh-CN"/>
        </w:rPr>
        <w:t>、</w:t>
      </w:r>
      <w:r>
        <w:rPr>
          <w:rFonts w:hint="eastAsia" w:ascii="仿宋_GB2312" w:hAnsi="仿宋_GB2312" w:eastAsia="仿宋_GB2312" w:cs="仿宋_GB2312"/>
          <w:snapToGrid w:val="0"/>
          <w:color w:val="auto"/>
          <w:spacing w:val="6"/>
          <w:kern w:val="0"/>
          <w:sz w:val="24"/>
          <w:szCs w:val="24"/>
          <w:highlight w:val="none"/>
          <w:lang w:val="en-US" w:eastAsia="en-US" w:bidi="ar-SA"/>
        </w:rPr>
        <w:t>维保期限</w:t>
      </w:r>
      <w:r>
        <w:rPr>
          <w:rFonts w:hint="eastAsia" w:ascii="仿宋_GB2312" w:hAnsi="仿宋_GB2312" w:eastAsia="仿宋_GB2312" w:cs="仿宋_GB2312"/>
          <w:snapToGrid w:val="0"/>
          <w:color w:val="auto"/>
          <w:spacing w:val="6"/>
          <w:kern w:val="0"/>
          <w:sz w:val="24"/>
          <w:szCs w:val="24"/>
          <w:highlight w:val="none"/>
          <w:lang w:val="en-US" w:eastAsia="zh-CN" w:bidi="ar-SA"/>
        </w:rPr>
        <w:t>：</w:t>
      </w:r>
      <w:r>
        <w:rPr>
          <w:rFonts w:hint="eastAsia" w:ascii="仿宋_GB2312" w:hAnsi="仿宋_GB2312" w:eastAsia="仿宋_GB2312" w:cs="仿宋_GB2312"/>
          <w:snapToGrid w:val="0"/>
          <w:color w:val="auto"/>
          <w:spacing w:val="6"/>
          <w:kern w:val="0"/>
          <w:sz w:val="24"/>
          <w:szCs w:val="24"/>
          <w:highlight w:val="none"/>
          <w:lang w:val="en-US" w:eastAsia="en-US" w:bidi="ar-SA"/>
        </w:rPr>
        <w:t>自本项目合同签订之日起</w:t>
      </w:r>
      <w:r>
        <w:rPr>
          <w:rFonts w:hint="eastAsia" w:ascii="仿宋_GB2312" w:hAnsi="仿宋_GB2312" w:eastAsia="仿宋_GB2312" w:cs="仿宋_GB2312"/>
          <w:snapToGrid w:val="0"/>
          <w:color w:val="auto"/>
          <w:spacing w:val="6"/>
          <w:kern w:val="0"/>
          <w:sz w:val="24"/>
          <w:szCs w:val="24"/>
          <w:highlight w:val="none"/>
          <w:lang w:val="en-US" w:eastAsia="zh-CN" w:bidi="ar-SA"/>
        </w:rPr>
        <w:t>三</w:t>
      </w:r>
      <w:r>
        <w:rPr>
          <w:rFonts w:hint="eastAsia" w:ascii="仿宋_GB2312" w:hAnsi="仿宋_GB2312" w:eastAsia="仿宋_GB2312" w:cs="仿宋_GB2312"/>
          <w:snapToGrid w:val="0"/>
          <w:color w:val="auto"/>
          <w:spacing w:val="6"/>
          <w:kern w:val="0"/>
          <w:sz w:val="24"/>
          <w:szCs w:val="24"/>
          <w:highlight w:val="none"/>
          <w:lang w:val="en-US" w:eastAsia="en-US" w:bidi="ar-SA"/>
        </w:rPr>
        <w:t>年</w:t>
      </w:r>
    </w:p>
    <w:p w14:paraId="3B64902E">
      <w:pPr>
        <w:pStyle w:val="17"/>
        <w:keepNext w:val="0"/>
        <w:keepLines w:val="0"/>
        <w:pageBreakBefore w:val="0"/>
        <w:widowControl/>
        <w:kinsoku w:val="0"/>
        <w:wordWrap/>
        <w:overflowPunct/>
        <w:topLinePunct w:val="0"/>
        <w:autoSpaceDE w:val="0"/>
        <w:autoSpaceDN w:val="0"/>
        <w:bidi w:val="0"/>
        <w:adjustRightInd w:val="0"/>
        <w:snapToGrid w:val="0"/>
        <w:spacing w:before="122" w:line="360" w:lineRule="auto"/>
        <w:ind w:left="31"/>
        <w:textAlignment w:val="baseline"/>
        <w:rPr>
          <w:rFonts w:hint="eastAsia" w:ascii="仿宋_GB2312" w:hAnsi="仿宋_GB2312" w:eastAsia="仿宋_GB2312" w:cs="仿宋_GB2312"/>
          <w:snapToGrid w:val="0"/>
          <w:color w:val="auto"/>
          <w:spacing w:val="6"/>
          <w:kern w:val="0"/>
          <w:sz w:val="24"/>
          <w:szCs w:val="24"/>
          <w:lang w:val="en-US" w:eastAsia="zh-CN" w:bidi="ar-SA"/>
        </w:rPr>
      </w:pPr>
      <w:r>
        <w:rPr>
          <w:rFonts w:hint="eastAsia" w:ascii="仿宋_GB2312" w:hAnsi="仿宋_GB2312" w:eastAsia="仿宋_GB2312" w:cs="仿宋_GB2312"/>
          <w:color w:val="auto"/>
          <w:spacing w:val="-5"/>
          <w:sz w:val="24"/>
          <w:szCs w:val="24"/>
        </w:rPr>
        <w:t>★3</w:t>
      </w:r>
      <w:r>
        <w:rPr>
          <w:rFonts w:hint="eastAsia" w:ascii="仿宋_GB2312" w:hAnsi="仿宋_GB2312" w:eastAsia="仿宋_GB2312" w:cs="仿宋_GB2312"/>
          <w:color w:val="auto"/>
          <w:spacing w:val="-5"/>
          <w:sz w:val="24"/>
          <w:szCs w:val="24"/>
          <w:lang w:eastAsia="zh-CN"/>
        </w:rPr>
        <w:t>、</w:t>
      </w:r>
      <w:r>
        <w:rPr>
          <w:rFonts w:hint="eastAsia" w:ascii="仿宋_GB2312" w:hAnsi="仿宋_GB2312" w:eastAsia="仿宋_GB2312" w:cs="仿宋_GB2312"/>
          <w:snapToGrid w:val="0"/>
          <w:color w:val="auto"/>
          <w:spacing w:val="6"/>
          <w:kern w:val="0"/>
          <w:sz w:val="24"/>
          <w:szCs w:val="24"/>
          <w:lang w:val="en-US" w:eastAsia="en-US" w:bidi="ar-SA"/>
        </w:rPr>
        <w:t>维保内容</w:t>
      </w:r>
      <w:r>
        <w:rPr>
          <w:rFonts w:hint="eastAsia" w:ascii="仿宋_GB2312" w:hAnsi="仿宋_GB2312" w:eastAsia="仿宋_GB2312" w:cs="仿宋_GB2312"/>
          <w:snapToGrid w:val="0"/>
          <w:color w:val="auto"/>
          <w:spacing w:val="6"/>
          <w:kern w:val="0"/>
          <w:sz w:val="24"/>
          <w:szCs w:val="24"/>
          <w:lang w:val="en-US" w:eastAsia="zh-CN" w:bidi="ar-SA"/>
        </w:rPr>
        <w:t>：</w:t>
      </w:r>
    </w:p>
    <w:p w14:paraId="54FEB019">
      <w:pPr>
        <w:spacing w:line="360" w:lineRule="auto"/>
        <w:rPr>
          <w:rFonts w:hint="eastAsia" w:ascii="仿宋_GB2312" w:hAnsi="仿宋_GB2312" w:eastAsia="仿宋_GB2312" w:cs="仿宋_GB2312"/>
          <w:color w:val="auto"/>
          <w:sz w:val="24"/>
          <w:highlight w:val="yellow"/>
          <w:shd w:val="clear" w:color="auto" w:fill="auto"/>
          <w:lang w:val="zh-CN" w:eastAsia="zh-CN"/>
        </w:rPr>
      </w:pPr>
      <w:r>
        <w:rPr>
          <w:rFonts w:hint="eastAsia" w:ascii="仿宋_GB2312" w:hAnsi="仿宋_GB2312" w:eastAsia="仿宋_GB2312" w:cs="仿宋_GB2312"/>
          <w:snapToGrid w:val="0"/>
          <w:color w:val="auto"/>
          <w:spacing w:val="6"/>
          <w:kern w:val="0"/>
          <w:sz w:val="24"/>
          <w:szCs w:val="24"/>
          <w:lang w:val="en-US" w:eastAsia="en-US" w:bidi="ar-SA"/>
        </w:rPr>
        <w:t>3.1整机保修，包含磁体、梯度放大器、射频系统、制冷系统(含液氦，含第三方水冷机)、线圈(含第三方线圈)、AW工作站(含AW4.4和AW4.7)、精密空调(第三方产品)、高压注射器(第三方产品)。</w:t>
      </w:r>
    </w:p>
    <w:p w14:paraId="72133BD6">
      <w:pPr>
        <w:pStyle w:val="17"/>
        <w:keepNext w:val="0"/>
        <w:keepLines w:val="0"/>
        <w:pageBreakBefore w:val="0"/>
        <w:widowControl/>
        <w:kinsoku w:val="0"/>
        <w:wordWrap/>
        <w:overflowPunct/>
        <w:topLinePunct w:val="0"/>
        <w:autoSpaceDE w:val="0"/>
        <w:autoSpaceDN w:val="0"/>
        <w:bidi w:val="0"/>
        <w:adjustRightInd w:val="0"/>
        <w:snapToGrid w:val="0"/>
        <w:spacing w:before="122" w:line="360" w:lineRule="auto"/>
        <w:ind w:left="508" w:leftChars="242" w:firstLine="0" w:firstLineChars="0"/>
        <w:textAlignment w:val="baseline"/>
        <w:rPr>
          <w:rFonts w:hint="eastAsia" w:ascii="仿宋_GB2312" w:hAnsi="仿宋_GB2312" w:eastAsia="仿宋_GB2312" w:cs="仿宋_GB2312"/>
          <w:snapToGrid w:val="0"/>
          <w:color w:val="auto"/>
          <w:spacing w:val="6"/>
          <w:kern w:val="0"/>
          <w:sz w:val="24"/>
          <w:szCs w:val="24"/>
          <w:lang w:val="en-US" w:eastAsia="en-US" w:bidi="ar-SA"/>
        </w:rPr>
      </w:pPr>
    </w:p>
    <w:p w14:paraId="5E168F1C">
      <w:pPr>
        <w:pStyle w:val="17"/>
        <w:keepNext w:val="0"/>
        <w:keepLines w:val="0"/>
        <w:pageBreakBefore w:val="0"/>
        <w:widowControl/>
        <w:kinsoku w:val="0"/>
        <w:wordWrap/>
        <w:overflowPunct/>
        <w:topLinePunct w:val="0"/>
        <w:autoSpaceDE w:val="0"/>
        <w:autoSpaceDN w:val="0"/>
        <w:bidi w:val="0"/>
        <w:adjustRightInd w:val="0"/>
        <w:snapToGrid w:val="0"/>
        <w:spacing w:before="81" w:line="360" w:lineRule="auto"/>
        <w:ind w:firstLine="504" w:firstLineChars="200"/>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3.2第三方产品信息：</w:t>
      </w:r>
    </w:p>
    <w:tbl>
      <w:tblPr>
        <w:tblStyle w:val="18"/>
        <w:tblpPr w:leftFromText="180" w:rightFromText="180" w:vertAnchor="text" w:horzAnchor="page" w:tblpX="2078" w:tblpY="78"/>
        <w:tblOverlap w:val="never"/>
        <w:tblW w:w="7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1634"/>
        <w:gridCol w:w="746"/>
        <w:gridCol w:w="1783"/>
      </w:tblGrid>
      <w:tr w14:paraId="3E741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exact"/>
        </w:trPr>
        <w:tc>
          <w:tcPr>
            <w:tcW w:w="3175" w:type="dxa"/>
            <w:vAlign w:val="top"/>
          </w:tcPr>
          <w:p w14:paraId="55D2D70C">
            <w:pPr>
              <w:pStyle w:val="17"/>
              <w:keepNext w:val="0"/>
              <w:keepLines w:val="0"/>
              <w:pageBreakBefore w:val="0"/>
              <w:widowControl/>
              <w:kinsoku w:val="0"/>
              <w:wordWrap/>
              <w:overflowPunct/>
              <w:topLinePunct w:val="0"/>
              <w:autoSpaceDE w:val="0"/>
              <w:autoSpaceDN w:val="0"/>
              <w:bidi w:val="0"/>
              <w:adjustRightInd w:val="0"/>
              <w:snapToGrid w:val="0"/>
              <w:spacing w:before="117" w:line="360" w:lineRule="auto"/>
              <w:ind w:left="22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设备名称</w:t>
            </w:r>
          </w:p>
        </w:tc>
        <w:tc>
          <w:tcPr>
            <w:tcW w:w="1634" w:type="dxa"/>
            <w:vAlign w:val="top"/>
          </w:tcPr>
          <w:p w14:paraId="06C5E9A7">
            <w:pPr>
              <w:pStyle w:val="17"/>
              <w:keepNext w:val="0"/>
              <w:keepLines w:val="0"/>
              <w:pageBreakBefore w:val="0"/>
              <w:widowControl/>
              <w:kinsoku w:val="0"/>
              <w:wordWrap/>
              <w:overflowPunct/>
              <w:topLinePunct w:val="0"/>
              <w:autoSpaceDE w:val="0"/>
              <w:autoSpaceDN w:val="0"/>
              <w:bidi w:val="0"/>
              <w:adjustRightInd w:val="0"/>
              <w:snapToGrid w:val="0"/>
              <w:spacing w:before="117" w:line="360" w:lineRule="auto"/>
              <w:ind w:left="13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1"/>
                <w:sz w:val="24"/>
                <w:szCs w:val="24"/>
              </w:rPr>
              <w:t>型号</w:t>
            </w:r>
          </w:p>
        </w:tc>
        <w:tc>
          <w:tcPr>
            <w:tcW w:w="746" w:type="dxa"/>
            <w:vAlign w:val="top"/>
          </w:tcPr>
          <w:p w14:paraId="2B9A75D7">
            <w:pPr>
              <w:pStyle w:val="17"/>
              <w:keepNext w:val="0"/>
              <w:keepLines w:val="0"/>
              <w:pageBreakBefore w:val="0"/>
              <w:widowControl/>
              <w:kinsoku w:val="0"/>
              <w:wordWrap/>
              <w:overflowPunct/>
              <w:topLinePunct w:val="0"/>
              <w:autoSpaceDE w:val="0"/>
              <w:autoSpaceDN w:val="0"/>
              <w:bidi w:val="0"/>
              <w:adjustRightInd w:val="0"/>
              <w:snapToGrid w:val="0"/>
              <w:spacing w:before="115" w:line="360" w:lineRule="auto"/>
              <w:ind w:left="121"/>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6"/>
                <w:sz w:val="24"/>
                <w:szCs w:val="24"/>
              </w:rPr>
              <w:t>数量</w:t>
            </w:r>
          </w:p>
        </w:tc>
        <w:tc>
          <w:tcPr>
            <w:tcW w:w="1783" w:type="dxa"/>
            <w:tcBorders>
              <w:right w:val="single" w:color="FFFFFF" w:sz="38" w:space="0"/>
            </w:tcBorders>
            <w:vAlign w:val="top"/>
          </w:tcPr>
          <w:p w14:paraId="7BAFAE1D">
            <w:pPr>
              <w:pStyle w:val="17"/>
              <w:keepNext w:val="0"/>
              <w:keepLines w:val="0"/>
              <w:pageBreakBefore w:val="0"/>
              <w:widowControl/>
              <w:kinsoku w:val="0"/>
              <w:wordWrap/>
              <w:overflowPunct/>
              <w:topLinePunct w:val="0"/>
              <w:autoSpaceDE w:val="0"/>
              <w:autoSpaceDN w:val="0"/>
              <w:bidi w:val="0"/>
              <w:adjustRightInd w:val="0"/>
              <w:snapToGrid w:val="0"/>
              <w:spacing w:before="116" w:line="360" w:lineRule="auto"/>
              <w:ind w:left="146"/>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pacing w:val="1"/>
                <w:sz w:val="24"/>
                <w:szCs w:val="24"/>
              </w:rPr>
              <w:t>厂家</w:t>
            </w:r>
          </w:p>
        </w:tc>
      </w:tr>
      <w:tr w14:paraId="75EC5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175" w:type="dxa"/>
            <w:vAlign w:val="top"/>
          </w:tcPr>
          <w:p w14:paraId="6C620CE3">
            <w:pPr>
              <w:pStyle w:val="17"/>
              <w:keepNext w:val="0"/>
              <w:keepLines w:val="0"/>
              <w:pageBreakBefore w:val="0"/>
              <w:widowControl/>
              <w:kinsoku w:val="0"/>
              <w:wordWrap/>
              <w:overflowPunct/>
              <w:topLinePunct w:val="0"/>
              <w:autoSpaceDE w:val="0"/>
              <w:autoSpaceDN w:val="0"/>
              <w:bidi w:val="0"/>
              <w:adjustRightInd w:val="0"/>
              <w:snapToGrid w:val="0"/>
              <w:spacing w:before="114" w:line="360" w:lineRule="auto"/>
              <w:ind w:left="21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8通道婴幼儿头颈脊柱线圈</w:t>
            </w:r>
          </w:p>
        </w:tc>
        <w:tc>
          <w:tcPr>
            <w:tcW w:w="1634" w:type="dxa"/>
            <w:vAlign w:val="top"/>
          </w:tcPr>
          <w:p w14:paraId="661B360B">
            <w:pPr>
              <w:pStyle w:val="17"/>
              <w:keepNext w:val="0"/>
              <w:keepLines w:val="0"/>
              <w:pageBreakBefore w:val="0"/>
              <w:widowControl/>
              <w:kinsoku w:val="0"/>
              <w:wordWrap/>
              <w:overflowPunct/>
              <w:topLinePunct w:val="0"/>
              <w:autoSpaceDE w:val="0"/>
              <w:autoSpaceDN w:val="0"/>
              <w:bidi w:val="0"/>
              <w:adjustRightInd w:val="0"/>
              <w:snapToGrid w:val="0"/>
              <w:spacing w:before="177" w:line="360" w:lineRule="auto"/>
              <w:ind w:left="126"/>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IP80-1.5</w:t>
            </w:r>
          </w:p>
        </w:tc>
        <w:tc>
          <w:tcPr>
            <w:tcW w:w="746" w:type="dxa"/>
            <w:vAlign w:val="top"/>
          </w:tcPr>
          <w:p w14:paraId="01B22515">
            <w:pPr>
              <w:pStyle w:val="17"/>
              <w:keepNext w:val="0"/>
              <w:keepLines w:val="0"/>
              <w:pageBreakBefore w:val="0"/>
              <w:widowControl/>
              <w:kinsoku w:val="0"/>
              <w:wordWrap/>
              <w:overflowPunct/>
              <w:topLinePunct w:val="0"/>
              <w:autoSpaceDE w:val="0"/>
              <w:autoSpaceDN w:val="0"/>
              <w:bidi w:val="0"/>
              <w:adjustRightInd w:val="0"/>
              <w:snapToGrid w:val="0"/>
              <w:spacing w:before="177" w:line="360" w:lineRule="auto"/>
              <w:ind w:left="117"/>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83" w:type="dxa"/>
            <w:tcBorders>
              <w:right w:val="single" w:color="FFFFFF" w:sz="38" w:space="0"/>
            </w:tcBorders>
            <w:vAlign w:val="top"/>
          </w:tcPr>
          <w:p w14:paraId="1D245F62">
            <w:pPr>
              <w:pStyle w:val="17"/>
              <w:keepNext w:val="0"/>
              <w:keepLines w:val="0"/>
              <w:pageBreakBefore w:val="0"/>
              <w:widowControl/>
              <w:kinsoku w:val="0"/>
              <w:wordWrap/>
              <w:overflowPunct/>
              <w:topLinePunct w:val="0"/>
              <w:autoSpaceDE w:val="0"/>
              <w:autoSpaceDN w:val="0"/>
              <w:bidi w:val="0"/>
              <w:adjustRightInd w:val="0"/>
              <w:snapToGrid w:val="0"/>
              <w:spacing w:before="114" w:line="360" w:lineRule="auto"/>
              <w:ind w:left="14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3"/>
                <w:sz w:val="24"/>
                <w:szCs w:val="24"/>
              </w:rPr>
              <w:t>苏州众志</w:t>
            </w:r>
          </w:p>
        </w:tc>
      </w:tr>
      <w:tr w14:paraId="7419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exact"/>
        </w:trPr>
        <w:tc>
          <w:tcPr>
            <w:tcW w:w="3175" w:type="dxa"/>
            <w:vAlign w:val="top"/>
          </w:tcPr>
          <w:p w14:paraId="13F55E29">
            <w:pPr>
              <w:pStyle w:val="17"/>
              <w:keepNext w:val="0"/>
              <w:keepLines w:val="0"/>
              <w:pageBreakBefore w:val="0"/>
              <w:widowControl/>
              <w:kinsoku w:val="0"/>
              <w:wordWrap/>
              <w:overflowPunct/>
              <w:topLinePunct w:val="0"/>
              <w:autoSpaceDE w:val="0"/>
              <w:autoSpaceDN w:val="0"/>
              <w:bidi w:val="0"/>
              <w:adjustRightInd w:val="0"/>
              <w:snapToGrid w:val="0"/>
              <w:spacing w:before="114" w:line="360" w:lineRule="auto"/>
              <w:ind w:left="21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高压注射器</w:t>
            </w:r>
          </w:p>
        </w:tc>
        <w:tc>
          <w:tcPr>
            <w:tcW w:w="1634" w:type="dxa"/>
            <w:vAlign w:val="top"/>
          </w:tcPr>
          <w:p w14:paraId="424E07EF">
            <w:pPr>
              <w:pStyle w:val="17"/>
              <w:keepNext w:val="0"/>
              <w:keepLines w:val="0"/>
              <w:pageBreakBefore w:val="0"/>
              <w:widowControl/>
              <w:kinsoku w:val="0"/>
              <w:wordWrap/>
              <w:overflowPunct/>
              <w:topLinePunct w:val="0"/>
              <w:autoSpaceDE w:val="0"/>
              <w:autoSpaceDN w:val="0"/>
              <w:bidi w:val="0"/>
              <w:adjustRightInd w:val="0"/>
              <w:snapToGrid w:val="0"/>
              <w:spacing w:before="107" w:line="360" w:lineRule="auto"/>
              <w:jc w:val="right"/>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Opti</w:t>
            </w:r>
            <w:r>
              <w:rPr>
                <w:rFonts w:hint="eastAsia" w:ascii="仿宋_GB2312" w:hAnsi="仿宋_GB2312" w:eastAsia="仿宋_GB2312" w:cs="仿宋_GB2312"/>
                <w:color w:val="auto"/>
                <w:spacing w:val="-19"/>
                <w:sz w:val="24"/>
                <w:szCs w:val="24"/>
              </w:rPr>
              <w:t>star Elit</w:t>
            </w:r>
            <w:r>
              <w:rPr>
                <w:rFonts w:hint="eastAsia" w:ascii="仿宋_GB2312" w:hAnsi="仿宋_GB2312" w:eastAsia="仿宋_GB2312" w:cs="仿宋_GB2312"/>
                <w:color w:val="auto"/>
                <w:spacing w:val="-15"/>
                <w:sz w:val="24"/>
                <w:szCs w:val="24"/>
              </w:rPr>
              <w:t>e</w:t>
            </w:r>
          </w:p>
        </w:tc>
        <w:tc>
          <w:tcPr>
            <w:tcW w:w="746" w:type="dxa"/>
            <w:vAlign w:val="top"/>
          </w:tcPr>
          <w:p w14:paraId="1B2F4856">
            <w:pPr>
              <w:pStyle w:val="17"/>
              <w:keepNext w:val="0"/>
              <w:keepLines w:val="0"/>
              <w:pageBreakBefore w:val="0"/>
              <w:widowControl/>
              <w:kinsoku w:val="0"/>
              <w:wordWrap/>
              <w:overflowPunct/>
              <w:topLinePunct w:val="0"/>
              <w:autoSpaceDE w:val="0"/>
              <w:autoSpaceDN w:val="0"/>
              <w:bidi w:val="0"/>
              <w:adjustRightInd w:val="0"/>
              <w:snapToGrid w:val="0"/>
              <w:spacing w:before="177" w:line="360" w:lineRule="auto"/>
              <w:ind w:left="117"/>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83" w:type="dxa"/>
            <w:tcBorders>
              <w:right w:val="single" w:color="FFFFFF" w:sz="38" w:space="0"/>
            </w:tcBorders>
            <w:vAlign w:val="top"/>
          </w:tcPr>
          <w:p w14:paraId="0201D492">
            <w:pPr>
              <w:pStyle w:val="17"/>
              <w:keepNext w:val="0"/>
              <w:keepLines w:val="0"/>
              <w:pageBreakBefore w:val="0"/>
              <w:widowControl/>
              <w:kinsoku w:val="0"/>
              <w:wordWrap/>
              <w:overflowPunct/>
              <w:topLinePunct w:val="0"/>
              <w:autoSpaceDE w:val="0"/>
              <w:autoSpaceDN w:val="0"/>
              <w:bidi w:val="0"/>
              <w:adjustRightInd w:val="0"/>
              <w:snapToGrid w:val="0"/>
              <w:spacing w:before="114" w:line="360" w:lineRule="auto"/>
              <w:ind w:left="14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理博有限公司</w:t>
            </w:r>
          </w:p>
        </w:tc>
      </w:tr>
      <w:tr w14:paraId="55315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exact"/>
        </w:trPr>
        <w:tc>
          <w:tcPr>
            <w:tcW w:w="3175" w:type="dxa"/>
            <w:vAlign w:val="top"/>
          </w:tcPr>
          <w:p w14:paraId="191D27E1">
            <w:pPr>
              <w:pStyle w:val="17"/>
              <w:keepNext w:val="0"/>
              <w:keepLines w:val="0"/>
              <w:pageBreakBefore w:val="0"/>
              <w:widowControl/>
              <w:kinsoku w:val="0"/>
              <w:wordWrap/>
              <w:overflowPunct/>
              <w:topLinePunct w:val="0"/>
              <w:autoSpaceDE w:val="0"/>
              <w:autoSpaceDN w:val="0"/>
              <w:bidi w:val="0"/>
              <w:adjustRightInd w:val="0"/>
              <w:snapToGrid w:val="0"/>
              <w:spacing w:before="114" w:line="360" w:lineRule="auto"/>
              <w:ind w:left="21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4"/>
                <w:sz w:val="24"/>
                <w:szCs w:val="24"/>
              </w:rPr>
              <w:t>精密空调</w:t>
            </w:r>
          </w:p>
        </w:tc>
        <w:tc>
          <w:tcPr>
            <w:tcW w:w="1634" w:type="dxa"/>
            <w:vAlign w:val="top"/>
          </w:tcPr>
          <w:p w14:paraId="5755A8DA">
            <w:pPr>
              <w:pStyle w:val="17"/>
              <w:keepNext w:val="0"/>
              <w:keepLines w:val="0"/>
              <w:pageBreakBefore w:val="0"/>
              <w:widowControl/>
              <w:kinsoku w:val="0"/>
              <w:wordWrap/>
              <w:overflowPunct/>
              <w:topLinePunct w:val="0"/>
              <w:autoSpaceDE w:val="0"/>
              <w:autoSpaceDN w:val="0"/>
              <w:bidi w:val="0"/>
              <w:adjustRightInd w:val="0"/>
              <w:snapToGrid w:val="0"/>
              <w:spacing w:before="176" w:line="360" w:lineRule="auto"/>
              <w:ind w:left="126"/>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
                <w:sz w:val="24"/>
                <w:szCs w:val="24"/>
              </w:rPr>
              <w:t>40E2A3</w:t>
            </w:r>
          </w:p>
        </w:tc>
        <w:tc>
          <w:tcPr>
            <w:tcW w:w="746" w:type="dxa"/>
            <w:vAlign w:val="top"/>
          </w:tcPr>
          <w:p w14:paraId="570E48AA">
            <w:pPr>
              <w:pStyle w:val="17"/>
              <w:keepNext w:val="0"/>
              <w:keepLines w:val="0"/>
              <w:pageBreakBefore w:val="0"/>
              <w:widowControl/>
              <w:kinsoku w:val="0"/>
              <w:wordWrap/>
              <w:overflowPunct/>
              <w:topLinePunct w:val="0"/>
              <w:autoSpaceDE w:val="0"/>
              <w:autoSpaceDN w:val="0"/>
              <w:bidi w:val="0"/>
              <w:adjustRightInd w:val="0"/>
              <w:snapToGrid w:val="0"/>
              <w:spacing w:before="178" w:line="360" w:lineRule="auto"/>
              <w:ind w:left="117"/>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83" w:type="dxa"/>
            <w:tcBorders>
              <w:right w:val="single" w:color="FFFFFF" w:sz="38" w:space="0"/>
            </w:tcBorders>
            <w:vAlign w:val="top"/>
          </w:tcPr>
          <w:p w14:paraId="2FC9AEA0">
            <w:pPr>
              <w:pStyle w:val="17"/>
              <w:keepNext w:val="0"/>
              <w:keepLines w:val="0"/>
              <w:pageBreakBefore w:val="0"/>
              <w:widowControl/>
              <w:kinsoku w:val="0"/>
              <w:wordWrap/>
              <w:overflowPunct/>
              <w:topLinePunct w:val="0"/>
              <w:autoSpaceDE w:val="0"/>
              <w:autoSpaceDN w:val="0"/>
              <w:bidi w:val="0"/>
              <w:adjustRightInd w:val="0"/>
              <w:snapToGrid w:val="0"/>
              <w:spacing w:before="115" w:line="360" w:lineRule="auto"/>
              <w:ind w:left="14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阿尔西</w:t>
            </w:r>
          </w:p>
        </w:tc>
      </w:tr>
      <w:tr w14:paraId="7AF2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exact"/>
        </w:trPr>
        <w:tc>
          <w:tcPr>
            <w:tcW w:w="3175" w:type="dxa"/>
            <w:tcBorders>
              <w:bottom w:val="nil"/>
            </w:tcBorders>
            <w:vAlign w:val="top"/>
          </w:tcPr>
          <w:p w14:paraId="069A7502">
            <w:pPr>
              <w:pStyle w:val="17"/>
              <w:keepNext w:val="0"/>
              <w:keepLines w:val="0"/>
              <w:pageBreakBefore w:val="0"/>
              <w:widowControl/>
              <w:kinsoku w:val="0"/>
              <w:wordWrap/>
              <w:overflowPunct/>
              <w:topLinePunct w:val="0"/>
              <w:autoSpaceDE w:val="0"/>
              <w:autoSpaceDN w:val="0"/>
              <w:bidi w:val="0"/>
              <w:adjustRightInd w:val="0"/>
              <w:snapToGrid w:val="0"/>
              <w:spacing w:before="114" w:line="360" w:lineRule="auto"/>
              <w:ind w:left="219"/>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水冷机控制器</w:t>
            </w:r>
          </w:p>
        </w:tc>
        <w:tc>
          <w:tcPr>
            <w:tcW w:w="1634" w:type="dxa"/>
            <w:tcBorders>
              <w:bottom w:val="nil"/>
            </w:tcBorders>
            <w:vAlign w:val="top"/>
          </w:tcPr>
          <w:p w14:paraId="3073AD84">
            <w:pPr>
              <w:pStyle w:val="17"/>
              <w:keepNext w:val="0"/>
              <w:keepLines w:val="0"/>
              <w:pageBreakBefore w:val="0"/>
              <w:widowControl/>
              <w:kinsoku w:val="0"/>
              <w:wordWrap/>
              <w:overflowPunct/>
              <w:topLinePunct w:val="0"/>
              <w:autoSpaceDE w:val="0"/>
              <w:autoSpaceDN w:val="0"/>
              <w:bidi w:val="0"/>
              <w:adjustRightInd w:val="0"/>
              <w:snapToGrid w:val="0"/>
              <w:spacing w:before="178" w:line="360" w:lineRule="auto"/>
              <w:ind w:left="126"/>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MCS7627G1</w:t>
            </w:r>
          </w:p>
        </w:tc>
        <w:tc>
          <w:tcPr>
            <w:tcW w:w="746" w:type="dxa"/>
            <w:tcBorders>
              <w:bottom w:val="nil"/>
            </w:tcBorders>
            <w:vAlign w:val="top"/>
          </w:tcPr>
          <w:p w14:paraId="300AE3A6">
            <w:pPr>
              <w:pStyle w:val="17"/>
              <w:keepNext w:val="0"/>
              <w:keepLines w:val="0"/>
              <w:pageBreakBefore w:val="0"/>
              <w:widowControl/>
              <w:kinsoku w:val="0"/>
              <w:wordWrap/>
              <w:overflowPunct/>
              <w:topLinePunct w:val="0"/>
              <w:autoSpaceDE w:val="0"/>
              <w:autoSpaceDN w:val="0"/>
              <w:bidi w:val="0"/>
              <w:adjustRightInd w:val="0"/>
              <w:snapToGrid w:val="0"/>
              <w:spacing w:before="178" w:line="360" w:lineRule="auto"/>
              <w:ind w:left="117"/>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83" w:type="dxa"/>
            <w:tcBorders>
              <w:bottom w:val="nil"/>
              <w:right w:val="single" w:color="FFFFFF" w:sz="38" w:space="0"/>
            </w:tcBorders>
            <w:vAlign w:val="top"/>
          </w:tcPr>
          <w:p w14:paraId="04A7E400">
            <w:pPr>
              <w:pStyle w:val="17"/>
              <w:keepNext w:val="0"/>
              <w:keepLines w:val="0"/>
              <w:pageBreakBefore w:val="0"/>
              <w:widowControl/>
              <w:kinsoku w:val="0"/>
              <w:wordWrap/>
              <w:overflowPunct/>
              <w:topLinePunct w:val="0"/>
              <w:autoSpaceDE w:val="0"/>
              <w:autoSpaceDN w:val="0"/>
              <w:bidi w:val="0"/>
              <w:adjustRightInd w:val="0"/>
              <w:snapToGrid w:val="0"/>
              <w:spacing w:before="115" w:line="360" w:lineRule="auto"/>
              <w:ind w:left="143"/>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阿尔西</w:t>
            </w:r>
          </w:p>
        </w:tc>
      </w:tr>
    </w:tbl>
    <w:p w14:paraId="0BBC06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color w:val="auto"/>
          <w:sz w:val="24"/>
          <w:szCs w:val="24"/>
        </w:rPr>
      </w:pPr>
    </w:p>
    <w:p w14:paraId="40FDC51B">
      <w:pPr>
        <w:pStyle w:val="17"/>
        <w:keepNext w:val="0"/>
        <w:keepLines w:val="0"/>
        <w:pageBreakBefore w:val="0"/>
        <w:widowControl/>
        <w:kinsoku w:val="0"/>
        <w:wordWrap/>
        <w:overflowPunct/>
        <w:topLinePunct w:val="0"/>
        <w:autoSpaceDE w:val="0"/>
        <w:autoSpaceDN w:val="0"/>
        <w:bidi w:val="0"/>
        <w:adjustRightInd w:val="0"/>
        <w:snapToGrid w:val="0"/>
        <w:spacing w:before="173" w:line="360" w:lineRule="auto"/>
        <w:ind w:left="92"/>
        <w:textAlignment w:val="baseline"/>
        <w:rPr>
          <w:rFonts w:hint="default" w:ascii="仿宋_GB2312" w:hAnsi="仿宋_GB2312" w:eastAsia="仿宋_GB2312" w:cs="仿宋_GB2312"/>
          <w:snapToGrid w:val="0"/>
          <w:color w:val="auto"/>
          <w:spacing w:val="6"/>
          <w:kern w:val="0"/>
          <w:sz w:val="24"/>
          <w:szCs w:val="24"/>
          <w:lang w:val="en-US" w:eastAsia="zh-CN" w:bidi="ar-SA"/>
        </w:rPr>
      </w:pPr>
      <w:r>
        <w:rPr>
          <w:rFonts w:hint="eastAsia" w:ascii="仿宋_GB2312" w:hAnsi="仿宋_GB2312" w:eastAsia="仿宋_GB2312" w:cs="仿宋_GB2312"/>
          <w:snapToGrid w:val="0"/>
          <w:color w:val="auto"/>
          <w:spacing w:val="6"/>
          <w:kern w:val="0"/>
          <w:sz w:val="24"/>
          <w:szCs w:val="24"/>
          <w:lang w:val="en-US" w:eastAsia="zh-CN" w:bidi="ar-SA"/>
        </w:rPr>
        <w:t xml:space="preserve">  </w:t>
      </w:r>
    </w:p>
    <w:p w14:paraId="114654FE">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124" w:line="360" w:lineRule="auto"/>
        <w:textAlignment w:val="baseline"/>
        <w:rPr>
          <w:rFonts w:hint="eastAsia" w:ascii="仿宋_GB2312" w:hAnsi="仿宋_GB2312" w:eastAsia="仿宋_GB2312" w:cs="仿宋_GB2312"/>
          <w:snapToGrid w:val="0"/>
          <w:color w:val="auto"/>
          <w:spacing w:val="6"/>
          <w:kern w:val="0"/>
          <w:sz w:val="24"/>
          <w:szCs w:val="24"/>
          <w:lang w:val="en-US" w:eastAsia="en-US" w:bidi="ar-SA"/>
        </w:rPr>
      </w:pPr>
    </w:p>
    <w:p w14:paraId="56992615">
      <w:pPr>
        <w:pStyle w:val="17"/>
        <w:keepNext w:val="0"/>
        <w:keepLines w:val="0"/>
        <w:pageBreakBefore w:val="0"/>
        <w:widowControl/>
        <w:numPr>
          <w:ilvl w:val="0"/>
          <w:numId w:val="4"/>
        </w:numPr>
        <w:kinsoku w:val="0"/>
        <w:wordWrap/>
        <w:overflowPunct/>
        <w:topLinePunct w:val="0"/>
        <w:autoSpaceDE w:val="0"/>
        <w:autoSpaceDN w:val="0"/>
        <w:bidi w:val="0"/>
        <w:adjustRightInd w:val="0"/>
        <w:snapToGrid w:val="0"/>
        <w:spacing w:before="124" w:line="360" w:lineRule="auto"/>
        <w:ind w:left="102"/>
        <w:textAlignment w:val="baseline"/>
        <w:rPr>
          <w:rFonts w:hint="eastAsia" w:ascii="仿宋_GB2312" w:hAnsi="仿宋_GB2312" w:eastAsia="仿宋_GB2312" w:cs="仿宋_GB2312"/>
          <w:b/>
          <w:bCs/>
          <w:snapToGrid w:val="0"/>
          <w:color w:val="auto"/>
          <w:spacing w:val="6"/>
          <w:kern w:val="0"/>
          <w:sz w:val="24"/>
          <w:szCs w:val="24"/>
          <w:lang w:val="en-US" w:eastAsia="en-US" w:bidi="ar-SA"/>
        </w:rPr>
      </w:pPr>
      <w:r>
        <w:rPr>
          <w:rFonts w:hint="eastAsia" w:ascii="仿宋_GB2312" w:hAnsi="仿宋_GB2312" w:eastAsia="仿宋_GB2312" w:cs="仿宋_GB2312"/>
          <w:b/>
          <w:bCs/>
          <w:snapToGrid w:val="0"/>
          <w:color w:val="auto"/>
          <w:spacing w:val="6"/>
          <w:kern w:val="0"/>
          <w:sz w:val="24"/>
          <w:szCs w:val="24"/>
          <w:lang w:val="en-US" w:eastAsia="en-US" w:bidi="ar-SA"/>
        </w:rPr>
        <w:t>维保要求和服务</w:t>
      </w:r>
    </w:p>
    <w:p w14:paraId="1BD8F195">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124" w:line="360" w:lineRule="auto"/>
        <w:textAlignment w:val="baseline"/>
        <w:rPr>
          <w:rFonts w:hint="default" w:ascii="仿宋_GB2312" w:hAnsi="仿宋_GB2312" w:eastAsia="仿宋_GB2312" w:cs="仿宋_GB2312"/>
          <w:snapToGrid/>
          <w:color w:val="auto"/>
          <w:kern w:val="2"/>
          <w:sz w:val="24"/>
          <w:szCs w:val="24"/>
          <w:highlight w:val="none"/>
          <w:shd w:val="clear" w:color="auto" w:fill="auto"/>
          <w:lang w:val="en-US" w:eastAsia="zh-CN" w:bidi="ar-SA"/>
        </w:rPr>
      </w:pPr>
      <w:r>
        <w:rPr>
          <w:rFonts w:hint="eastAsia" w:ascii="仿宋_GB2312" w:hAnsi="仿宋_GB2312" w:eastAsia="仿宋_GB2312" w:cs="仿宋_GB2312"/>
          <w:snapToGrid/>
          <w:color w:val="auto"/>
          <w:kern w:val="2"/>
          <w:sz w:val="24"/>
          <w:szCs w:val="24"/>
          <w:shd w:val="clear" w:color="auto" w:fill="auto"/>
          <w:lang w:val="en-US" w:eastAsia="en-US" w:bidi="ar-SA"/>
        </w:rPr>
        <w:t>4.1</w:t>
      </w:r>
      <w:r>
        <w:rPr>
          <w:rFonts w:hint="eastAsia" w:ascii="仿宋_GB2312" w:hAnsi="仿宋_GB2312" w:eastAsia="仿宋_GB2312" w:cs="仿宋_GB2312"/>
          <w:snapToGrid/>
          <w:color w:val="auto"/>
          <w:kern w:val="2"/>
          <w:sz w:val="24"/>
          <w:szCs w:val="24"/>
          <w:shd w:val="clear" w:color="auto" w:fill="auto"/>
          <w:lang w:val="en-US" w:eastAsia="zh-CN" w:bidi="ar-SA"/>
        </w:rPr>
        <w:t xml:space="preserve"> </w:t>
      </w:r>
      <w:r>
        <w:rPr>
          <w:rFonts w:hint="eastAsia" w:ascii="仿宋_GB2312" w:hAnsi="仿宋_GB2312" w:eastAsia="仿宋_GB2312" w:cs="仿宋_GB2312"/>
          <w:snapToGrid/>
          <w:color w:val="auto"/>
          <w:kern w:val="2"/>
          <w:sz w:val="24"/>
          <w:szCs w:val="24"/>
          <w:shd w:val="clear" w:color="auto" w:fill="auto"/>
          <w:lang w:val="en-US" w:eastAsia="en-US" w:bidi="ar-SA"/>
        </w:rPr>
        <w:t>7×24小时故障响应</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24小时内到达故障现场。</w:t>
      </w:r>
    </w:p>
    <w:p w14:paraId="7A0B186A">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right="989"/>
        <w:textAlignment w:val="baseline"/>
        <w:rPr>
          <w:rFonts w:hint="eastAsia" w:ascii="仿宋_GB2312" w:hAnsi="仿宋_GB2312" w:eastAsia="仿宋_GB2312" w:cs="仿宋_GB2312"/>
          <w:snapToGrid/>
          <w:color w:val="auto"/>
          <w:kern w:val="2"/>
          <w:sz w:val="24"/>
          <w:szCs w:val="24"/>
          <w:highlight w:val="none"/>
          <w:shd w:val="clear" w:color="auto" w:fill="auto"/>
          <w:lang w:val="en-US" w:eastAsia="en-US"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4.2</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每次故障时间不大于2天，一年故障时间不大于</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14</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 xml:space="preserve">天。 </w:t>
      </w:r>
    </w:p>
    <w:p w14:paraId="68B0F7EC">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right="989"/>
        <w:textAlignment w:val="baseline"/>
        <w:rPr>
          <w:rFonts w:hint="eastAsia" w:ascii="仿宋_GB2312" w:hAnsi="仿宋_GB2312" w:eastAsia="仿宋_GB2312" w:cs="仿宋_GB2312"/>
          <w:snapToGrid/>
          <w:color w:val="auto"/>
          <w:kern w:val="2"/>
          <w:sz w:val="24"/>
          <w:szCs w:val="24"/>
          <w:highlight w:val="none"/>
          <w:shd w:val="clear" w:color="auto" w:fill="auto"/>
          <w:lang w:val="en-US" w:eastAsia="en-US"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4.3</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全新原厂备件48小时内到达现场。</w:t>
      </w:r>
    </w:p>
    <w:p w14:paraId="24824BB2">
      <w:pPr>
        <w:pStyle w:val="17"/>
        <w:keepNext w:val="0"/>
        <w:keepLines w:val="0"/>
        <w:pageBreakBefore w:val="0"/>
        <w:widowControl/>
        <w:kinsoku w:val="0"/>
        <w:wordWrap/>
        <w:overflowPunct/>
        <w:topLinePunct w:val="0"/>
        <w:autoSpaceDE w:val="0"/>
        <w:autoSpaceDN w:val="0"/>
        <w:bidi w:val="0"/>
        <w:adjustRightInd w:val="0"/>
        <w:snapToGrid w:val="0"/>
        <w:spacing w:before="38" w:line="360" w:lineRule="auto"/>
        <w:textAlignment w:val="baseline"/>
        <w:rPr>
          <w:rFonts w:hint="eastAsia" w:ascii="仿宋_GB2312" w:hAnsi="仿宋_GB2312" w:eastAsia="仿宋_GB2312" w:cs="仿宋_GB2312"/>
          <w:snapToGrid/>
          <w:color w:val="auto"/>
          <w:kern w:val="2"/>
          <w:sz w:val="24"/>
          <w:szCs w:val="24"/>
          <w:highlight w:val="none"/>
          <w:shd w:val="clear" w:color="auto" w:fill="auto"/>
          <w:lang w:val="en-US" w:eastAsia="en-US"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4.4</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snapToGrid/>
          <w:color w:val="auto"/>
          <w:kern w:val="2"/>
          <w:sz w:val="24"/>
          <w:szCs w:val="24"/>
          <w:highlight w:val="none"/>
          <w:shd w:val="clear" w:color="auto" w:fill="auto"/>
          <w:lang w:val="zh-CN" w:eastAsia="zh-CN" w:bidi="ar-SA"/>
        </w:rPr>
        <w:t>每年度提供1次共</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3</w:t>
      </w:r>
      <w:r>
        <w:rPr>
          <w:rFonts w:hint="eastAsia" w:ascii="仿宋_GB2312" w:hAnsi="仿宋_GB2312" w:eastAsia="仿宋_GB2312" w:cs="仿宋_GB2312"/>
          <w:snapToGrid/>
          <w:color w:val="auto"/>
          <w:kern w:val="2"/>
          <w:sz w:val="24"/>
          <w:szCs w:val="24"/>
          <w:highlight w:val="none"/>
          <w:shd w:val="clear" w:color="auto" w:fill="auto"/>
          <w:lang w:val="zh-CN" w:eastAsia="zh-CN" w:bidi="ar-SA"/>
        </w:rPr>
        <w:t>人次该设备最新的临床应用培训</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w:t>
      </w:r>
    </w:p>
    <w:p w14:paraId="3D09AA17">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right="128"/>
        <w:textAlignment w:val="baseline"/>
        <w:rPr>
          <w:rFonts w:hint="eastAsia" w:ascii="仿宋_GB2312" w:hAnsi="仿宋_GB2312" w:eastAsia="仿宋_GB2312" w:cs="仿宋_GB2312"/>
          <w:snapToGrid/>
          <w:color w:val="auto"/>
          <w:kern w:val="2"/>
          <w:sz w:val="24"/>
          <w:szCs w:val="24"/>
          <w:highlight w:val="none"/>
          <w:shd w:val="clear" w:color="auto" w:fill="auto"/>
          <w:lang w:val="en-US" w:eastAsia="zh-CN"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4.5</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维保期内不限次数更换发生故障的配件，</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所有</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费用</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（含新配件、旧配件的运输等费用）</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包含在投标报价中</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w:t>
      </w:r>
    </w:p>
    <w:p w14:paraId="41829F7F">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480" w:right="989" w:hanging="480" w:hangingChars="200"/>
        <w:textAlignment w:val="baseline"/>
        <w:rPr>
          <w:rFonts w:hint="eastAsia" w:ascii="仿宋_GB2312" w:hAnsi="仿宋_GB2312" w:eastAsia="仿宋_GB2312" w:cs="仿宋_GB2312"/>
          <w:snapToGrid/>
          <w:color w:val="auto"/>
          <w:kern w:val="2"/>
          <w:sz w:val="24"/>
          <w:szCs w:val="24"/>
          <w:highlight w:val="none"/>
          <w:shd w:val="clear" w:color="auto" w:fill="auto"/>
          <w:lang w:val="en-US" w:eastAsia="en-US"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4.6</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软件升级：</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能及时提供全套完整的原厂系统软硬件改版措施(FA)</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维保期内负责提供设备系统软件升级补丁和技术支持，维保期内保证设备所使用的软件是关于该设备平台原厂最新版本，随时提供软件更新服务(含主机操作系统，工作站系统),相关费用包含在投标报价中。</w:t>
      </w:r>
    </w:p>
    <w:p w14:paraId="0C98FA91">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240" w:right="989" w:hanging="240" w:hangingChars="100"/>
        <w:textAlignment w:val="baseline"/>
        <w:rPr>
          <w:rFonts w:hint="eastAsia" w:ascii="仿宋_GB2312" w:hAnsi="仿宋_GB2312" w:eastAsia="仿宋_GB2312" w:cs="仿宋_GB2312"/>
          <w:snapToGrid/>
          <w:color w:val="auto"/>
          <w:kern w:val="2"/>
          <w:sz w:val="24"/>
          <w:szCs w:val="24"/>
          <w:shd w:val="clear" w:color="auto" w:fill="auto"/>
          <w:lang w:val="en-US" w:eastAsia="en-US"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4.7</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硬件升级：</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维保期内提供至少1次操作系统硬件升</w:t>
      </w:r>
      <w:r>
        <w:rPr>
          <w:rFonts w:hint="eastAsia" w:ascii="仿宋_GB2312" w:hAnsi="仿宋_GB2312" w:eastAsia="仿宋_GB2312" w:cs="仿宋_GB2312"/>
          <w:snapToGrid/>
          <w:color w:val="auto"/>
          <w:kern w:val="2"/>
          <w:sz w:val="24"/>
          <w:szCs w:val="24"/>
          <w:shd w:val="clear" w:color="auto" w:fill="auto"/>
          <w:lang w:val="en-US" w:eastAsia="en-US" w:bidi="ar-SA"/>
        </w:rPr>
        <w:t xml:space="preserve">级(含操作主机，工作站主机),升级包含显卡、内存、处理器。确保机器运行流畅，处理数据快速。相关费用包含在投标报价中。 </w:t>
      </w:r>
    </w:p>
    <w:p w14:paraId="423375F1">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240" w:right="989" w:hanging="240" w:hangingChars="100"/>
        <w:textAlignment w:val="baseline"/>
        <w:rPr>
          <w:rFonts w:hint="eastAsia" w:ascii="仿宋_GB2312" w:hAnsi="仿宋_GB2312" w:eastAsia="仿宋_GB2312" w:cs="仿宋_GB2312"/>
          <w:snapToGrid/>
          <w:color w:val="auto"/>
          <w:kern w:val="2"/>
          <w:sz w:val="24"/>
          <w:szCs w:val="24"/>
          <w:highlight w:val="none"/>
          <w:shd w:val="clear" w:color="auto" w:fill="auto"/>
          <w:lang w:val="en-US" w:eastAsia="en-US" w:bidi="ar-SA"/>
        </w:rPr>
      </w:pPr>
      <w:r>
        <w:rPr>
          <w:rFonts w:hint="eastAsia" w:ascii="仿宋_GB2312" w:hAnsi="仿宋_GB2312" w:eastAsia="仿宋_GB2312" w:cs="仿宋_GB2312"/>
          <w:snapToGrid/>
          <w:color w:val="auto"/>
          <w:kern w:val="2"/>
          <w:sz w:val="24"/>
          <w:szCs w:val="24"/>
          <w:shd w:val="clear" w:color="auto" w:fill="auto"/>
          <w:lang w:val="en-US" w:eastAsia="en-US" w:bidi="ar-SA"/>
        </w:rPr>
        <w:t>4.8</w:t>
      </w:r>
      <w:r>
        <w:rPr>
          <w:rFonts w:hint="eastAsia" w:ascii="仿宋_GB2312" w:hAnsi="仿宋_GB2312" w:eastAsia="仿宋_GB2312" w:cs="仿宋_GB2312"/>
          <w:snapToGrid/>
          <w:color w:val="auto"/>
          <w:kern w:val="2"/>
          <w:sz w:val="24"/>
          <w:szCs w:val="24"/>
          <w:shd w:val="clear" w:color="auto" w:fill="auto"/>
          <w:lang w:val="en-US" w:eastAsia="zh-CN" w:bidi="ar-SA"/>
        </w:rPr>
        <w:t xml:space="preserve"> </w:t>
      </w:r>
      <w:r>
        <w:rPr>
          <w:rFonts w:hint="eastAsia" w:ascii="仿宋_GB2312" w:hAnsi="仿宋_GB2312" w:eastAsia="仿宋_GB2312" w:cs="仿宋_GB2312"/>
          <w:snapToGrid/>
          <w:color w:val="auto"/>
          <w:kern w:val="2"/>
          <w:sz w:val="24"/>
          <w:szCs w:val="24"/>
          <w:shd w:val="clear" w:color="auto" w:fill="auto"/>
          <w:lang w:val="en-US" w:eastAsia="en-US" w:bidi="ar-SA"/>
        </w:rPr>
        <w:t>维保期内必须确保液氦无限量供应</w:t>
      </w:r>
      <w:r>
        <w:rPr>
          <w:rFonts w:hint="eastAsia" w:ascii="仿宋_GB2312" w:hAnsi="仿宋_GB2312" w:eastAsia="仿宋_GB2312" w:cs="仿宋_GB2312"/>
          <w:snapToGrid/>
          <w:color w:val="auto"/>
          <w:kern w:val="2"/>
          <w:sz w:val="24"/>
          <w:szCs w:val="24"/>
          <w:shd w:val="clear" w:color="auto" w:fill="auto"/>
          <w:lang w:val="en-US" w:eastAsia="zh-CN" w:bidi="ar-SA"/>
        </w:rPr>
        <w:t>，</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保修到期液氦加到90%。</w:t>
      </w:r>
    </w:p>
    <w:p w14:paraId="3BD03508">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240" w:right="989" w:hanging="240" w:hangingChars="100"/>
        <w:textAlignment w:val="baseline"/>
        <w:rPr>
          <w:rFonts w:hint="eastAsia" w:ascii="仿宋_GB2312" w:hAnsi="仿宋_GB2312" w:eastAsia="仿宋_GB2312" w:cs="仿宋_GB2312"/>
          <w:snapToGrid w:val="0"/>
          <w:color w:val="auto"/>
          <w:spacing w:val="12"/>
          <w:kern w:val="0"/>
          <w:sz w:val="24"/>
          <w:szCs w:val="24"/>
          <w:lang w:val="en-US" w:eastAsia="en-US" w:bidi="ar-SA"/>
        </w:rPr>
      </w:pPr>
      <w:r>
        <w:rPr>
          <w:rFonts w:hint="eastAsia" w:ascii="仿宋_GB2312" w:hAnsi="仿宋_GB2312" w:eastAsia="仿宋_GB2312" w:cs="仿宋_GB2312"/>
          <w:snapToGrid/>
          <w:color w:val="auto"/>
          <w:kern w:val="2"/>
          <w:sz w:val="24"/>
          <w:szCs w:val="24"/>
          <w:highlight w:val="none"/>
          <w:shd w:val="clear" w:color="auto" w:fill="auto"/>
          <w:lang w:val="en-US" w:eastAsia="en-US" w:bidi="ar-SA"/>
        </w:rPr>
        <w:t>4.9</w:t>
      </w:r>
      <w:r>
        <w:rPr>
          <w:rFonts w:hint="eastAsia" w:ascii="仿宋_GB2312" w:hAnsi="仿宋_GB2312" w:eastAsia="仿宋_GB2312" w:cs="仿宋_GB2312"/>
          <w:snapToGrid/>
          <w:color w:val="auto"/>
          <w:kern w:val="2"/>
          <w:sz w:val="24"/>
          <w:szCs w:val="24"/>
          <w:highlight w:val="none"/>
          <w:shd w:val="clear" w:color="auto" w:fill="auto"/>
          <w:lang w:val="en-US" w:eastAsia="zh-CN" w:bidi="ar-SA"/>
        </w:rPr>
        <w:t xml:space="preserve"> 定期保养：</w:t>
      </w:r>
      <w:r>
        <w:rPr>
          <w:rFonts w:hint="eastAsia" w:ascii="仿宋_GB2312" w:hAnsi="仿宋_GB2312" w:eastAsia="仿宋_GB2312" w:cs="仿宋_GB2312"/>
          <w:snapToGrid/>
          <w:color w:val="auto"/>
          <w:kern w:val="2"/>
          <w:sz w:val="24"/>
          <w:szCs w:val="24"/>
          <w:highlight w:val="none"/>
          <w:shd w:val="clear" w:color="auto" w:fill="auto"/>
          <w:lang w:val="en-US" w:eastAsia="en-US" w:bidi="ar-SA"/>
        </w:rPr>
        <w:t>每年提供MRI设备保养≥4次，使</w:t>
      </w:r>
      <w:r>
        <w:rPr>
          <w:rFonts w:hint="eastAsia" w:ascii="仿宋_GB2312" w:hAnsi="仿宋_GB2312" w:eastAsia="仿宋_GB2312" w:cs="仿宋_GB2312"/>
          <w:snapToGrid/>
          <w:color w:val="auto"/>
          <w:kern w:val="2"/>
          <w:sz w:val="24"/>
          <w:szCs w:val="24"/>
          <w:shd w:val="clear" w:color="auto" w:fill="auto"/>
          <w:lang w:val="en-US" w:eastAsia="en-US" w:bidi="ar-SA"/>
        </w:rPr>
        <w:t>之保持原厂QC标</w:t>
      </w:r>
      <w:r>
        <w:rPr>
          <w:rFonts w:hint="eastAsia" w:ascii="仿宋_GB2312" w:hAnsi="仿宋_GB2312" w:eastAsia="仿宋_GB2312" w:cs="仿宋_GB2312"/>
          <w:snapToGrid w:val="0"/>
          <w:color w:val="auto"/>
          <w:spacing w:val="12"/>
          <w:kern w:val="0"/>
          <w:sz w:val="24"/>
          <w:szCs w:val="24"/>
          <w:lang w:val="en-US" w:eastAsia="en-US" w:bidi="ar-SA"/>
        </w:rPr>
        <w:t>准或国家质量技术监督部门之标准，并能提供合格的保养报告。包含但不限于如下项目：①机器清洁；②性能测试及校准；③必要的机械或电气环境检查；④设备的安全检查和运行状态检查；⑤影像质量检查；⑥提供计划性的定期维护报告，且经原厂审核合格；⑦MRI设备每次保养进行小匀场，并达到原厂要求保养标准，不合格时，进行大匀场。</w:t>
      </w:r>
    </w:p>
    <w:p w14:paraId="2602D9C7">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right="989"/>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12"/>
          <w:kern w:val="0"/>
          <w:sz w:val="24"/>
          <w:szCs w:val="24"/>
          <w:lang w:val="en-US" w:eastAsia="en-US" w:bidi="ar-SA"/>
        </w:rPr>
        <w:t>4.10</w:t>
      </w:r>
      <w:r>
        <w:rPr>
          <w:rFonts w:hint="eastAsia" w:ascii="仿宋_GB2312" w:hAnsi="仿宋_GB2312" w:eastAsia="仿宋_GB2312" w:cs="仿宋_GB2312"/>
          <w:snapToGrid w:val="0"/>
          <w:color w:val="auto"/>
          <w:spacing w:val="12"/>
          <w:kern w:val="0"/>
          <w:sz w:val="24"/>
          <w:szCs w:val="24"/>
          <w:lang w:val="en-US" w:eastAsia="zh-CN" w:bidi="ar-SA"/>
        </w:rPr>
        <w:t xml:space="preserve"> </w:t>
      </w:r>
      <w:r>
        <w:rPr>
          <w:rFonts w:hint="eastAsia" w:ascii="仿宋_GB2312" w:hAnsi="仿宋_GB2312" w:eastAsia="仿宋_GB2312" w:cs="仿宋_GB2312"/>
          <w:snapToGrid w:val="0"/>
          <w:color w:val="auto"/>
          <w:spacing w:val="12"/>
          <w:kern w:val="0"/>
          <w:sz w:val="24"/>
          <w:szCs w:val="24"/>
          <w:lang w:val="en-US" w:eastAsia="en-US" w:bidi="ar-SA"/>
        </w:rPr>
        <w:t>现场维护保养：中标人的工程师应</w:t>
      </w:r>
      <w:r>
        <w:rPr>
          <w:rFonts w:hint="eastAsia" w:ascii="仿宋_GB2312" w:hAnsi="仿宋_GB2312" w:eastAsia="仿宋_GB2312" w:cs="仿宋_GB2312"/>
          <w:snapToGrid w:val="0"/>
          <w:color w:val="auto"/>
          <w:spacing w:val="6"/>
          <w:kern w:val="0"/>
          <w:sz w:val="24"/>
          <w:szCs w:val="24"/>
          <w:lang w:val="en-US" w:eastAsia="en-US" w:bidi="ar-SA"/>
        </w:rPr>
        <w:t>配合保养计划，针对产品的外部环境、主要参数与性能做质量评估，为机器潜在的问题预测提示，以减少机器非正常停机的风险，提高医疗设备的正常使用率，帮助医院实现高质量、低风险的医疗服务。中标人在接到医院计划外维护保养或报修申请电话后，中标人评估必要性后派遣工程师前往维护保养或检修设备。工程师最多不超过 24小时到达现场。</w:t>
      </w:r>
    </w:p>
    <w:p w14:paraId="134671F1">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right="989"/>
        <w:textAlignment w:val="baseline"/>
        <w:rPr>
          <w:rFonts w:hint="eastAsia" w:ascii="仿宋_GB2312" w:hAnsi="仿宋_GB2312" w:eastAsia="仿宋_GB2312" w:cs="仿宋_GB2312"/>
          <w:snapToGrid w:val="0"/>
          <w:color w:val="auto"/>
          <w:spacing w:val="6"/>
          <w:kern w:val="0"/>
          <w:sz w:val="24"/>
          <w:szCs w:val="24"/>
          <w:highlight w:val="none"/>
          <w:lang w:val="en-US" w:eastAsia="en-US" w:bidi="ar-SA"/>
        </w:rPr>
      </w:pPr>
      <w:r>
        <w:rPr>
          <w:rFonts w:hint="eastAsia" w:ascii="仿宋_GB2312" w:hAnsi="仿宋_GB2312" w:eastAsia="仿宋_GB2312" w:cs="仿宋_GB2312"/>
          <w:color w:val="auto"/>
          <w:spacing w:val="12"/>
          <w:sz w:val="24"/>
          <w:szCs w:val="24"/>
        </w:rPr>
        <w:t>▲</w:t>
      </w:r>
      <w:r>
        <w:rPr>
          <w:rFonts w:hint="eastAsia" w:ascii="仿宋_GB2312" w:hAnsi="仿宋_GB2312" w:eastAsia="仿宋_GB2312" w:cs="仿宋_GB2312"/>
          <w:snapToGrid w:val="0"/>
          <w:color w:val="auto"/>
          <w:spacing w:val="6"/>
          <w:kern w:val="0"/>
          <w:sz w:val="24"/>
          <w:szCs w:val="24"/>
          <w:lang w:val="en-US" w:eastAsia="en-US" w:bidi="ar-SA"/>
        </w:rPr>
        <w:t>4.11</w:t>
      </w:r>
      <w:r>
        <w:rPr>
          <w:rFonts w:hint="eastAsia" w:ascii="仿宋_GB2312" w:hAnsi="仿宋_GB2312" w:eastAsia="仿宋_GB2312" w:cs="仿宋_GB2312"/>
          <w:snapToGrid w:val="0"/>
          <w:color w:val="auto"/>
          <w:spacing w:val="6"/>
          <w:kern w:val="0"/>
          <w:sz w:val="24"/>
          <w:szCs w:val="24"/>
          <w:highlight w:val="none"/>
          <w:lang w:val="en-US" w:eastAsia="en-US" w:bidi="ar-SA"/>
        </w:rPr>
        <w:t>开机保证时间：开机保证率承诺为9</w:t>
      </w:r>
      <w:r>
        <w:rPr>
          <w:rFonts w:hint="eastAsia" w:ascii="仿宋_GB2312" w:hAnsi="仿宋_GB2312" w:eastAsia="仿宋_GB2312" w:cs="仿宋_GB2312"/>
          <w:snapToGrid w:val="0"/>
          <w:color w:val="auto"/>
          <w:spacing w:val="6"/>
          <w:kern w:val="0"/>
          <w:sz w:val="24"/>
          <w:szCs w:val="24"/>
          <w:highlight w:val="none"/>
          <w:lang w:val="en-US" w:eastAsia="zh-CN" w:bidi="ar-SA"/>
        </w:rPr>
        <w:t>6</w:t>
      </w:r>
      <w:r>
        <w:rPr>
          <w:rFonts w:hint="eastAsia" w:ascii="仿宋_GB2312" w:hAnsi="仿宋_GB2312" w:eastAsia="仿宋_GB2312" w:cs="仿宋_GB2312"/>
          <w:snapToGrid w:val="0"/>
          <w:color w:val="auto"/>
          <w:spacing w:val="6"/>
          <w:kern w:val="0"/>
          <w:sz w:val="24"/>
          <w:szCs w:val="24"/>
          <w:highlight w:val="none"/>
          <w:lang w:val="en-US" w:eastAsia="en-US" w:bidi="ar-SA"/>
        </w:rPr>
        <w:t>%,计算公式如下：开机保证率=365天×9</w:t>
      </w:r>
      <w:r>
        <w:rPr>
          <w:rFonts w:hint="eastAsia" w:ascii="仿宋_GB2312" w:hAnsi="仿宋_GB2312" w:eastAsia="仿宋_GB2312" w:cs="仿宋_GB2312"/>
          <w:snapToGrid w:val="0"/>
          <w:color w:val="auto"/>
          <w:spacing w:val="6"/>
          <w:kern w:val="0"/>
          <w:sz w:val="24"/>
          <w:szCs w:val="24"/>
          <w:highlight w:val="none"/>
          <w:lang w:val="en-US" w:eastAsia="zh-CN" w:bidi="ar-SA"/>
        </w:rPr>
        <w:t>6</w:t>
      </w:r>
      <w:r>
        <w:rPr>
          <w:rFonts w:hint="eastAsia" w:ascii="仿宋_GB2312" w:hAnsi="仿宋_GB2312" w:eastAsia="仿宋_GB2312" w:cs="仿宋_GB2312"/>
          <w:snapToGrid w:val="0"/>
          <w:color w:val="auto"/>
          <w:spacing w:val="6"/>
          <w:kern w:val="0"/>
          <w:sz w:val="24"/>
          <w:szCs w:val="24"/>
          <w:highlight w:val="none"/>
          <w:lang w:val="en-US" w:eastAsia="en-US" w:bidi="ar-SA"/>
        </w:rPr>
        <w:t>%,达不到开机保证率的情况下停机</w:t>
      </w:r>
      <w:r>
        <w:rPr>
          <w:rFonts w:hint="eastAsia" w:ascii="仿宋_GB2312" w:hAnsi="仿宋_GB2312" w:eastAsia="仿宋_GB2312" w:cs="仿宋_GB2312"/>
          <w:snapToGrid w:val="0"/>
          <w:color w:val="auto"/>
          <w:spacing w:val="6"/>
          <w:kern w:val="0"/>
          <w:sz w:val="24"/>
          <w:szCs w:val="24"/>
          <w:highlight w:val="none"/>
          <w:lang w:val="en-US" w:eastAsia="zh-CN" w:bidi="ar-SA"/>
        </w:rPr>
        <w:t>1</w:t>
      </w:r>
      <w:r>
        <w:rPr>
          <w:rFonts w:hint="eastAsia" w:ascii="仿宋_GB2312" w:hAnsi="仿宋_GB2312" w:eastAsia="仿宋_GB2312" w:cs="仿宋_GB2312"/>
          <w:snapToGrid w:val="0"/>
          <w:color w:val="auto"/>
          <w:spacing w:val="6"/>
          <w:kern w:val="0"/>
          <w:sz w:val="24"/>
          <w:szCs w:val="24"/>
          <w:highlight w:val="none"/>
          <w:lang w:val="en-US" w:eastAsia="en-US" w:bidi="ar-SA"/>
        </w:rPr>
        <w:t>天</w:t>
      </w:r>
      <w:r>
        <w:rPr>
          <w:rFonts w:hint="eastAsia" w:ascii="仿宋_GB2312" w:hAnsi="仿宋_GB2312" w:eastAsia="仿宋_GB2312" w:cs="仿宋_GB2312"/>
          <w:snapToGrid w:val="0"/>
          <w:color w:val="auto"/>
          <w:spacing w:val="6"/>
          <w:kern w:val="0"/>
          <w:sz w:val="24"/>
          <w:szCs w:val="24"/>
          <w:highlight w:val="none"/>
          <w:lang w:val="en-US" w:eastAsia="zh-CN" w:bidi="ar-SA"/>
        </w:rPr>
        <w:t>，维保时间</w:t>
      </w:r>
      <w:r>
        <w:rPr>
          <w:rFonts w:hint="eastAsia" w:ascii="仿宋_GB2312" w:hAnsi="仿宋_GB2312" w:eastAsia="仿宋_GB2312" w:cs="仿宋_GB2312"/>
          <w:snapToGrid w:val="0"/>
          <w:color w:val="auto"/>
          <w:spacing w:val="6"/>
          <w:kern w:val="0"/>
          <w:sz w:val="24"/>
          <w:szCs w:val="24"/>
          <w:highlight w:val="none"/>
          <w:lang w:val="en-US" w:eastAsia="en-US" w:bidi="ar-SA"/>
        </w:rPr>
        <w:t>顺延</w:t>
      </w:r>
      <w:r>
        <w:rPr>
          <w:rFonts w:hint="eastAsia" w:ascii="仿宋_GB2312" w:hAnsi="仿宋_GB2312" w:eastAsia="仿宋_GB2312" w:cs="仿宋_GB2312"/>
          <w:snapToGrid w:val="0"/>
          <w:color w:val="auto"/>
          <w:spacing w:val="6"/>
          <w:kern w:val="0"/>
          <w:sz w:val="24"/>
          <w:szCs w:val="24"/>
          <w:highlight w:val="none"/>
          <w:lang w:val="en-US" w:eastAsia="zh-CN" w:bidi="ar-SA"/>
        </w:rPr>
        <w:t>7</w:t>
      </w:r>
      <w:r>
        <w:rPr>
          <w:rFonts w:hint="eastAsia" w:ascii="仿宋_GB2312" w:hAnsi="仿宋_GB2312" w:eastAsia="仿宋_GB2312" w:cs="仿宋_GB2312"/>
          <w:snapToGrid w:val="0"/>
          <w:color w:val="auto"/>
          <w:spacing w:val="6"/>
          <w:kern w:val="0"/>
          <w:sz w:val="24"/>
          <w:szCs w:val="24"/>
          <w:highlight w:val="none"/>
          <w:lang w:val="en-US" w:eastAsia="en-US" w:bidi="ar-SA"/>
        </w:rPr>
        <w:t>天。</w:t>
      </w:r>
    </w:p>
    <w:p w14:paraId="0230EDAC">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_GB2312" w:hAnsi="仿宋_GB2312" w:eastAsia="仿宋_GB2312" w:cs="仿宋_GB2312"/>
          <w:snapToGrid w:val="0"/>
          <w:color w:val="auto"/>
          <w:spacing w:val="6"/>
          <w:kern w:val="0"/>
          <w:sz w:val="24"/>
          <w:szCs w:val="24"/>
          <w:highlight w:val="none"/>
          <w:lang w:val="en-US" w:eastAsia="en-US" w:bidi="ar-SA"/>
        </w:rPr>
      </w:pP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snapToGrid w:val="0"/>
          <w:color w:val="auto"/>
          <w:spacing w:val="6"/>
          <w:kern w:val="0"/>
          <w:sz w:val="24"/>
          <w:szCs w:val="24"/>
          <w:highlight w:val="none"/>
          <w:lang w:val="en-US" w:eastAsia="en-US" w:bidi="ar-SA"/>
        </w:rPr>
        <w:t>4.12服务报告：</w:t>
      </w:r>
    </w:p>
    <w:p w14:paraId="3AFD9187">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(1)每次保养、维修后，中标人指定的工程师应以邮件或现场汇报的形式为采购人提供服务报告，并提供纸质书面维保报告(加盖公章)。</w:t>
      </w:r>
    </w:p>
    <w:p w14:paraId="3A9FC965">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(2)年度维保报告书：按医院“三甲”要求，每维保年度结束后一个月内提交该设备的“年度维保报告书”(一式两份、加盖公章),内容包括：年度内维修记录，保养记录，维修保养发现问题的分析、工作方法改进和安排，下一年度的维保工作计划 (按持续质量改进(PDCA)制定)等。</w:t>
      </w:r>
    </w:p>
    <w:p w14:paraId="4E249089">
      <w:pPr>
        <w:pStyle w:val="17"/>
        <w:keepNext w:val="0"/>
        <w:keepLines w:val="0"/>
        <w:pageBreakBefore w:val="0"/>
        <w:widowControl/>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zh-CN" w:bidi="ar-SA"/>
        </w:rPr>
        <w:t>4.13</w:t>
      </w:r>
      <w:r>
        <w:rPr>
          <w:rFonts w:hint="eastAsia" w:ascii="仿宋_GB2312" w:hAnsi="仿宋_GB2312" w:eastAsia="仿宋_GB2312" w:cs="仿宋_GB2312"/>
          <w:snapToGrid w:val="0"/>
          <w:color w:val="auto"/>
          <w:spacing w:val="6"/>
          <w:kern w:val="0"/>
          <w:sz w:val="24"/>
          <w:szCs w:val="24"/>
          <w:lang w:val="en-US" w:eastAsia="en-US" w:bidi="ar-SA"/>
        </w:rPr>
        <w:t>免费提供远程数字化服务</w:t>
      </w:r>
    </w:p>
    <w:p w14:paraId="575BA029">
      <w:pPr>
        <w:pStyle w:val="17"/>
        <w:keepNext w:val="0"/>
        <w:keepLines w:val="0"/>
        <w:pageBreakBefore w:val="0"/>
        <w:widowControl/>
        <w:numPr>
          <w:ilvl w:val="0"/>
          <w:numId w:val="5"/>
        </w:numPr>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提供完善的远程数字化服务以提高设备使用效率</w:t>
      </w:r>
      <w:r>
        <w:rPr>
          <w:rFonts w:hint="eastAsia" w:ascii="仿宋_GB2312" w:hAnsi="仿宋_GB2312" w:eastAsia="仿宋_GB2312" w:cs="仿宋_GB2312"/>
          <w:snapToGrid w:val="0"/>
          <w:color w:val="auto"/>
          <w:spacing w:val="6"/>
          <w:kern w:val="0"/>
          <w:sz w:val="24"/>
          <w:szCs w:val="24"/>
          <w:lang w:val="en-US" w:eastAsia="zh-CN" w:bidi="ar-SA"/>
        </w:rPr>
        <w:t>；</w:t>
      </w:r>
    </w:p>
    <w:p w14:paraId="30667FFB">
      <w:pPr>
        <w:pStyle w:val="17"/>
        <w:keepNext w:val="0"/>
        <w:keepLines w:val="0"/>
        <w:pageBreakBefore w:val="0"/>
        <w:widowControl/>
        <w:numPr>
          <w:ilvl w:val="0"/>
          <w:numId w:val="5"/>
        </w:numPr>
        <w:kinsoku w:val="0"/>
        <w:wordWrap/>
        <w:overflowPunct/>
        <w:topLinePunct w:val="0"/>
        <w:autoSpaceDE w:val="0"/>
        <w:autoSpaceDN w:val="0"/>
        <w:bidi w:val="0"/>
        <w:adjustRightInd w:val="0"/>
        <w:snapToGrid w:val="0"/>
        <w:spacing w:before="172" w:line="360" w:lineRule="auto"/>
        <w:ind w:left="92" w:right="989" w:firstLine="19"/>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每年提</w:t>
      </w:r>
      <w:r>
        <w:rPr>
          <w:rFonts w:hint="eastAsia" w:ascii="仿宋_GB2312" w:hAnsi="仿宋_GB2312" w:eastAsia="仿宋_GB2312" w:cs="仿宋_GB2312"/>
          <w:snapToGrid w:val="0"/>
          <w:color w:val="auto"/>
          <w:spacing w:val="6"/>
          <w:kern w:val="0"/>
          <w:sz w:val="24"/>
          <w:szCs w:val="24"/>
          <w:highlight w:val="none"/>
          <w:lang w:val="en-US" w:eastAsia="en-US" w:bidi="ar-SA"/>
        </w:rPr>
        <w:t>供3次远程预防性保养，</w:t>
      </w:r>
      <w:r>
        <w:rPr>
          <w:rFonts w:hint="eastAsia" w:ascii="仿宋_GB2312" w:hAnsi="仿宋_GB2312" w:eastAsia="仿宋_GB2312" w:cs="仿宋_GB2312"/>
          <w:snapToGrid w:val="0"/>
          <w:color w:val="auto"/>
          <w:spacing w:val="6"/>
          <w:kern w:val="0"/>
          <w:sz w:val="24"/>
          <w:szCs w:val="24"/>
          <w:lang w:val="en-US" w:eastAsia="en-US" w:bidi="ar-SA"/>
        </w:rPr>
        <w:t>并且提供接入设备相关网络的租赁</w:t>
      </w:r>
      <w:r>
        <w:rPr>
          <w:rFonts w:hint="eastAsia" w:ascii="仿宋_GB2312" w:hAnsi="仿宋_GB2312" w:eastAsia="仿宋_GB2312" w:cs="仿宋_GB2312"/>
          <w:snapToGrid w:val="0"/>
          <w:color w:val="auto"/>
          <w:spacing w:val="6"/>
          <w:kern w:val="0"/>
          <w:sz w:val="24"/>
          <w:szCs w:val="24"/>
          <w:lang w:val="en-US" w:eastAsia="zh-CN" w:bidi="ar-SA"/>
        </w:rPr>
        <w:t>；</w:t>
      </w:r>
    </w:p>
    <w:p w14:paraId="23F41ED7">
      <w:pPr>
        <w:pStyle w:val="17"/>
        <w:keepNext w:val="0"/>
        <w:keepLines w:val="0"/>
        <w:pageBreakBefore w:val="0"/>
        <w:widowControl/>
        <w:numPr>
          <w:ilvl w:val="0"/>
          <w:numId w:val="5"/>
        </w:numPr>
        <w:kinsoku w:val="0"/>
        <w:wordWrap/>
        <w:overflowPunct/>
        <w:topLinePunct w:val="0"/>
        <w:autoSpaceDE w:val="0"/>
        <w:autoSpaceDN w:val="0"/>
        <w:bidi w:val="0"/>
        <w:adjustRightInd w:val="0"/>
        <w:snapToGrid w:val="0"/>
        <w:spacing w:before="172" w:line="360" w:lineRule="auto"/>
        <w:ind w:left="92" w:right="989" w:firstLine="19"/>
        <w:textAlignment w:val="baseline"/>
        <w:rPr>
          <w:rFonts w:hint="default" w:ascii="仿宋_GB2312" w:hAnsi="仿宋_GB2312" w:eastAsia="仿宋_GB2312" w:cs="仿宋_GB2312"/>
          <w:snapToGrid w:val="0"/>
          <w:color w:val="auto"/>
          <w:spacing w:val="6"/>
          <w:kern w:val="0"/>
          <w:sz w:val="24"/>
          <w:szCs w:val="24"/>
          <w:lang w:val="en-US" w:eastAsia="zh-CN" w:bidi="ar-SA"/>
        </w:rPr>
      </w:pPr>
      <w:r>
        <w:rPr>
          <w:rFonts w:hint="eastAsia" w:ascii="仿宋_GB2312" w:hAnsi="仿宋_GB2312" w:eastAsia="仿宋_GB2312" w:cs="仿宋_GB2312"/>
          <w:snapToGrid w:val="0"/>
          <w:color w:val="auto"/>
          <w:spacing w:val="6"/>
          <w:kern w:val="0"/>
          <w:sz w:val="24"/>
          <w:szCs w:val="24"/>
          <w:lang w:val="en-US" w:eastAsia="en-US" w:bidi="ar-SA"/>
        </w:rPr>
        <w:t>为提供设备提供24小时远程检测；更新全球智能设备诊断系统；提高监测灵敏度并扩大智能知识库；提供人工不定期远程监测服务</w:t>
      </w:r>
      <w:r>
        <w:rPr>
          <w:rFonts w:hint="eastAsia" w:ascii="仿宋_GB2312" w:hAnsi="仿宋_GB2312" w:eastAsia="仿宋_GB2312" w:cs="仿宋_GB2312"/>
          <w:snapToGrid w:val="0"/>
          <w:color w:val="auto"/>
          <w:spacing w:val="6"/>
          <w:kern w:val="0"/>
          <w:sz w:val="24"/>
          <w:szCs w:val="24"/>
          <w:lang w:val="en-US" w:eastAsia="zh-CN" w:bidi="ar-SA"/>
        </w:rPr>
        <w:t>；</w:t>
      </w:r>
    </w:p>
    <w:p w14:paraId="26EF9964">
      <w:pPr>
        <w:pStyle w:val="17"/>
        <w:keepNext w:val="0"/>
        <w:keepLines w:val="0"/>
        <w:pageBreakBefore w:val="0"/>
        <w:widowControl/>
        <w:numPr>
          <w:ilvl w:val="0"/>
          <w:numId w:val="5"/>
        </w:numPr>
        <w:kinsoku w:val="0"/>
        <w:wordWrap/>
        <w:overflowPunct/>
        <w:topLinePunct w:val="0"/>
        <w:autoSpaceDE w:val="0"/>
        <w:autoSpaceDN w:val="0"/>
        <w:bidi w:val="0"/>
        <w:adjustRightInd w:val="0"/>
        <w:snapToGrid w:val="0"/>
        <w:spacing w:before="172" w:line="360" w:lineRule="auto"/>
        <w:ind w:left="92" w:right="989" w:firstLine="19"/>
        <w:textAlignment w:val="baseline"/>
        <w:rPr>
          <w:rFonts w:hint="default" w:ascii="仿宋_GB2312" w:hAnsi="仿宋_GB2312" w:eastAsia="仿宋_GB2312" w:cs="仿宋_GB2312"/>
          <w:snapToGrid w:val="0"/>
          <w:color w:val="auto"/>
          <w:spacing w:val="6"/>
          <w:kern w:val="0"/>
          <w:sz w:val="24"/>
          <w:szCs w:val="24"/>
          <w:lang w:val="en-US" w:eastAsia="zh-CN" w:bidi="ar-SA"/>
        </w:rPr>
      </w:pPr>
      <w:r>
        <w:rPr>
          <w:rFonts w:hint="eastAsia" w:ascii="仿宋_GB2312" w:hAnsi="仿宋_GB2312" w:eastAsia="仿宋_GB2312" w:cs="仿宋_GB2312"/>
          <w:snapToGrid w:val="0"/>
          <w:color w:val="auto"/>
          <w:spacing w:val="6"/>
          <w:kern w:val="0"/>
          <w:sz w:val="24"/>
          <w:szCs w:val="24"/>
          <w:lang w:val="en-US" w:eastAsia="en-US" w:bidi="ar-SA"/>
        </w:rPr>
        <w:t>在远程监测的基础上，为设备提供预知型故障报警，并进行故障远程服务。</w:t>
      </w:r>
    </w:p>
    <w:p w14:paraId="007F0665">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_GB2312" w:hAnsi="仿宋_GB2312" w:eastAsia="仿宋_GB2312" w:cs="仿宋_GB2312"/>
          <w:b/>
          <w:bCs/>
          <w:color w:val="auto"/>
          <w:spacing w:val="-2"/>
          <w:sz w:val="24"/>
          <w:szCs w:val="24"/>
          <w:lang w:val="en-US" w:eastAsia="en-US"/>
        </w:rPr>
      </w:pPr>
      <w:r>
        <w:rPr>
          <w:rFonts w:hint="eastAsia" w:ascii="仿宋_GB2312" w:hAnsi="仿宋_GB2312" w:eastAsia="仿宋_GB2312" w:cs="仿宋_GB2312"/>
          <w:b/>
          <w:bCs/>
          <w:color w:val="auto"/>
          <w:spacing w:val="-2"/>
          <w:sz w:val="24"/>
          <w:szCs w:val="24"/>
          <w:lang w:val="en-US" w:eastAsia="en-US"/>
        </w:rPr>
        <w:t>五、投标报价要求</w:t>
      </w:r>
    </w:p>
    <w:p w14:paraId="0785E376">
      <w:pPr>
        <w:keepNext w:val="0"/>
        <w:keepLines w:val="0"/>
        <w:pageBreakBefore w:val="0"/>
        <w:widowControl/>
        <w:kinsoku w:val="0"/>
        <w:wordWrap/>
        <w:overflowPunct/>
        <w:topLinePunct w:val="0"/>
        <w:autoSpaceDE w:val="0"/>
        <w:autoSpaceDN w:val="0"/>
        <w:bidi w:val="0"/>
        <w:adjustRightInd w:val="0"/>
        <w:snapToGrid w:val="0"/>
        <w:spacing w:before="216" w:line="360" w:lineRule="auto"/>
        <w:ind w:left="204"/>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(一)投标报价为含税价。</w:t>
      </w:r>
    </w:p>
    <w:p w14:paraId="46A9A044">
      <w:pPr>
        <w:keepNext w:val="0"/>
        <w:keepLines w:val="0"/>
        <w:pageBreakBefore w:val="0"/>
        <w:widowControl/>
        <w:kinsoku w:val="0"/>
        <w:wordWrap/>
        <w:overflowPunct/>
        <w:topLinePunct w:val="0"/>
        <w:autoSpaceDE w:val="0"/>
        <w:autoSpaceDN w:val="0"/>
        <w:bidi w:val="0"/>
        <w:adjustRightInd w:val="0"/>
        <w:snapToGrid w:val="0"/>
        <w:spacing w:before="201" w:line="360" w:lineRule="auto"/>
        <w:ind w:left="204"/>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(二)中标人须开具与投标文件中投标单位名称一致的发票。</w:t>
      </w:r>
    </w:p>
    <w:p w14:paraId="2121C49D">
      <w:pPr>
        <w:keepNext w:val="0"/>
        <w:keepLines w:val="0"/>
        <w:pageBreakBefore w:val="0"/>
        <w:widowControl/>
        <w:kinsoku w:val="0"/>
        <w:wordWrap/>
        <w:overflowPunct/>
        <w:topLinePunct w:val="0"/>
        <w:autoSpaceDE w:val="0"/>
        <w:autoSpaceDN w:val="0"/>
        <w:bidi w:val="0"/>
        <w:adjustRightInd w:val="0"/>
        <w:snapToGrid w:val="0"/>
        <w:spacing w:before="177" w:line="360" w:lineRule="auto"/>
        <w:ind w:left="204"/>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(三)缺项、漏项的报价为无效报价。</w:t>
      </w:r>
    </w:p>
    <w:p w14:paraId="5216A075">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_GB2312" w:hAnsi="仿宋_GB2312" w:eastAsia="仿宋_GB2312" w:cs="仿宋_GB2312"/>
          <w:b/>
          <w:bCs/>
          <w:color w:val="auto"/>
          <w:spacing w:val="-2"/>
          <w:sz w:val="24"/>
          <w:szCs w:val="24"/>
          <w:lang w:val="en-US" w:eastAsia="en-US"/>
        </w:rPr>
      </w:pPr>
      <w:r>
        <w:rPr>
          <w:rFonts w:hint="eastAsia" w:ascii="仿宋_GB2312" w:hAnsi="仿宋_GB2312" w:eastAsia="仿宋_GB2312" w:cs="仿宋_GB2312"/>
          <w:b/>
          <w:bCs/>
          <w:color w:val="auto"/>
          <w:spacing w:val="-2"/>
          <w:sz w:val="24"/>
          <w:szCs w:val="24"/>
          <w:lang w:val="en-US" w:eastAsia="en-US"/>
        </w:rPr>
        <w:t>六、验 收</w:t>
      </w:r>
    </w:p>
    <w:p w14:paraId="03F186ED">
      <w:pPr>
        <w:keepNext w:val="0"/>
        <w:keepLines w:val="0"/>
        <w:pageBreakBefore w:val="0"/>
        <w:widowControl/>
        <w:kinsoku w:val="0"/>
        <w:wordWrap/>
        <w:overflowPunct/>
        <w:topLinePunct w:val="0"/>
        <w:autoSpaceDE w:val="0"/>
        <w:autoSpaceDN w:val="0"/>
        <w:bidi w:val="0"/>
        <w:adjustRightInd w:val="0"/>
        <w:snapToGrid w:val="0"/>
        <w:spacing w:before="234" w:line="360" w:lineRule="auto"/>
        <w:ind w:left="545"/>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中标人对设备维修保养后需提供纸质记录，并经采购人签字确认服务内容。</w:t>
      </w:r>
    </w:p>
    <w:p w14:paraId="166DAA22">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_GB2312" w:hAnsi="仿宋_GB2312" w:eastAsia="仿宋_GB2312" w:cs="仿宋_GB2312"/>
          <w:b/>
          <w:bCs/>
          <w:color w:val="auto"/>
          <w:spacing w:val="-2"/>
          <w:sz w:val="24"/>
          <w:szCs w:val="24"/>
          <w:highlight w:val="none"/>
          <w:lang w:val="en-US" w:eastAsia="en-US"/>
        </w:rPr>
      </w:pPr>
      <w:r>
        <w:rPr>
          <w:rFonts w:hint="eastAsia" w:ascii="仿宋_GB2312" w:hAnsi="仿宋_GB2312" w:eastAsia="仿宋_GB2312" w:cs="仿宋_GB2312"/>
          <w:b/>
          <w:bCs/>
          <w:color w:val="auto"/>
          <w:spacing w:val="-2"/>
          <w:sz w:val="24"/>
          <w:szCs w:val="24"/>
          <w:highlight w:val="none"/>
          <w:lang w:val="en-US" w:eastAsia="en-US"/>
        </w:rPr>
        <w:t>七、付款办法</w:t>
      </w:r>
    </w:p>
    <w:p w14:paraId="62A029D3">
      <w:pPr>
        <w:keepNext w:val="0"/>
        <w:keepLines w:val="0"/>
        <w:pageBreakBefore w:val="0"/>
        <w:widowControl/>
        <w:kinsoku w:val="0"/>
        <w:wordWrap/>
        <w:overflowPunct/>
        <w:topLinePunct w:val="0"/>
        <w:autoSpaceDE w:val="0"/>
        <w:autoSpaceDN w:val="0"/>
        <w:bidi w:val="0"/>
        <w:adjustRightInd w:val="0"/>
        <w:snapToGrid w:val="0"/>
        <w:spacing w:before="85" w:line="360" w:lineRule="auto"/>
        <w:ind w:left="204"/>
        <w:textAlignment w:val="baseline"/>
        <w:rPr>
          <w:rFonts w:hint="eastAsia" w:ascii="仿宋_GB2312" w:hAnsi="仿宋_GB2312" w:eastAsia="仿宋_GB2312" w:cs="仿宋_GB2312"/>
          <w:snapToGrid w:val="0"/>
          <w:color w:val="auto"/>
          <w:spacing w:val="6"/>
          <w:kern w:val="0"/>
          <w:sz w:val="24"/>
          <w:szCs w:val="24"/>
          <w:highlight w:val="none"/>
          <w:lang w:val="en-US" w:eastAsia="en-US" w:bidi="ar-SA"/>
        </w:rPr>
      </w:pPr>
      <w:r>
        <w:rPr>
          <w:rFonts w:hint="eastAsia" w:ascii="仿宋_GB2312" w:hAnsi="仿宋_GB2312" w:eastAsia="仿宋_GB2312" w:cs="仿宋_GB2312"/>
          <w:snapToGrid w:val="0"/>
          <w:color w:val="auto"/>
          <w:spacing w:val="6"/>
          <w:kern w:val="0"/>
          <w:sz w:val="24"/>
          <w:szCs w:val="24"/>
          <w:highlight w:val="none"/>
          <w:lang w:val="en-US" w:eastAsia="en-US" w:bidi="ar-SA"/>
        </w:rPr>
        <w:t>(一)付款方式</w:t>
      </w:r>
    </w:p>
    <w:p w14:paraId="3F2C9C6C">
      <w:pPr>
        <w:pStyle w:val="5"/>
        <w:keepNext w:val="0"/>
        <w:keepLines w:val="0"/>
        <w:pageBreakBefore w:val="0"/>
        <w:widowControl/>
        <w:kinsoku w:val="0"/>
        <w:wordWrap/>
        <w:overflowPunct/>
        <w:topLinePunct w:val="0"/>
        <w:autoSpaceDE w:val="0"/>
        <w:autoSpaceDN w:val="0"/>
        <w:bidi w:val="0"/>
        <w:adjustRightInd w:val="0"/>
        <w:snapToGrid w:val="0"/>
        <w:spacing w:before="268" w:line="360" w:lineRule="auto"/>
        <w:ind w:left="54" w:right="398"/>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highlight w:val="none"/>
          <w:lang w:val="en-US" w:eastAsia="en-US" w:bidi="ar-SA"/>
        </w:rPr>
        <w:t>1.维保服务</w:t>
      </w:r>
      <w:r>
        <w:rPr>
          <w:rFonts w:hint="eastAsia" w:ascii="仿宋_GB2312" w:hAnsi="仿宋_GB2312" w:eastAsia="仿宋_GB2312" w:cs="仿宋_GB2312"/>
          <w:snapToGrid w:val="0"/>
          <w:color w:val="auto"/>
          <w:spacing w:val="6"/>
          <w:kern w:val="0"/>
          <w:sz w:val="24"/>
          <w:szCs w:val="24"/>
          <w:highlight w:val="none"/>
          <w:lang w:val="en-US" w:eastAsia="zh-CN" w:bidi="ar-SA"/>
        </w:rPr>
        <w:t>3</w:t>
      </w:r>
      <w:r>
        <w:rPr>
          <w:rFonts w:hint="eastAsia" w:ascii="仿宋_GB2312" w:hAnsi="仿宋_GB2312" w:eastAsia="仿宋_GB2312" w:cs="仿宋_GB2312"/>
          <w:snapToGrid w:val="0"/>
          <w:color w:val="auto"/>
          <w:spacing w:val="6"/>
          <w:kern w:val="0"/>
          <w:sz w:val="24"/>
          <w:szCs w:val="24"/>
          <w:highlight w:val="none"/>
          <w:lang w:val="en-US" w:eastAsia="en-US" w:bidi="ar-SA"/>
        </w:rPr>
        <w:t>年，采购人按每个</w:t>
      </w:r>
      <w:r>
        <w:rPr>
          <w:rFonts w:hint="eastAsia" w:ascii="仿宋_GB2312" w:hAnsi="仿宋_GB2312" w:eastAsia="仿宋_GB2312" w:cs="仿宋_GB2312"/>
          <w:snapToGrid w:val="0"/>
          <w:color w:val="auto"/>
          <w:spacing w:val="6"/>
          <w:kern w:val="0"/>
          <w:sz w:val="24"/>
          <w:szCs w:val="24"/>
          <w:highlight w:val="none"/>
          <w:lang w:val="en-US" w:eastAsia="zh-CN" w:bidi="ar-SA"/>
        </w:rPr>
        <w:t>年度</w:t>
      </w:r>
      <w:r>
        <w:rPr>
          <w:rFonts w:hint="eastAsia" w:ascii="仿宋_GB2312" w:hAnsi="仿宋_GB2312" w:eastAsia="仿宋_GB2312" w:cs="仿宋_GB2312"/>
          <w:snapToGrid w:val="0"/>
          <w:color w:val="auto"/>
          <w:spacing w:val="6"/>
          <w:kern w:val="0"/>
          <w:sz w:val="24"/>
          <w:szCs w:val="24"/>
          <w:highlight w:val="none"/>
          <w:lang w:val="en-US" w:eastAsia="en-US" w:bidi="ar-SA"/>
        </w:rPr>
        <w:t>进行付款。每个</w:t>
      </w:r>
      <w:r>
        <w:rPr>
          <w:rFonts w:hint="eastAsia" w:ascii="仿宋_GB2312" w:hAnsi="仿宋_GB2312" w:eastAsia="仿宋_GB2312" w:cs="仿宋_GB2312"/>
          <w:snapToGrid w:val="0"/>
          <w:color w:val="auto"/>
          <w:spacing w:val="6"/>
          <w:kern w:val="0"/>
          <w:sz w:val="24"/>
          <w:szCs w:val="24"/>
          <w:lang w:val="en-US" w:eastAsia="zh-CN" w:bidi="ar-SA"/>
        </w:rPr>
        <w:t>年度</w:t>
      </w:r>
      <w:r>
        <w:rPr>
          <w:rFonts w:hint="eastAsia" w:ascii="仿宋_GB2312" w:hAnsi="仿宋_GB2312" w:eastAsia="仿宋_GB2312" w:cs="仿宋_GB2312"/>
          <w:snapToGrid w:val="0"/>
          <w:color w:val="auto"/>
          <w:spacing w:val="6"/>
          <w:kern w:val="0"/>
          <w:sz w:val="24"/>
          <w:szCs w:val="24"/>
          <w:lang w:val="en-US" w:eastAsia="en-US" w:bidi="ar-SA"/>
        </w:rPr>
        <w:t>末，中标人提供一个</w:t>
      </w:r>
      <w:r>
        <w:rPr>
          <w:rFonts w:hint="eastAsia" w:ascii="仿宋_GB2312" w:hAnsi="仿宋_GB2312" w:eastAsia="仿宋_GB2312" w:cs="仿宋_GB2312"/>
          <w:snapToGrid w:val="0"/>
          <w:color w:val="auto"/>
          <w:spacing w:val="6"/>
          <w:kern w:val="0"/>
          <w:sz w:val="24"/>
          <w:szCs w:val="24"/>
          <w:lang w:val="en-US" w:eastAsia="zh-CN" w:bidi="ar-SA"/>
        </w:rPr>
        <w:t>年度</w:t>
      </w:r>
      <w:r>
        <w:rPr>
          <w:rFonts w:hint="eastAsia" w:ascii="仿宋_GB2312" w:hAnsi="仿宋_GB2312" w:eastAsia="仿宋_GB2312" w:cs="仿宋_GB2312"/>
          <w:snapToGrid w:val="0"/>
          <w:color w:val="auto"/>
          <w:spacing w:val="6"/>
          <w:kern w:val="0"/>
          <w:sz w:val="24"/>
          <w:szCs w:val="24"/>
          <w:lang w:val="en-US" w:eastAsia="en-US" w:bidi="ar-SA"/>
        </w:rPr>
        <w:t>的维修款项发票，采购人收到发票并审核无误后，采购人支付该笔款项。</w:t>
      </w:r>
    </w:p>
    <w:p w14:paraId="3AAED506">
      <w:pPr>
        <w:keepNext w:val="0"/>
        <w:keepLines w:val="0"/>
        <w:pageBreakBefore w:val="0"/>
        <w:widowControl/>
        <w:kinsoku w:val="0"/>
        <w:wordWrap/>
        <w:overflowPunct/>
        <w:topLinePunct w:val="0"/>
        <w:autoSpaceDE w:val="0"/>
        <w:autoSpaceDN w:val="0"/>
        <w:bidi w:val="0"/>
        <w:adjustRightInd w:val="0"/>
        <w:snapToGrid w:val="0"/>
        <w:spacing w:before="22" w:line="360" w:lineRule="auto"/>
        <w:ind w:left="54"/>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★2. 因任何原因所致维保期间设备报废，维保服务终止，按实际维保时间结算费用。</w:t>
      </w:r>
    </w:p>
    <w:p w14:paraId="1C7EE5AA">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_GB2312" w:hAnsi="仿宋_GB2312" w:eastAsia="仿宋_GB2312" w:cs="仿宋_GB2312"/>
          <w:b/>
          <w:bCs/>
          <w:color w:val="auto"/>
          <w:spacing w:val="-2"/>
          <w:sz w:val="24"/>
          <w:szCs w:val="24"/>
          <w:lang w:val="en-US" w:eastAsia="en-US"/>
        </w:rPr>
      </w:pPr>
      <w:r>
        <w:rPr>
          <w:rFonts w:hint="eastAsia" w:ascii="仿宋_GB2312" w:hAnsi="仿宋_GB2312" w:eastAsia="仿宋_GB2312" w:cs="仿宋_GB2312"/>
          <w:b/>
          <w:bCs/>
          <w:color w:val="auto"/>
          <w:spacing w:val="-2"/>
          <w:sz w:val="24"/>
          <w:szCs w:val="24"/>
          <w:lang w:val="en-US" w:eastAsia="en-US"/>
        </w:rPr>
        <w:t>八、技术文件</w:t>
      </w:r>
    </w:p>
    <w:p w14:paraId="5349246B">
      <w:pPr>
        <w:keepNext w:val="0"/>
        <w:keepLines w:val="0"/>
        <w:pageBreakBefore w:val="0"/>
        <w:widowControl/>
        <w:kinsoku w:val="0"/>
        <w:wordWrap/>
        <w:overflowPunct/>
        <w:topLinePunct w:val="0"/>
        <w:autoSpaceDE w:val="0"/>
        <w:autoSpaceDN w:val="0"/>
        <w:bidi w:val="0"/>
        <w:adjustRightInd w:val="0"/>
        <w:snapToGrid w:val="0"/>
        <w:spacing w:before="267" w:line="360" w:lineRule="auto"/>
        <w:ind w:left="545"/>
        <w:textAlignment w:val="baseline"/>
        <w:rPr>
          <w:rFonts w:hint="eastAsia" w:ascii="仿宋_GB2312" w:hAnsi="仿宋_GB2312" w:eastAsia="仿宋_GB2312" w:cs="仿宋_GB2312"/>
          <w:snapToGrid w:val="0"/>
          <w:color w:val="auto"/>
          <w:spacing w:val="6"/>
          <w:kern w:val="0"/>
          <w:sz w:val="24"/>
          <w:szCs w:val="24"/>
          <w:lang w:val="en-US" w:eastAsia="en-US" w:bidi="ar-SA"/>
        </w:rPr>
      </w:pPr>
      <w:r>
        <w:rPr>
          <w:rFonts w:hint="eastAsia" w:ascii="仿宋_GB2312" w:hAnsi="仿宋_GB2312" w:eastAsia="仿宋_GB2312" w:cs="仿宋_GB2312"/>
          <w:snapToGrid w:val="0"/>
          <w:color w:val="auto"/>
          <w:spacing w:val="6"/>
          <w:kern w:val="0"/>
          <w:sz w:val="24"/>
          <w:szCs w:val="24"/>
          <w:lang w:val="en-US" w:eastAsia="en-US" w:bidi="ar-SA"/>
        </w:rPr>
        <w:t>投标人应提供包括但不限于所供应产品的使用和维护的技术文件。</w:t>
      </w:r>
    </w:p>
    <w:p w14:paraId="7BAD32BA">
      <w:pPr>
        <w:pStyle w:val="5"/>
        <w:keepNext w:val="0"/>
        <w:keepLines w:val="0"/>
        <w:pageBreakBefore w:val="0"/>
        <w:widowControl/>
        <w:kinsoku w:val="0"/>
        <w:wordWrap/>
        <w:overflowPunct/>
        <w:topLinePunct w:val="0"/>
        <w:autoSpaceDE w:val="0"/>
        <w:autoSpaceDN w:val="0"/>
        <w:bidi w:val="0"/>
        <w:adjustRightInd w:val="0"/>
        <w:snapToGrid w:val="0"/>
        <w:spacing w:before="275" w:line="360" w:lineRule="auto"/>
        <w:ind w:left="578"/>
        <w:textAlignment w:val="baseline"/>
        <w:outlineLvl w:val="0"/>
        <w:rPr>
          <w:rFonts w:hint="eastAsia" w:ascii="仿宋_GB2312" w:hAnsi="仿宋_GB2312" w:eastAsia="仿宋_GB2312" w:cs="仿宋_GB2312"/>
          <w:b/>
          <w:bCs/>
          <w:color w:val="auto"/>
          <w:spacing w:val="-2"/>
          <w:sz w:val="24"/>
          <w:szCs w:val="24"/>
          <w:lang w:val="en-US" w:eastAsia="en-US"/>
        </w:rPr>
      </w:pPr>
      <w:r>
        <w:rPr>
          <w:rFonts w:hint="eastAsia" w:ascii="仿宋_GB2312" w:hAnsi="仿宋_GB2312" w:eastAsia="仿宋_GB2312" w:cs="仿宋_GB2312"/>
          <w:b/>
          <w:bCs/>
          <w:color w:val="auto"/>
          <w:spacing w:val="-2"/>
          <w:sz w:val="24"/>
          <w:szCs w:val="24"/>
          <w:lang w:val="en-US" w:eastAsia="en-US"/>
        </w:rPr>
        <w:t>九、采购人配合条件</w:t>
      </w:r>
    </w:p>
    <w:p w14:paraId="3E44A9AF">
      <w:pPr>
        <w:keepNext w:val="0"/>
        <w:keepLines w:val="0"/>
        <w:pageBreakBefore w:val="0"/>
        <w:widowControl/>
        <w:kinsoku w:val="0"/>
        <w:wordWrap/>
        <w:overflowPunct/>
        <w:topLinePunct w:val="0"/>
        <w:autoSpaceDE w:val="0"/>
        <w:autoSpaceDN w:val="0"/>
        <w:bidi w:val="0"/>
        <w:adjustRightInd w:val="0"/>
        <w:snapToGrid w:val="0"/>
        <w:spacing w:before="189" w:line="360" w:lineRule="auto"/>
        <w:ind w:left="54" w:right="399" w:firstLine="490"/>
        <w:jc w:val="both"/>
        <w:textAlignment w:val="baseline"/>
        <w:rPr>
          <w:rFonts w:hint="eastAsia" w:ascii="仿宋_GB2312" w:hAnsi="仿宋_GB2312" w:eastAsia="仿宋_GB2312" w:cs="仿宋_GB2312"/>
          <w:snapToGrid w:val="0"/>
          <w:color w:val="auto"/>
          <w:spacing w:val="6"/>
          <w:kern w:val="0"/>
          <w:sz w:val="24"/>
          <w:szCs w:val="24"/>
          <w:lang w:val="en-US" w:eastAsia="zh-CN" w:bidi="ar-SA"/>
        </w:rPr>
        <w:sectPr>
          <w:headerReference r:id="rId3" w:type="default"/>
          <w:pgSz w:w="11900" w:h="16840"/>
          <w:pgMar w:top="400" w:right="984" w:bottom="0" w:left="1405" w:header="0" w:footer="0" w:gutter="0"/>
          <w:cols w:space="720" w:num="1"/>
        </w:sectPr>
      </w:pPr>
      <w:r>
        <w:rPr>
          <w:rFonts w:hint="eastAsia" w:ascii="仿宋_GB2312" w:hAnsi="仿宋_GB2312" w:eastAsia="仿宋_GB2312" w:cs="仿宋_GB2312"/>
          <w:snapToGrid w:val="0"/>
          <w:color w:val="auto"/>
          <w:spacing w:val="6"/>
          <w:kern w:val="0"/>
          <w:sz w:val="24"/>
          <w:szCs w:val="24"/>
          <w:lang w:val="en-US" w:eastAsia="en-US" w:bidi="ar-SA"/>
        </w:rPr>
        <w:t>投标人在投标文件中可列明在项目实施过程中需采购人提供的配合条件。所列配合条件采购人将尽量配合解决，但不代表采购人全部接受，采购人有权全部或部分拒绝投标人提出的配合</w:t>
      </w:r>
      <w:r>
        <w:rPr>
          <w:rFonts w:hint="eastAsia" w:ascii="仿宋_GB2312" w:hAnsi="仿宋_GB2312" w:eastAsia="仿宋_GB2312" w:cs="仿宋_GB2312"/>
          <w:snapToGrid w:val="0"/>
          <w:color w:val="auto"/>
          <w:spacing w:val="6"/>
          <w:kern w:val="0"/>
          <w:sz w:val="24"/>
          <w:szCs w:val="24"/>
          <w:lang w:val="en-US" w:eastAsia="zh-CN" w:bidi="ar-SA"/>
        </w:rPr>
        <w:t>条件</w:t>
      </w:r>
    </w:p>
    <w:p w14:paraId="7AFCDCA1">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4D3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1C8B6"/>
    <w:multiLevelType w:val="singleLevel"/>
    <w:tmpl w:val="C2A1C8B6"/>
    <w:lvl w:ilvl="0" w:tentative="0">
      <w:start w:val="4"/>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8FE7C1D"/>
    <w:multiLevelType w:val="singleLevel"/>
    <w:tmpl w:val="18FE7C1D"/>
    <w:lvl w:ilvl="0" w:tentative="0">
      <w:start w:val="1"/>
      <w:numFmt w:val="decimal"/>
      <w:lvlText w:val="%1."/>
      <w:lvlJc w:val="left"/>
      <w:pPr>
        <w:tabs>
          <w:tab w:val="left" w:pos="312"/>
        </w:tabs>
      </w:p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BEF5387"/>
    <w:multiLevelType w:val="singleLevel"/>
    <w:tmpl w:val="7BEF5387"/>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B983A11"/>
    <w:rsid w:val="0BB21C5B"/>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9F46800"/>
    <w:rsid w:val="1A4E463B"/>
    <w:rsid w:val="1AC04D91"/>
    <w:rsid w:val="1B9B3432"/>
    <w:rsid w:val="1C5D648C"/>
    <w:rsid w:val="20372DFC"/>
    <w:rsid w:val="206831B1"/>
    <w:rsid w:val="22D309D5"/>
    <w:rsid w:val="23683A18"/>
    <w:rsid w:val="23AE6D9F"/>
    <w:rsid w:val="23E7584F"/>
    <w:rsid w:val="250D3239"/>
    <w:rsid w:val="258D2337"/>
    <w:rsid w:val="268A1BB3"/>
    <w:rsid w:val="28BF1285"/>
    <w:rsid w:val="2A390639"/>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52299F"/>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4FEC0229"/>
    <w:rsid w:val="513F009D"/>
    <w:rsid w:val="516D03D0"/>
    <w:rsid w:val="51CA70EA"/>
    <w:rsid w:val="53223453"/>
    <w:rsid w:val="54B34A9B"/>
    <w:rsid w:val="54C41E6B"/>
    <w:rsid w:val="562C6AB3"/>
    <w:rsid w:val="56864F28"/>
    <w:rsid w:val="56AB1A08"/>
    <w:rsid w:val="59480742"/>
    <w:rsid w:val="5B576610"/>
    <w:rsid w:val="5B735BEC"/>
    <w:rsid w:val="5CEB018E"/>
    <w:rsid w:val="5D1761F3"/>
    <w:rsid w:val="5D4446FE"/>
    <w:rsid w:val="5EC71180"/>
    <w:rsid w:val="5F580C6B"/>
    <w:rsid w:val="5F8F08C0"/>
    <w:rsid w:val="5FA44E0F"/>
    <w:rsid w:val="5FE15E62"/>
    <w:rsid w:val="60182200"/>
    <w:rsid w:val="60872EF7"/>
    <w:rsid w:val="61F160E0"/>
    <w:rsid w:val="628D32EA"/>
    <w:rsid w:val="629D3C8C"/>
    <w:rsid w:val="62F87170"/>
    <w:rsid w:val="63895A12"/>
    <w:rsid w:val="644C371A"/>
    <w:rsid w:val="65EE62D4"/>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4C229B"/>
    <w:rsid w:val="7B69139A"/>
    <w:rsid w:val="7B6A77B1"/>
    <w:rsid w:val="7BB00769"/>
    <w:rsid w:val="7BDC306D"/>
    <w:rsid w:val="7C2A25DC"/>
    <w:rsid w:val="7C83261F"/>
    <w:rsid w:val="7C853D90"/>
    <w:rsid w:val="7E494CBC"/>
    <w:rsid w:val="7E7B2990"/>
    <w:rsid w:val="7EB80F3B"/>
    <w:rsid w:val="7FEE3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pPr>
      <w:spacing w:after="120"/>
    </w:p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 w:type="paragraph" w:customStyle="1" w:styleId="17">
    <w:name w:val="Table Text"/>
    <w:basedOn w:val="1"/>
    <w:semiHidden/>
    <w:qFormat/>
    <w:uiPriority w:val="0"/>
    <w:rPr>
      <w:rFonts w:ascii="宋体" w:hAnsi="宋体" w:eastAsia="宋体" w:cs="宋体"/>
      <w:sz w:val="25"/>
      <w:szCs w:val="25"/>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3078</Words>
  <Characters>3309</Characters>
  <Lines>5</Lines>
  <Paragraphs>1</Paragraphs>
  <TotalTime>9</TotalTime>
  <ScaleCrop>false</ScaleCrop>
  <LinksUpToDate>false</LinksUpToDate>
  <CharactersWithSpaces>3440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2025-01-04T01:25:05Z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