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3"/>
        <w:ind w:left="0" w:leftChars="0" w:firstLine="0" w:firstLineChars="0"/>
        <w:rPr>
          <w:rFonts w:hint="eastAsia"/>
          <w:b/>
          <w:bCs/>
          <w:color w:val="0000FF"/>
          <w:sz w:val="24"/>
        </w:rPr>
      </w:pPr>
    </w:p>
    <w:p>
      <w:pPr>
        <w:pStyle w:val="3"/>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病理包埋机</w:t>
            </w:r>
          </w:p>
        </w:tc>
        <w:tc>
          <w:tcPr>
            <w:tcW w:w="2268"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病理科</w:t>
            </w:r>
          </w:p>
        </w:tc>
        <w:tc>
          <w:tcPr>
            <w:tcW w:w="2508"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1</w:t>
            </w:r>
          </w:p>
        </w:tc>
      </w:tr>
    </w:tbl>
    <w:p>
      <w:pPr>
        <w:spacing w:line="440" w:lineRule="exact"/>
        <w:rPr>
          <w:rFonts w:hint="eastAsia" w:ascii="仿宋" w:hAnsi="仿宋" w:eastAsia="仿宋" w:cs="仿宋"/>
          <w:color w:val="000000"/>
          <w:sz w:val="24"/>
        </w:rPr>
      </w:pPr>
      <w:r>
        <w:rPr>
          <w:rFonts w:hint="eastAsia" w:ascii="仿宋" w:hAnsi="仿宋" w:eastAsia="仿宋" w:cs="仿宋"/>
          <w:color w:val="000000"/>
          <w:sz w:val="24"/>
        </w:rPr>
        <w:t>核心产品：制热系统和制冷系统。应具备以下特点：高效性、精确控制、自动化程度高、安全性高、稳定性高以及操作简便。</w:t>
      </w:r>
    </w:p>
    <w:p>
      <w:pPr>
        <w:spacing w:line="440" w:lineRule="exact"/>
        <w:rPr>
          <w:rFonts w:ascii="仿宋" w:hAnsi="仿宋" w:eastAsia="仿宋" w:cs="仿宋"/>
          <w:b/>
          <w:color w:val="000000"/>
          <w:sz w:val="24"/>
        </w:rPr>
      </w:pPr>
      <w:r>
        <w:rPr>
          <w:rFonts w:hint="eastAsia" w:ascii="仿宋" w:hAnsi="仿宋" w:eastAsia="仿宋" w:cs="仿宋"/>
          <w:color w:val="000000"/>
          <w:sz w:val="24"/>
        </w:rPr>
        <w:t>用途：主要用于组织样本的包埋过程，旨在提高工作效率和包埋质量。</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1</w:t>
            </w:r>
          </w:p>
        </w:tc>
        <w:tc>
          <w:tcPr>
            <w:tcW w:w="7599" w:type="dxa"/>
            <w:noWrap w:val="0"/>
            <w:vAlign w:val="top"/>
          </w:tcPr>
          <w:p>
            <w:pPr>
              <w:spacing w:line="440" w:lineRule="exact"/>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工作电压：220V-240V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2</w:t>
            </w:r>
          </w:p>
        </w:tc>
        <w:tc>
          <w:tcPr>
            <w:tcW w:w="7599" w:type="dxa"/>
            <w:noWrap w:val="0"/>
            <w:vAlign w:val="top"/>
          </w:tcPr>
          <w:p>
            <w:pPr>
              <w:pStyle w:val="12"/>
              <w:ind w:firstLine="0" w:firstLineChars="0"/>
              <w:jc w:val="left"/>
              <w:rPr>
                <w:rFonts w:ascii="仿宋" w:hAnsi="仿宋" w:eastAsia="仿宋" w:cs="仿宋"/>
                <w:color w:val="000000"/>
                <w:sz w:val="24"/>
                <w:highlight w:val="none"/>
              </w:rPr>
            </w:pPr>
            <w:r>
              <w:rPr>
                <w:rFonts w:hint="eastAsia" w:ascii="仿宋" w:hAnsi="仿宋" w:eastAsia="仿宋" w:cs="仿宋"/>
                <w:color w:val="000000"/>
                <w:sz w:val="24"/>
              </w:rPr>
              <w:t>自动或半自动操作：能够实现自动或半自动化的包埋过程，减少人工干预，提高工作效率。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top"/>
          </w:tcPr>
          <w:p>
            <w:pPr>
              <w:spacing w:line="440" w:lineRule="exac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w:t>
            </w:r>
          </w:p>
        </w:tc>
        <w:tc>
          <w:tcPr>
            <w:tcW w:w="7599" w:type="dxa"/>
            <w:noWrap w:val="0"/>
            <w:vAlign w:val="top"/>
          </w:tcPr>
          <w:p>
            <w:pPr>
              <w:spacing w:line="440" w:lineRule="exact"/>
              <w:jc w:val="left"/>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温度控制：能够精确控制包埋过程中的温度，确保包埋剂保持适当的流动性和稳定性。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4</w:t>
            </w:r>
          </w:p>
        </w:tc>
        <w:tc>
          <w:tcPr>
            <w:tcW w:w="7599" w:type="dxa"/>
            <w:noWrap w:val="0"/>
            <w:vAlign w:val="top"/>
          </w:tcPr>
          <w:p>
            <w:pPr>
              <w:tabs>
                <w:tab w:val="left" w:pos="2597"/>
              </w:tabs>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包埋盒放置与固定：具备适当的包埋盒放置区域，能够固定包埋盒，确保组织块在包埋过程中的稳定性。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6"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5</w:t>
            </w:r>
          </w:p>
        </w:tc>
        <w:tc>
          <w:tcPr>
            <w:tcW w:w="7599" w:type="dxa"/>
            <w:noWrap w:val="0"/>
            <w:vAlign w:val="top"/>
          </w:tcPr>
          <w:p>
            <w:pPr>
              <w:pStyle w:val="12"/>
              <w:tabs>
                <w:tab w:val="left" w:pos="2739"/>
              </w:tabs>
              <w:ind w:firstLine="0" w:firstLineChars="0"/>
              <w:jc w:val="left"/>
              <w:rPr>
                <w:rFonts w:ascii="仿宋" w:hAnsi="仿宋" w:eastAsia="仿宋" w:cs="仿宋"/>
                <w:color w:val="000000"/>
                <w:sz w:val="24"/>
              </w:rPr>
            </w:pPr>
            <w:r>
              <w:rPr>
                <w:rFonts w:hint="eastAsia" w:ascii="仿宋" w:hAnsi="仿宋" w:eastAsia="仿宋" w:cs="仿宋"/>
                <w:color w:val="000000"/>
                <w:sz w:val="24"/>
              </w:rPr>
              <w:t>防污染设计：具备良好的防污染设计，防止外界的污染物进入包埋过程，保证样本的纯净度。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6</w:t>
            </w:r>
          </w:p>
        </w:tc>
        <w:tc>
          <w:tcPr>
            <w:tcW w:w="7599" w:type="dxa"/>
            <w:noWrap w:val="0"/>
            <w:vAlign w:val="top"/>
          </w:tcPr>
          <w:p>
            <w:pPr>
              <w:pStyle w:val="12"/>
              <w:ind w:firstLine="0" w:firstLineChars="0"/>
              <w:jc w:val="left"/>
              <w:rPr>
                <w:rFonts w:hint="eastAsia" w:ascii="仿宋" w:hAnsi="仿宋" w:eastAsia="仿宋" w:cs="仿宋"/>
                <w:color w:val="000000"/>
                <w:sz w:val="24"/>
              </w:rPr>
            </w:pPr>
            <w:r>
              <w:rPr>
                <w:rFonts w:hint="eastAsia" w:ascii="仿宋" w:hAnsi="仿宋" w:eastAsia="仿宋" w:cs="仿宋"/>
                <w:color w:val="000000"/>
                <w:sz w:val="24"/>
              </w:rPr>
              <w:t>快速冷却：在包埋剂注入后，能够快速冷却固化，减少组织变形。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7</w:t>
            </w:r>
          </w:p>
        </w:tc>
        <w:tc>
          <w:tcPr>
            <w:tcW w:w="7599" w:type="dxa"/>
            <w:noWrap w:val="0"/>
            <w:vAlign w:val="top"/>
          </w:tcPr>
          <w:p>
            <w:pPr>
              <w:spacing w:line="440" w:lineRule="exact"/>
              <w:jc w:val="left"/>
              <w:rPr>
                <w:rFonts w:hint="default" w:ascii="仿宋" w:hAnsi="仿宋" w:eastAsia="仿宋" w:cs="仿宋"/>
                <w:color w:val="000000"/>
                <w:sz w:val="24"/>
                <w:lang w:val="en-US" w:eastAsia="zh-CN"/>
              </w:rPr>
            </w:pPr>
            <w:r>
              <w:rPr>
                <w:rFonts w:hint="eastAsia" w:ascii="仿宋" w:hAnsi="仿宋" w:eastAsia="仿宋" w:cs="仿宋"/>
                <w:color w:val="000000"/>
                <w:sz w:val="24"/>
              </w:rPr>
              <w:t>易于清洁和维护：</w:t>
            </w:r>
            <w:r>
              <w:rPr>
                <w:rFonts w:hint="eastAsia" w:ascii="仿宋" w:hAnsi="仿宋" w:eastAsia="仿宋" w:cs="仿宋"/>
                <w:color w:val="000000"/>
                <w:sz w:val="24"/>
                <w:lang w:val="en-US" w:eastAsia="zh-CN"/>
              </w:rPr>
              <w:t>排蜡系统和排蜡阀设计保证热台、组织槽、熔蜡缸等处的熔蜡顺畅排出，可手控或脚控出蜡，出蜡结束后无残余液体石蜡滴出；提供可移废蜡槽，便于清洁。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8</w:t>
            </w:r>
          </w:p>
        </w:tc>
        <w:tc>
          <w:tcPr>
            <w:tcW w:w="7599" w:type="dxa"/>
            <w:noWrap w:val="0"/>
            <w:vAlign w:val="top"/>
          </w:tcPr>
          <w:p>
            <w:pPr>
              <w:pStyle w:val="12"/>
              <w:ind w:firstLine="0" w:firstLineChars="0"/>
              <w:jc w:val="left"/>
              <w:rPr>
                <w:rFonts w:hint="eastAsia" w:ascii="仿宋" w:hAnsi="仿宋" w:eastAsia="仿宋" w:cs="仿宋"/>
                <w:color w:val="000000"/>
                <w:sz w:val="24"/>
              </w:rPr>
            </w:pPr>
            <w:r>
              <w:rPr>
                <w:rFonts w:hint="eastAsia" w:ascii="仿宋" w:hAnsi="仿宋" w:eastAsia="仿宋" w:cs="仿宋"/>
                <w:color w:val="000000"/>
                <w:sz w:val="24"/>
              </w:rPr>
              <w:t>安全保护：具备必要的安全保护措施，如过热保护、断电保护等，确保操作人员的安全。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9▲</w:t>
            </w:r>
          </w:p>
        </w:tc>
        <w:tc>
          <w:tcPr>
            <w:tcW w:w="7599" w:type="dxa"/>
            <w:noWrap w:val="0"/>
            <w:vAlign w:val="top"/>
          </w:tcPr>
          <w:p>
            <w:pPr>
              <w:pStyle w:val="12"/>
              <w:ind w:firstLine="0" w:firstLineChars="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设置温度：</w:t>
            </w:r>
          </w:p>
          <w:p>
            <w:pPr>
              <w:pStyle w:val="12"/>
              <w:ind w:firstLine="0" w:firstLineChars="0"/>
              <w:jc w:val="left"/>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温控精准，有过热保护。</w:t>
            </w:r>
          </w:p>
          <w:p>
            <w:pPr>
              <w:pStyle w:val="12"/>
              <w:ind w:firstLine="0" w:firstLineChars="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①熔蜡</w:t>
            </w:r>
            <w:r>
              <w:rPr>
                <w:rFonts w:hint="eastAsia" w:ascii="仿宋" w:hAnsi="仿宋" w:eastAsia="仿宋" w:cs="仿宋"/>
                <w:color w:val="000000"/>
                <w:sz w:val="24"/>
                <w:highlight w:val="none"/>
                <w:lang w:val="en-US" w:eastAsia="zh-CN"/>
              </w:rPr>
              <w:t>蜡缸容量≥5L，温度范围50-70℃，温度范围不宜过宽；</w:t>
            </w:r>
          </w:p>
          <w:p>
            <w:pPr>
              <w:pStyle w:val="12"/>
              <w:ind w:firstLine="0" w:firstLineChars="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②“热台”</w:t>
            </w:r>
            <w:r>
              <w:rPr>
                <w:rFonts w:hint="eastAsia" w:ascii="仿宋" w:hAnsi="仿宋" w:eastAsia="仿宋" w:cs="仿宋"/>
                <w:color w:val="000000"/>
                <w:sz w:val="24"/>
                <w:highlight w:val="none"/>
                <w:lang w:val="en-US" w:eastAsia="zh-CN"/>
              </w:rPr>
              <w:t>温度范围50-70℃，可放置≥300个组织盒；</w:t>
            </w:r>
            <w:r>
              <w:rPr>
                <w:rFonts w:hint="eastAsia" w:ascii="仿宋" w:hAnsi="仿宋" w:eastAsia="仿宋" w:cs="仿宋"/>
                <w:color w:val="000000"/>
                <w:sz w:val="24"/>
                <w:highlight w:val="none"/>
              </w:rPr>
              <w:t xml:space="preserve"> </w:t>
            </w:r>
          </w:p>
          <w:p>
            <w:pPr>
              <w:pStyle w:val="12"/>
              <w:ind w:firstLine="0" w:firstLineChars="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③“组织槽”</w:t>
            </w:r>
            <w:r>
              <w:rPr>
                <w:rFonts w:hint="eastAsia" w:ascii="仿宋" w:hAnsi="仿宋" w:eastAsia="仿宋" w:cs="仿宋"/>
                <w:color w:val="000000"/>
                <w:sz w:val="24"/>
                <w:highlight w:val="none"/>
                <w:lang w:val="en-US" w:eastAsia="zh-CN"/>
              </w:rPr>
              <w:t>度范围50-70℃，温度范围不宜过宽，</w:t>
            </w:r>
            <w:r>
              <w:rPr>
                <w:rFonts w:hint="eastAsia" w:ascii="仿宋" w:hAnsi="仿宋" w:eastAsia="仿宋" w:cs="仿宋"/>
                <w:color w:val="000000"/>
                <w:sz w:val="24"/>
                <w:highlight w:val="none"/>
              </w:rPr>
              <w:t>“组织槽”和“包埋模存储槽”都是独立控温的，根据需要可单独设置每个模块的温度。</w:t>
            </w:r>
          </w:p>
          <w:p>
            <w:pPr>
              <w:pStyle w:val="12"/>
              <w:ind w:firstLine="0" w:firstLineChars="0"/>
              <w:jc w:val="left"/>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④</w:t>
            </w:r>
            <w:r>
              <w:rPr>
                <w:rFonts w:hint="eastAsia" w:ascii="仿宋" w:hAnsi="仿宋" w:eastAsia="仿宋" w:cs="仿宋"/>
                <w:color w:val="000000"/>
                <w:sz w:val="24"/>
                <w:highlight w:val="none"/>
                <w:lang w:val="en-US" w:eastAsia="zh-CN"/>
              </w:rPr>
              <w:t>冷台工作温度可调：-12~-3℃，温度范围不宜过宽。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10</w:t>
            </w:r>
          </w:p>
        </w:tc>
        <w:tc>
          <w:tcPr>
            <w:tcW w:w="7599" w:type="dxa"/>
            <w:noWrap w:val="0"/>
            <w:vAlign w:val="top"/>
          </w:tcPr>
          <w:p>
            <w:pPr>
              <w:pStyle w:val="12"/>
              <w:ind w:firstLine="0" w:firstLineChars="0"/>
              <w:jc w:val="left"/>
              <w:rPr>
                <w:rFonts w:hint="eastAsia" w:ascii="仿宋" w:hAnsi="仿宋" w:eastAsia="仿宋" w:cs="仿宋"/>
                <w:color w:val="000000"/>
                <w:sz w:val="24"/>
              </w:rPr>
            </w:pPr>
            <w:r>
              <w:rPr>
                <w:rFonts w:hint="eastAsia" w:ascii="仿宋" w:hAnsi="仿宋" w:eastAsia="仿宋" w:cs="仿宋"/>
                <w:color w:val="000000"/>
                <w:sz w:val="24"/>
              </w:rPr>
              <w:t>LED照明设置：有照明灯照明,以提高工作区域可见度。</w:t>
            </w:r>
          </w:p>
        </w:tc>
      </w:tr>
    </w:tbl>
    <w:p>
      <w:pPr>
        <w:spacing w:line="440" w:lineRule="exact"/>
        <w:rPr>
          <w:rFonts w:hint="eastAsia" w:ascii="仿宋" w:hAnsi="仿宋" w:eastAsia="仿宋" w:cs="仿宋"/>
          <w:color w:val="000000"/>
          <w:sz w:val="24"/>
        </w:rPr>
      </w:pP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每套设备配置要求：</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3438"/>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58" w:type="pct"/>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序号</w:t>
            </w:r>
          </w:p>
        </w:tc>
        <w:tc>
          <w:tcPr>
            <w:tcW w:w="2018" w:type="pct"/>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名称</w:t>
            </w:r>
          </w:p>
        </w:tc>
        <w:tc>
          <w:tcPr>
            <w:tcW w:w="1724" w:type="pct"/>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1</w:t>
            </w:r>
          </w:p>
        </w:tc>
        <w:tc>
          <w:tcPr>
            <w:tcW w:w="2018" w:type="pct"/>
            <w:noWrap w:val="0"/>
            <w:vAlign w:val="center"/>
          </w:tcPr>
          <w:p>
            <w:pPr>
              <w:spacing w:line="300" w:lineRule="exact"/>
              <w:jc w:val="center"/>
              <w:rPr>
                <w:rFonts w:ascii="仿宋" w:hAnsi="仿宋" w:eastAsia="仿宋" w:cs="仿宋"/>
                <w:color w:val="000000"/>
                <w:sz w:val="24"/>
              </w:rPr>
            </w:pPr>
            <w:r>
              <w:rPr>
                <w:rFonts w:ascii="仿宋" w:hAnsi="仿宋" w:eastAsia="仿宋" w:cs="仿宋"/>
                <w:color w:val="000000"/>
                <w:sz w:val="24"/>
              </w:rPr>
              <w:t>机身</w:t>
            </w:r>
          </w:p>
        </w:tc>
        <w:tc>
          <w:tcPr>
            <w:tcW w:w="1724" w:type="pct"/>
            <w:noWrap w:val="0"/>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2</w:t>
            </w:r>
          </w:p>
        </w:tc>
        <w:tc>
          <w:tcPr>
            <w:tcW w:w="2018" w:type="pct"/>
            <w:noWrap w:val="0"/>
            <w:vAlign w:val="center"/>
          </w:tcPr>
          <w:p>
            <w:pPr>
              <w:spacing w:line="300" w:lineRule="exact"/>
              <w:jc w:val="center"/>
              <w:rPr>
                <w:rFonts w:ascii="仿宋" w:hAnsi="仿宋" w:eastAsia="仿宋" w:cs="仿宋"/>
                <w:color w:val="000000"/>
                <w:sz w:val="24"/>
              </w:rPr>
            </w:pPr>
            <w:r>
              <w:rPr>
                <w:rFonts w:ascii="仿宋" w:hAnsi="仿宋" w:eastAsia="仿宋" w:cs="仿宋"/>
                <w:color w:val="000000"/>
                <w:sz w:val="24"/>
              </w:rPr>
              <w:t>电源系统</w:t>
            </w:r>
          </w:p>
        </w:tc>
        <w:tc>
          <w:tcPr>
            <w:tcW w:w="1724"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3</w:t>
            </w:r>
          </w:p>
        </w:tc>
        <w:tc>
          <w:tcPr>
            <w:tcW w:w="2018"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设置计时器</w:t>
            </w:r>
          </w:p>
        </w:tc>
        <w:tc>
          <w:tcPr>
            <w:tcW w:w="1724"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4</w:t>
            </w:r>
          </w:p>
        </w:tc>
        <w:tc>
          <w:tcPr>
            <w:tcW w:w="2018" w:type="pct"/>
            <w:noWrap w:val="0"/>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熔蜡缸</w:t>
            </w:r>
          </w:p>
        </w:tc>
        <w:tc>
          <w:tcPr>
            <w:tcW w:w="1724"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5</w:t>
            </w:r>
          </w:p>
        </w:tc>
        <w:tc>
          <w:tcPr>
            <w:tcW w:w="2018" w:type="pct"/>
            <w:noWrap w:val="0"/>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热台</w:t>
            </w:r>
          </w:p>
        </w:tc>
        <w:tc>
          <w:tcPr>
            <w:tcW w:w="1724"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6</w:t>
            </w:r>
          </w:p>
        </w:tc>
        <w:tc>
          <w:tcPr>
            <w:tcW w:w="2018" w:type="pct"/>
            <w:noWrap w:val="0"/>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组织槽</w:t>
            </w:r>
          </w:p>
        </w:tc>
        <w:tc>
          <w:tcPr>
            <w:tcW w:w="1724"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7</w:t>
            </w:r>
          </w:p>
        </w:tc>
        <w:tc>
          <w:tcPr>
            <w:tcW w:w="2018" w:type="pct"/>
            <w:noWrap w:val="0"/>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包埋模存储槽</w:t>
            </w:r>
          </w:p>
        </w:tc>
        <w:tc>
          <w:tcPr>
            <w:tcW w:w="1724"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8</w:t>
            </w:r>
          </w:p>
        </w:tc>
        <w:tc>
          <w:tcPr>
            <w:tcW w:w="2018"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LED照明设置</w:t>
            </w:r>
          </w:p>
        </w:tc>
        <w:tc>
          <w:tcPr>
            <w:tcW w:w="1724" w:type="pct"/>
            <w:noWrap w:val="0"/>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9</w:t>
            </w:r>
          </w:p>
        </w:tc>
        <w:tc>
          <w:tcPr>
            <w:tcW w:w="2018"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石蜡分配控制杆调节</w:t>
            </w:r>
          </w:p>
        </w:tc>
        <w:tc>
          <w:tcPr>
            <w:tcW w:w="1724"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10</w:t>
            </w:r>
          </w:p>
        </w:tc>
        <w:tc>
          <w:tcPr>
            <w:tcW w:w="2018"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控制面板</w:t>
            </w:r>
          </w:p>
        </w:tc>
        <w:tc>
          <w:tcPr>
            <w:tcW w:w="1724"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11</w:t>
            </w:r>
          </w:p>
        </w:tc>
        <w:tc>
          <w:tcPr>
            <w:tcW w:w="2018"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电磁阀</w:t>
            </w:r>
          </w:p>
        </w:tc>
        <w:tc>
          <w:tcPr>
            <w:tcW w:w="1724"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12</w:t>
            </w:r>
          </w:p>
        </w:tc>
        <w:tc>
          <w:tcPr>
            <w:tcW w:w="2018"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工具台</w:t>
            </w:r>
          </w:p>
        </w:tc>
        <w:tc>
          <w:tcPr>
            <w:tcW w:w="1724"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13</w:t>
            </w:r>
          </w:p>
        </w:tc>
        <w:tc>
          <w:tcPr>
            <w:tcW w:w="2018"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预热箱</w:t>
            </w:r>
          </w:p>
        </w:tc>
        <w:tc>
          <w:tcPr>
            <w:tcW w:w="1724"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14▲</w:t>
            </w:r>
          </w:p>
        </w:tc>
        <w:tc>
          <w:tcPr>
            <w:tcW w:w="2018"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包埋镊子</w:t>
            </w:r>
          </w:p>
        </w:tc>
        <w:tc>
          <w:tcPr>
            <w:tcW w:w="1724" w:type="pct"/>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r>
    </w:tbl>
    <w:p>
      <w:pPr>
        <w:pStyle w:val="12"/>
        <w:spacing w:line="440" w:lineRule="exact"/>
        <w:ind w:firstLine="0" w:firstLineChars="0"/>
        <w:rPr>
          <w:rFonts w:ascii="仿宋" w:hAnsi="仿宋" w:eastAsia="仿宋" w:cs="仿宋"/>
          <w:b/>
          <w:color w:val="000000"/>
          <w:sz w:val="24"/>
        </w:rPr>
      </w:pPr>
      <w:r>
        <w:rPr>
          <w:rFonts w:hint="eastAsia" w:ascii="仿宋" w:hAnsi="仿宋" w:eastAsia="仿宋" w:cs="仿宋"/>
          <w:b/>
          <w:color w:val="000000"/>
          <w:sz w:val="24"/>
        </w:rPr>
        <w:t>四、商务要求：</w:t>
      </w:r>
    </w:p>
    <w:p>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bookmarkStart w:id="0" w:name="_GoBack"/>
      <w:bookmarkEnd w:id="0"/>
    </w:p>
    <w:p>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u w:val="single"/>
        </w:rPr>
        <w:t xml:space="preserve">  30  </w:t>
      </w:r>
      <w:r>
        <w:rPr>
          <w:rFonts w:hint="eastAsia" w:ascii="仿宋" w:hAnsi="仿宋" w:eastAsia="仿宋" w:cs="仿宋"/>
          <w:color w:val="000000"/>
          <w:sz w:val="24"/>
        </w:rPr>
        <w:t>日内完成设备的安装调试。</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1.3合同设备交付时中标供应商应提供合同设备真实有效的生产日期，且保证合同设备的生产日期距交付时的时间差国产设备不超过</w:t>
      </w:r>
      <w:r>
        <w:rPr>
          <w:rFonts w:hint="eastAsia" w:ascii="仿宋" w:hAnsi="仿宋" w:eastAsia="仿宋" w:cs="仿宋"/>
          <w:color w:val="000000"/>
          <w:sz w:val="24"/>
          <w:u w:val="single"/>
        </w:rPr>
        <w:t>3</w:t>
      </w:r>
      <w:r>
        <w:rPr>
          <w:rFonts w:hint="eastAsia" w:ascii="仿宋" w:hAnsi="仿宋" w:eastAsia="仿宋" w:cs="仿宋"/>
          <w:color w:val="000000"/>
          <w:sz w:val="24"/>
        </w:rPr>
        <w:t>个月，进口设备不超过</w:t>
      </w:r>
      <w:r>
        <w:rPr>
          <w:rFonts w:hint="eastAsia" w:ascii="仿宋" w:hAnsi="仿宋" w:eastAsia="仿宋" w:cs="仿宋"/>
          <w:color w:val="000000"/>
          <w:sz w:val="24"/>
          <w:u w:val="single"/>
        </w:rPr>
        <w:t>12</w:t>
      </w:r>
      <w:r>
        <w:rPr>
          <w:rFonts w:hint="eastAsia" w:ascii="仿宋" w:hAnsi="仿宋" w:eastAsia="仿宋" w:cs="仿宋"/>
          <w:color w:val="000000"/>
          <w:sz w:val="24"/>
        </w:rPr>
        <w:t>个月。</w:t>
      </w:r>
    </w:p>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pPr>
        <w:spacing w:line="440" w:lineRule="exact"/>
        <w:rPr>
          <w:rFonts w:ascii="仿宋" w:hAnsi="仿宋" w:eastAsia="仿宋" w:cs="仿宋"/>
          <w:color w:val="000000"/>
          <w:sz w:val="24"/>
        </w:rPr>
      </w:pPr>
      <w:r>
        <w:rPr>
          <w:rFonts w:hint="eastAsia" w:ascii="仿宋" w:hAnsi="仿宋" w:eastAsia="仿宋" w:cs="仿宋"/>
          <w:color w:val="000000"/>
          <w:sz w:val="24"/>
        </w:rPr>
        <w:t>1.8乙方所投设备属于计量仪器的，需通过具有国家部门颁发专业检测资质证书的第三方计量检测单位检测并提供合格报告。</w:t>
      </w:r>
    </w:p>
    <w:p>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★2.2中标供应商须提供设备原厂质保（设备原厂质量保修范围和保修期）至少为  3  年。</w:t>
      </w:r>
    </w:p>
    <w:p>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ascii="仿宋" w:hAnsi="仿宋" w:eastAsia="仿宋" w:cs="仿宋"/>
          <w:color w:val="000000"/>
          <w:sz w:val="24"/>
        </w:rPr>
      </w:pPr>
      <w:r>
        <w:rPr>
          <w:rFonts w:hint="eastAsia" w:ascii="仿宋" w:hAnsi="仿宋" w:eastAsia="仿宋" w:cs="仿宋"/>
          <w:color w:val="000000"/>
          <w:sz w:val="24"/>
        </w:rPr>
        <w:t>★3.2</w:t>
      </w:r>
    </w:p>
    <w:p>
      <w:pPr>
        <w:spacing w:line="440" w:lineRule="exact"/>
        <w:rPr>
          <w:rFonts w:hint="eastAsia" w:ascii="仿宋" w:hAnsi="仿宋" w:eastAsia="仿宋" w:cs="仿宋"/>
          <w:sz w:val="24"/>
        </w:rPr>
      </w:pP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三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p>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2346</Words>
  <Characters>2504</Characters>
  <Lines>5</Lines>
  <Paragraphs>1</Paragraphs>
  <TotalTime>0</TotalTime>
  <ScaleCrop>false</ScaleCrop>
  <LinksUpToDate>false</LinksUpToDate>
  <CharactersWithSpaces>2596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2024-11-13T02:41:19Z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