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A2FC3">
      <w:pPr>
        <w:jc w:val="center"/>
        <w:rPr>
          <w:rFonts w:hint="eastAsia"/>
          <w:b/>
          <w:bCs/>
          <w:sz w:val="36"/>
          <w:szCs w:val="36"/>
          <w:lang w:val="en-US" w:eastAsia="zh-CN"/>
        </w:rPr>
      </w:pPr>
      <w:r>
        <w:rPr>
          <w:rFonts w:hint="eastAsia"/>
          <w:b/>
          <w:bCs/>
          <w:sz w:val="36"/>
          <w:szCs w:val="36"/>
          <w:lang w:val="en-US" w:eastAsia="zh-CN"/>
        </w:rPr>
        <w:t>调研报价表</w:t>
      </w:r>
    </w:p>
    <w:tbl>
      <w:tblPr>
        <w:tblStyle w:val="2"/>
        <w:tblW w:w="8814" w:type="dxa"/>
        <w:tblInd w:w="0" w:type="dxa"/>
        <w:tblLayout w:type="fixed"/>
        <w:tblCellMar>
          <w:top w:w="0" w:type="dxa"/>
          <w:left w:w="108" w:type="dxa"/>
          <w:bottom w:w="0" w:type="dxa"/>
          <w:right w:w="108" w:type="dxa"/>
        </w:tblCellMar>
      </w:tblPr>
      <w:tblGrid>
        <w:gridCol w:w="693"/>
        <w:gridCol w:w="2155"/>
        <w:gridCol w:w="2220"/>
        <w:gridCol w:w="720"/>
        <w:gridCol w:w="540"/>
        <w:gridCol w:w="1202"/>
        <w:gridCol w:w="1284"/>
      </w:tblGrid>
      <w:tr w14:paraId="5F6D9A6A">
        <w:tblPrEx>
          <w:tblCellMar>
            <w:top w:w="0" w:type="dxa"/>
            <w:left w:w="108" w:type="dxa"/>
            <w:bottom w:w="0" w:type="dxa"/>
            <w:right w:w="108" w:type="dxa"/>
          </w:tblCellMar>
        </w:tblPrEx>
        <w:trPr>
          <w:trHeight w:val="791"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87931">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序号</w:t>
            </w:r>
          </w:p>
        </w:tc>
        <w:tc>
          <w:tcPr>
            <w:tcW w:w="2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5F074">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项目名称</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8C4EA">
            <w:pPr>
              <w:widowControl/>
              <w:jc w:val="center"/>
              <w:rPr>
                <w:rFonts w:hint="eastAsia" w:ascii="宋体" w:hAnsi="宋体" w:eastAsia="宋体" w:cs="宋体"/>
                <w:b/>
                <w:bCs/>
                <w:kern w:val="0"/>
                <w:sz w:val="24"/>
                <w:szCs w:val="24"/>
              </w:rPr>
            </w:pPr>
            <w:r>
              <w:rPr>
                <w:rFonts w:hint="eastAsia" w:ascii="宋体" w:hAnsi="宋体" w:eastAsia="宋体" w:cs="宋体"/>
                <w:bCs/>
                <w:kern w:val="0"/>
                <w:sz w:val="24"/>
                <w:szCs w:val="24"/>
              </w:rPr>
              <w:t>型号</w:t>
            </w:r>
          </w:p>
          <w:p w14:paraId="108AAC83">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规格</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D495D">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数量</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6490B">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单位</w:t>
            </w:r>
          </w:p>
        </w:tc>
        <w:tc>
          <w:tcPr>
            <w:tcW w:w="1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31C51">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单价（元）</w:t>
            </w: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52B34">
            <w:pPr>
              <w:widowControl/>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小计（元）</w:t>
            </w:r>
          </w:p>
        </w:tc>
      </w:tr>
      <w:tr w14:paraId="2114613C">
        <w:tblPrEx>
          <w:tblCellMar>
            <w:top w:w="0" w:type="dxa"/>
            <w:left w:w="108" w:type="dxa"/>
            <w:bottom w:w="0" w:type="dxa"/>
            <w:right w:w="108" w:type="dxa"/>
          </w:tblCellMar>
        </w:tblPrEx>
        <w:trPr>
          <w:trHeight w:val="499"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150EA">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一</w:t>
            </w:r>
          </w:p>
        </w:tc>
        <w:tc>
          <w:tcPr>
            <w:tcW w:w="683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9E0E531">
            <w:pPr>
              <w:widowControl/>
              <w:jc w:val="left"/>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lang w:val="en-US" w:eastAsia="zh-CN"/>
              </w:rPr>
              <w:t>感染大楼</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2495A590">
            <w:pPr>
              <w:widowControl/>
              <w:jc w:val="left"/>
              <w:rPr>
                <w:rFonts w:hint="eastAsia" w:ascii="宋体" w:hAnsi="宋体" w:eastAsia="宋体" w:cs="宋体"/>
                <w:bCs/>
                <w:kern w:val="0"/>
                <w:sz w:val="24"/>
                <w:szCs w:val="24"/>
              </w:rPr>
            </w:pPr>
          </w:p>
        </w:tc>
      </w:tr>
      <w:tr w14:paraId="36F299FB">
        <w:tblPrEx>
          <w:tblCellMar>
            <w:top w:w="0" w:type="dxa"/>
            <w:left w:w="108" w:type="dxa"/>
            <w:bottom w:w="0" w:type="dxa"/>
            <w:right w:w="108" w:type="dxa"/>
          </w:tblCellMar>
        </w:tblPrEx>
        <w:trPr>
          <w:trHeight w:val="499"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6D2EA">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1</w:t>
            </w:r>
          </w:p>
        </w:tc>
        <w:tc>
          <w:tcPr>
            <w:tcW w:w="2155" w:type="dxa"/>
            <w:tcBorders>
              <w:top w:val="single" w:color="auto" w:sz="4" w:space="0"/>
              <w:left w:val="nil"/>
              <w:bottom w:val="single" w:color="auto" w:sz="4" w:space="0"/>
              <w:right w:val="single" w:color="auto" w:sz="4" w:space="0"/>
            </w:tcBorders>
            <w:shd w:val="clear" w:color="auto" w:fill="auto"/>
            <w:noWrap/>
            <w:vAlign w:val="center"/>
          </w:tcPr>
          <w:p w14:paraId="2767523F">
            <w:pPr>
              <w:widowControl/>
              <w:jc w:val="both"/>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天面接闪网修复</w:t>
            </w:r>
          </w:p>
        </w:tc>
        <w:tc>
          <w:tcPr>
            <w:tcW w:w="2220" w:type="dxa"/>
            <w:tcBorders>
              <w:top w:val="single" w:color="auto" w:sz="4" w:space="0"/>
              <w:left w:val="nil"/>
              <w:bottom w:val="single" w:color="auto" w:sz="4" w:space="0"/>
              <w:right w:val="single" w:color="auto" w:sz="4" w:space="0"/>
            </w:tcBorders>
            <w:shd w:val="clear" w:color="auto" w:fill="auto"/>
            <w:noWrap/>
            <w:vAlign w:val="center"/>
          </w:tcPr>
          <w:p w14:paraId="42CBDA15">
            <w:pPr>
              <w:widowControl/>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 xml:space="preserve">1、名称：接闪带 </w:t>
            </w:r>
          </w:p>
          <w:p w14:paraId="53EEEF17">
            <w:pPr>
              <w:widowControl/>
              <w:jc w:val="both"/>
              <w:rPr>
                <w:rFonts w:hint="eastAsia" w:ascii="宋体" w:hAnsi="宋体" w:eastAsia="宋体" w:cs="宋体"/>
                <w:bCs/>
                <w:kern w:val="0"/>
                <w:sz w:val="24"/>
                <w:szCs w:val="24"/>
                <w:lang w:val="en-US" w:eastAsia="zh-CN"/>
              </w:rPr>
            </w:pPr>
            <w:r>
              <w:rPr>
                <w:rFonts w:hint="default" w:ascii="宋体" w:hAnsi="宋体" w:eastAsia="宋体" w:cs="宋体"/>
                <w:bCs/>
                <w:kern w:val="0"/>
                <w:sz w:val="24"/>
                <w:szCs w:val="24"/>
                <w:lang w:val="en-US" w:eastAsia="zh-CN"/>
              </w:rPr>
              <w:t xml:space="preserve">2、材质：热镀锌圆钢 </w:t>
            </w:r>
          </w:p>
          <w:p w14:paraId="15D6891A">
            <w:pPr>
              <w:widowControl/>
              <w:jc w:val="both"/>
              <w:rPr>
                <w:rFonts w:hint="eastAsia" w:ascii="宋体" w:hAnsi="宋体" w:eastAsia="宋体" w:cs="宋体"/>
                <w:bCs/>
                <w:kern w:val="0"/>
                <w:sz w:val="24"/>
                <w:szCs w:val="24"/>
                <w:lang w:val="en-US" w:eastAsia="zh-CN"/>
              </w:rPr>
            </w:pPr>
            <w:r>
              <w:rPr>
                <w:rFonts w:hint="default" w:ascii="宋体" w:hAnsi="宋体" w:eastAsia="宋体" w:cs="宋体"/>
                <w:bCs/>
                <w:kern w:val="0"/>
                <w:sz w:val="24"/>
                <w:szCs w:val="24"/>
                <w:lang w:val="en-US" w:eastAsia="zh-CN"/>
              </w:rPr>
              <w:t xml:space="preserve">3、规格Φ10 </w:t>
            </w:r>
          </w:p>
          <w:p w14:paraId="5B2DA584">
            <w:pPr>
              <w:widowControl/>
              <w:jc w:val="both"/>
              <w:rPr>
                <w:rFonts w:hint="eastAsia" w:ascii="宋体" w:hAnsi="宋体" w:eastAsia="宋体" w:cs="宋体"/>
                <w:bCs/>
                <w:kern w:val="0"/>
                <w:sz w:val="24"/>
                <w:szCs w:val="24"/>
              </w:rPr>
            </w:pPr>
            <w:r>
              <w:rPr>
                <w:rFonts w:hint="default" w:ascii="宋体" w:hAnsi="宋体" w:eastAsia="宋体" w:cs="宋体"/>
                <w:bCs/>
                <w:kern w:val="0"/>
                <w:sz w:val="24"/>
                <w:szCs w:val="24"/>
                <w:lang w:val="en-US" w:eastAsia="zh-CN"/>
              </w:rPr>
              <w:t>4、用Φ10镀锌圆钢支柱固定</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4AA4014D">
            <w:pPr>
              <w:widowControl/>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20</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5CEF8FE7">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米</w:t>
            </w:r>
          </w:p>
        </w:tc>
        <w:tc>
          <w:tcPr>
            <w:tcW w:w="1202" w:type="dxa"/>
            <w:tcBorders>
              <w:top w:val="single" w:color="auto" w:sz="4" w:space="0"/>
              <w:left w:val="nil"/>
              <w:bottom w:val="single" w:color="auto" w:sz="4" w:space="0"/>
              <w:right w:val="single" w:color="auto" w:sz="4" w:space="0"/>
            </w:tcBorders>
            <w:shd w:val="clear" w:color="auto" w:fill="auto"/>
            <w:noWrap/>
            <w:vAlign w:val="center"/>
          </w:tcPr>
          <w:p w14:paraId="2393719E">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　</w:t>
            </w:r>
          </w:p>
        </w:tc>
        <w:tc>
          <w:tcPr>
            <w:tcW w:w="1284" w:type="dxa"/>
            <w:tcBorders>
              <w:top w:val="single" w:color="auto" w:sz="4" w:space="0"/>
              <w:left w:val="nil"/>
              <w:bottom w:val="single" w:color="auto" w:sz="4" w:space="0"/>
              <w:right w:val="single" w:color="auto" w:sz="4" w:space="0"/>
            </w:tcBorders>
            <w:shd w:val="clear" w:color="auto" w:fill="auto"/>
            <w:noWrap/>
            <w:vAlign w:val="center"/>
          </w:tcPr>
          <w:p w14:paraId="04305D25">
            <w:pPr>
              <w:widowControl/>
              <w:jc w:val="center"/>
              <w:rPr>
                <w:rFonts w:hint="eastAsia" w:ascii="宋体" w:hAnsi="宋体" w:eastAsia="宋体" w:cs="宋体"/>
                <w:bCs/>
                <w:kern w:val="0"/>
                <w:sz w:val="24"/>
                <w:szCs w:val="24"/>
              </w:rPr>
            </w:pPr>
          </w:p>
        </w:tc>
      </w:tr>
      <w:tr w14:paraId="01F49886">
        <w:tblPrEx>
          <w:tblCellMar>
            <w:top w:w="0" w:type="dxa"/>
            <w:left w:w="108" w:type="dxa"/>
            <w:bottom w:w="0" w:type="dxa"/>
            <w:right w:w="108" w:type="dxa"/>
          </w:tblCellMar>
        </w:tblPrEx>
        <w:trPr>
          <w:trHeight w:val="499"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AD588">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2</w:t>
            </w:r>
          </w:p>
        </w:tc>
        <w:tc>
          <w:tcPr>
            <w:tcW w:w="2155" w:type="dxa"/>
            <w:tcBorders>
              <w:top w:val="single" w:color="auto" w:sz="4" w:space="0"/>
              <w:left w:val="nil"/>
              <w:bottom w:val="single" w:color="auto" w:sz="4" w:space="0"/>
              <w:right w:val="single" w:color="auto" w:sz="4" w:space="0"/>
            </w:tcBorders>
            <w:shd w:val="clear" w:color="auto" w:fill="auto"/>
            <w:noWrap/>
            <w:vAlign w:val="center"/>
          </w:tcPr>
          <w:p w14:paraId="32D2575B">
            <w:pPr>
              <w:widowControl/>
              <w:jc w:val="both"/>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线路缠绕迁移整改</w:t>
            </w:r>
          </w:p>
        </w:tc>
        <w:tc>
          <w:tcPr>
            <w:tcW w:w="2220" w:type="dxa"/>
            <w:tcBorders>
              <w:top w:val="single" w:color="auto" w:sz="4" w:space="0"/>
              <w:left w:val="nil"/>
              <w:bottom w:val="single" w:color="auto" w:sz="4" w:space="0"/>
              <w:right w:val="single" w:color="auto" w:sz="4" w:space="0"/>
            </w:tcBorders>
            <w:shd w:val="clear" w:color="auto" w:fill="auto"/>
            <w:noWrap/>
            <w:vAlign w:val="center"/>
          </w:tcPr>
          <w:p w14:paraId="10EE05D1">
            <w:pPr>
              <w:widowControl/>
              <w:jc w:val="center"/>
              <w:rPr>
                <w:rFonts w:hint="eastAsia" w:ascii="宋体" w:hAnsi="宋体" w:eastAsia="宋体" w:cs="宋体"/>
                <w:bCs/>
                <w:kern w:val="0"/>
                <w:sz w:val="24"/>
                <w:szCs w:val="24"/>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73E65E68">
            <w:pPr>
              <w:widowControl/>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35</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24983DB6">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米</w:t>
            </w:r>
          </w:p>
        </w:tc>
        <w:tc>
          <w:tcPr>
            <w:tcW w:w="1202" w:type="dxa"/>
            <w:tcBorders>
              <w:top w:val="single" w:color="auto" w:sz="4" w:space="0"/>
              <w:left w:val="nil"/>
              <w:bottom w:val="single" w:color="auto" w:sz="4" w:space="0"/>
              <w:right w:val="single" w:color="auto" w:sz="4" w:space="0"/>
            </w:tcBorders>
            <w:shd w:val="clear" w:color="auto" w:fill="auto"/>
            <w:noWrap/>
            <w:vAlign w:val="center"/>
          </w:tcPr>
          <w:p w14:paraId="204B7331">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　</w:t>
            </w:r>
          </w:p>
        </w:tc>
        <w:tc>
          <w:tcPr>
            <w:tcW w:w="1284" w:type="dxa"/>
            <w:tcBorders>
              <w:top w:val="single" w:color="auto" w:sz="4" w:space="0"/>
              <w:left w:val="nil"/>
              <w:bottom w:val="single" w:color="auto" w:sz="4" w:space="0"/>
              <w:right w:val="single" w:color="auto" w:sz="4" w:space="0"/>
            </w:tcBorders>
            <w:shd w:val="clear" w:color="auto" w:fill="auto"/>
            <w:noWrap/>
            <w:vAlign w:val="center"/>
          </w:tcPr>
          <w:p w14:paraId="7158698A">
            <w:pPr>
              <w:widowControl/>
              <w:jc w:val="center"/>
              <w:rPr>
                <w:rFonts w:hint="eastAsia" w:ascii="宋体" w:hAnsi="宋体" w:eastAsia="宋体" w:cs="宋体"/>
                <w:bCs/>
                <w:kern w:val="0"/>
                <w:sz w:val="24"/>
                <w:szCs w:val="24"/>
              </w:rPr>
            </w:pPr>
          </w:p>
        </w:tc>
      </w:tr>
      <w:tr w14:paraId="62E1FB2C">
        <w:tblPrEx>
          <w:tblCellMar>
            <w:top w:w="0" w:type="dxa"/>
            <w:left w:w="108" w:type="dxa"/>
            <w:bottom w:w="0" w:type="dxa"/>
            <w:right w:w="108" w:type="dxa"/>
          </w:tblCellMar>
        </w:tblPrEx>
        <w:trPr>
          <w:trHeight w:val="499"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65361">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二</w:t>
            </w:r>
          </w:p>
        </w:tc>
        <w:tc>
          <w:tcPr>
            <w:tcW w:w="5635" w:type="dxa"/>
            <w:gridSpan w:val="4"/>
            <w:tcBorders>
              <w:top w:val="single" w:color="auto" w:sz="4" w:space="0"/>
              <w:left w:val="nil"/>
              <w:bottom w:val="single" w:color="auto" w:sz="4" w:space="0"/>
              <w:right w:val="single" w:color="auto" w:sz="4" w:space="0"/>
            </w:tcBorders>
            <w:shd w:val="clear" w:color="auto" w:fill="auto"/>
            <w:noWrap/>
            <w:vAlign w:val="center"/>
          </w:tcPr>
          <w:p w14:paraId="1F05516D">
            <w:pPr>
              <w:widowControl/>
              <w:jc w:val="left"/>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肿瘤中心</w:t>
            </w:r>
          </w:p>
        </w:tc>
        <w:tc>
          <w:tcPr>
            <w:tcW w:w="1202" w:type="dxa"/>
            <w:tcBorders>
              <w:top w:val="single" w:color="auto" w:sz="4" w:space="0"/>
              <w:left w:val="nil"/>
              <w:bottom w:val="single" w:color="auto" w:sz="4" w:space="0"/>
              <w:right w:val="single" w:color="auto" w:sz="4" w:space="0"/>
            </w:tcBorders>
            <w:shd w:val="clear" w:color="auto" w:fill="auto"/>
            <w:noWrap/>
            <w:vAlign w:val="center"/>
          </w:tcPr>
          <w:p w14:paraId="5688D165">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　</w:t>
            </w:r>
          </w:p>
        </w:tc>
        <w:tc>
          <w:tcPr>
            <w:tcW w:w="1284" w:type="dxa"/>
            <w:tcBorders>
              <w:top w:val="single" w:color="auto" w:sz="4" w:space="0"/>
              <w:left w:val="nil"/>
              <w:bottom w:val="single" w:color="auto" w:sz="4" w:space="0"/>
              <w:right w:val="single" w:color="auto" w:sz="4" w:space="0"/>
            </w:tcBorders>
            <w:shd w:val="clear" w:color="auto" w:fill="auto"/>
            <w:noWrap/>
            <w:vAlign w:val="center"/>
          </w:tcPr>
          <w:p w14:paraId="4D01F405">
            <w:pPr>
              <w:widowControl/>
              <w:jc w:val="center"/>
              <w:rPr>
                <w:rFonts w:hint="eastAsia" w:ascii="宋体" w:hAnsi="宋体" w:eastAsia="宋体" w:cs="宋体"/>
                <w:bCs/>
                <w:kern w:val="0"/>
                <w:sz w:val="24"/>
                <w:szCs w:val="24"/>
              </w:rPr>
            </w:pPr>
          </w:p>
        </w:tc>
      </w:tr>
      <w:tr w14:paraId="3A49EEF9">
        <w:tblPrEx>
          <w:tblCellMar>
            <w:top w:w="0" w:type="dxa"/>
            <w:left w:w="108" w:type="dxa"/>
            <w:bottom w:w="0" w:type="dxa"/>
            <w:right w:w="108" w:type="dxa"/>
          </w:tblCellMar>
        </w:tblPrEx>
        <w:trPr>
          <w:trHeight w:val="499"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6FB64">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1</w:t>
            </w:r>
          </w:p>
        </w:tc>
        <w:tc>
          <w:tcPr>
            <w:tcW w:w="2155" w:type="dxa"/>
            <w:tcBorders>
              <w:top w:val="single" w:color="auto" w:sz="4" w:space="0"/>
              <w:left w:val="nil"/>
              <w:bottom w:val="single" w:color="auto" w:sz="4" w:space="0"/>
              <w:right w:val="single" w:color="auto" w:sz="4" w:space="0"/>
            </w:tcBorders>
            <w:shd w:val="clear" w:color="auto" w:fill="auto"/>
            <w:noWrap/>
            <w:vAlign w:val="center"/>
          </w:tcPr>
          <w:p w14:paraId="0401D882">
            <w:pPr>
              <w:widowControl/>
              <w:jc w:val="both"/>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天面金属物等电位</w:t>
            </w:r>
            <w:r>
              <w:rPr>
                <w:rFonts w:hint="default" w:ascii="宋体" w:hAnsi="宋体" w:eastAsia="宋体" w:cs="宋体"/>
                <w:bCs/>
                <w:kern w:val="0"/>
                <w:sz w:val="24"/>
                <w:szCs w:val="24"/>
                <w:lang w:val="en-US" w:eastAsia="zh-CN"/>
              </w:rPr>
              <w:t>连接</w:t>
            </w:r>
          </w:p>
        </w:tc>
        <w:tc>
          <w:tcPr>
            <w:tcW w:w="2220" w:type="dxa"/>
            <w:tcBorders>
              <w:top w:val="single" w:color="auto" w:sz="4" w:space="0"/>
              <w:left w:val="nil"/>
              <w:bottom w:val="single" w:color="auto" w:sz="4" w:space="0"/>
              <w:right w:val="single" w:color="auto" w:sz="4" w:space="0"/>
            </w:tcBorders>
            <w:shd w:val="clear" w:color="auto" w:fill="auto"/>
            <w:noWrap/>
            <w:vAlign w:val="center"/>
          </w:tcPr>
          <w:p w14:paraId="39BFC296">
            <w:pPr>
              <w:widowControl/>
              <w:jc w:val="center"/>
              <w:rPr>
                <w:rFonts w:hint="eastAsia" w:ascii="宋体" w:hAnsi="宋体" w:eastAsia="宋体" w:cs="宋体"/>
                <w:bCs/>
                <w:kern w:val="0"/>
                <w:sz w:val="24"/>
                <w:szCs w:val="24"/>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40358CA3">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1</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2F9845AC">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处</w:t>
            </w:r>
          </w:p>
        </w:tc>
        <w:tc>
          <w:tcPr>
            <w:tcW w:w="1202" w:type="dxa"/>
            <w:tcBorders>
              <w:top w:val="single" w:color="auto" w:sz="4" w:space="0"/>
              <w:left w:val="nil"/>
              <w:bottom w:val="single" w:color="auto" w:sz="4" w:space="0"/>
              <w:right w:val="single" w:color="auto" w:sz="4" w:space="0"/>
            </w:tcBorders>
            <w:shd w:val="clear" w:color="auto" w:fill="auto"/>
            <w:noWrap/>
            <w:vAlign w:val="center"/>
          </w:tcPr>
          <w:p w14:paraId="262C4401">
            <w:pPr>
              <w:widowControl/>
              <w:jc w:val="center"/>
              <w:rPr>
                <w:rFonts w:hint="eastAsia" w:ascii="宋体" w:hAnsi="宋体" w:eastAsia="宋体" w:cs="宋体"/>
                <w:bCs/>
                <w:kern w:val="0"/>
                <w:sz w:val="24"/>
                <w:szCs w:val="24"/>
              </w:rPr>
            </w:pPr>
          </w:p>
        </w:tc>
        <w:tc>
          <w:tcPr>
            <w:tcW w:w="1284" w:type="dxa"/>
            <w:tcBorders>
              <w:top w:val="single" w:color="auto" w:sz="4" w:space="0"/>
              <w:left w:val="nil"/>
              <w:bottom w:val="single" w:color="auto" w:sz="4" w:space="0"/>
              <w:right w:val="single" w:color="auto" w:sz="4" w:space="0"/>
            </w:tcBorders>
            <w:shd w:val="clear" w:color="auto" w:fill="auto"/>
            <w:noWrap/>
            <w:vAlign w:val="center"/>
          </w:tcPr>
          <w:p w14:paraId="04ABC129">
            <w:pPr>
              <w:widowControl/>
              <w:jc w:val="center"/>
              <w:rPr>
                <w:rFonts w:hint="eastAsia" w:ascii="宋体" w:hAnsi="宋体" w:eastAsia="宋体" w:cs="宋体"/>
                <w:bCs/>
                <w:kern w:val="0"/>
                <w:sz w:val="24"/>
                <w:szCs w:val="24"/>
              </w:rPr>
            </w:pPr>
          </w:p>
        </w:tc>
      </w:tr>
      <w:tr w14:paraId="13FACADD">
        <w:tblPrEx>
          <w:tblCellMar>
            <w:top w:w="0" w:type="dxa"/>
            <w:left w:w="108" w:type="dxa"/>
            <w:bottom w:w="0" w:type="dxa"/>
            <w:right w:w="108" w:type="dxa"/>
          </w:tblCellMar>
        </w:tblPrEx>
        <w:trPr>
          <w:trHeight w:val="499"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BA233">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2</w:t>
            </w:r>
          </w:p>
        </w:tc>
        <w:tc>
          <w:tcPr>
            <w:tcW w:w="2155" w:type="dxa"/>
            <w:tcBorders>
              <w:top w:val="single" w:color="auto" w:sz="4" w:space="0"/>
              <w:left w:val="nil"/>
              <w:bottom w:val="single" w:color="auto" w:sz="4" w:space="0"/>
              <w:right w:val="single" w:color="auto" w:sz="4" w:space="0"/>
            </w:tcBorders>
            <w:shd w:val="clear" w:color="auto" w:fill="auto"/>
            <w:noWrap/>
            <w:vAlign w:val="center"/>
          </w:tcPr>
          <w:p w14:paraId="455E2FB7">
            <w:pPr>
              <w:widowControl/>
              <w:jc w:val="both"/>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线路缠绕迁移整改</w:t>
            </w:r>
          </w:p>
        </w:tc>
        <w:tc>
          <w:tcPr>
            <w:tcW w:w="2220" w:type="dxa"/>
            <w:tcBorders>
              <w:top w:val="single" w:color="auto" w:sz="4" w:space="0"/>
              <w:left w:val="nil"/>
              <w:bottom w:val="single" w:color="auto" w:sz="4" w:space="0"/>
              <w:right w:val="single" w:color="auto" w:sz="4" w:space="0"/>
            </w:tcBorders>
            <w:shd w:val="clear" w:color="auto" w:fill="auto"/>
            <w:noWrap/>
            <w:vAlign w:val="center"/>
          </w:tcPr>
          <w:p w14:paraId="3B0AC0CF">
            <w:pPr>
              <w:widowControl/>
              <w:jc w:val="center"/>
              <w:rPr>
                <w:rFonts w:hint="eastAsia" w:ascii="宋体" w:hAnsi="宋体" w:eastAsia="宋体" w:cs="宋体"/>
                <w:bCs/>
                <w:kern w:val="0"/>
                <w:sz w:val="24"/>
                <w:szCs w:val="24"/>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673068B0">
            <w:pPr>
              <w:widowControl/>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30</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476F7265">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米</w:t>
            </w:r>
          </w:p>
        </w:tc>
        <w:tc>
          <w:tcPr>
            <w:tcW w:w="1202" w:type="dxa"/>
            <w:tcBorders>
              <w:top w:val="single" w:color="auto" w:sz="4" w:space="0"/>
              <w:left w:val="nil"/>
              <w:bottom w:val="single" w:color="auto" w:sz="4" w:space="0"/>
              <w:right w:val="single" w:color="auto" w:sz="4" w:space="0"/>
            </w:tcBorders>
            <w:shd w:val="clear" w:color="auto" w:fill="auto"/>
            <w:noWrap/>
            <w:vAlign w:val="center"/>
          </w:tcPr>
          <w:p w14:paraId="2DFA6423">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　</w:t>
            </w:r>
          </w:p>
        </w:tc>
        <w:tc>
          <w:tcPr>
            <w:tcW w:w="1284" w:type="dxa"/>
            <w:tcBorders>
              <w:top w:val="single" w:color="auto" w:sz="4" w:space="0"/>
              <w:left w:val="nil"/>
              <w:bottom w:val="single" w:color="auto" w:sz="4" w:space="0"/>
              <w:right w:val="single" w:color="auto" w:sz="4" w:space="0"/>
            </w:tcBorders>
            <w:shd w:val="clear" w:color="auto" w:fill="auto"/>
            <w:noWrap/>
            <w:vAlign w:val="center"/>
          </w:tcPr>
          <w:p w14:paraId="1F0AC081">
            <w:pPr>
              <w:widowControl/>
              <w:jc w:val="center"/>
              <w:rPr>
                <w:rFonts w:hint="eastAsia" w:ascii="宋体" w:hAnsi="宋体" w:eastAsia="宋体" w:cs="宋体"/>
                <w:bCs/>
                <w:kern w:val="0"/>
                <w:sz w:val="24"/>
                <w:szCs w:val="24"/>
              </w:rPr>
            </w:pPr>
          </w:p>
        </w:tc>
      </w:tr>
      <w:tr w14:paraId="0D6F8438">
        <w:tblPrEx>
          <w:tblCellMar>
            <w:top w:w="0" w:type="dxa"/>
            <w:left w:w="108" w:type="dxa"/>
            <w:bottom w:w="0" w:type="dxa"/>
            <w:right w:w="108" w:type="dxa"/>
          </w:tblCellMar>
        </w:tblPrEx>
        <w:trPr>
          <w:trHeight w:val="499" w:hRule="atLeast"/>
        </w:trPr>
        <w:tc>
          <w:tcPr>
            <w:tcW w:w="693" w:type="dxa"/>
            <w:tcBorders>
              <w:top w:val="nil"/>
              <w:left w:val="double" w:color="auto" w:sz="6" w:space="0"/>
              <w:bottom w:val="single" w:color="auto" w:sz="4" w:space="0"/>
              <w:right w:val="single" w:color="auto" w:sz="4" w:space="0"/>
            </w:tcBorders>
            <w:shd w:val="clear" w:color="auto" w:fill="auto"/>
            <w:noWrap/>
            <w:vAlign w:val="center"/>
          </w:tcPr>
          <w:p w14:paraId="5A6CB05F">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三</w:t>
            </w:r>
          </w:p>
        </w:tc>
        <w:tc>
          <w:tcPr>
            <w:tcW w:w="6837" w:type="dxa"/>
            <w:gridSpan w:val="5"/>
            <w:tcBorders>
              <w:top w:val="nil"/>
              <w:left w:val="nil"/>
              <w:bottom w:val="single" w:color="auto" w:sz="4" w:space="0"/>
              <w:right w:val="double" w:color="auto" w:sz="6" w:space="0"/>
            </w:tcBorders>
            <w:shd w:val="clear" w:color="auto" w:fill="auto"/>
            <w:noWrap/>
            <w:vAlign w:val="center"/>
          </w:tcPr>
          <w:p w14:paraId="4423D7D6">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 xml:space="preserve">供应楼 </w:t>
            </w:r>
          </w:p>
        </w:tc>
        <w:tc>
          <w:tcPr>
            <w:tcW w:w="1284" w:type="dxa"/>
            <w:tcBorders>
              <w:top w:val="nil"/>
              <w:left w:val="nil"/>
              <w:bottom w:val="single" w:color="auto" w:sz="4" w:space="0"/>
              <w:right w:val="double" w:color="auto" w:sz="6" w:space="0"/>
            </w:tcBorders>
            <w:shd w:val="clear" w:color="auto" w:fill="auto"/>
            <w:noWrap/>
            <w:vAlign w:val="center"/>
          </w:tcPr>
          <w:p w14:paraId="25CA6C50">
            <w:pPr>
              <w:widowControl/>
              <w:jc w:val="left"/>
              <w:rPr>
                <w:rFonts w:hint="eastAsia" w:ascii="宋体" w:hAnsi="宋体" w:eastAsia="宋体" w:cs="宋体"/>
                <w:bCs/>
                <w:kern w:val="0"/>
                <w:sz w:val="24"/>
                <w:szCs w:val="24"/>
                <w:lang w:val="en-US" w:eastAsia="zh-CN"/>
              </w:rPr>
            </w:pPr>
          </w:p>
        </w:tc>
      </w:tr>
      <w:tr w14:paraId="28BBE819">
        <w:tblPrEx>
          <w:tblCellMar>
            <w:top w:w="0" w:type="dxa"/>
            <w:left w:w="108" w:type="dxa"/>
            <w:bottom w:w="0" w:type="dxa"/>
            <w:right w:w="108" w:type="dxa"/>
          </w:tblCellMar>
        </w:tblPrEx>
        <w:trPr>
          <w:trHeight w:val="499" w:hRule="atLeast"/>
        </w:trPr>
        <w:tc>
          <w:tcPr>
            <w:tcW w:w="693" w:type="dxa"/>
            <w:tcBorders>
              <w:top w:val="nil"/>
              <w:left w:val="double" w:color="auto" w:sz="6" w:space="0"/>
              <w:bottom w:val="single" w:color="auto" w:sz="4" w:space="0"/>
              <w:right w:val="single" w:color="auto" w:sz="4" w:space="0"/>
            </w:tcBorders>
            <w:shd w:val="clear" w:color="auto" w:fill="auto"/>
            <w:noWrap/>
            <w:vAlign w:val="center"/>
          </w:tcPr>
          <w:p w14:paraId="34014658">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1</w:t>
            </w:r>
          </w:p>
        </w:tc>
        <w:tc>
          <w:tcPr>
            <w:tcW w:w="2155" w:type="dxa"/>
            <w:tcBorders>
              <w:top w:val="nil"/>
              <w:left w:val="nil"/>
              <w:bottom w:val="single" w:color="auto" w:sz="4" w:space="0"/>
              <w:right w:val="single" w:color="auto" w:sz="4" w:space="0"/>
            </w:tcBorders>
            <w:shd w:val="clear" w:color="auto" w:fill="auto"/>
            <w:noWrap/>
            <w:vAlign w:val="center"/>
          </w:tcPr>
          <w:p w14:paraId="10FCCFC7">
            <w:pPr>
              <w:widowControl/>
              <w:jc w:val="both"/>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天面金属物等电位</w:t>
            </w:r>
            <w:r>
              <w:rPr>
                <w:rFonts w:hint="default" w:ascii="宋体" w:hAnsi="宋体" w:eastAsia="宋体" w:cs="宋体"/>
                <w:bCs/>
                <w:kern w:val="0"/>
                <w:sz w:val="24"/>
                <w:szCs w:val="24"/>
                <w:lang w:val="en-US" w:eastAsia="zh-CN"/>
              </w:rPr>
              <w:t xml:space="preserve">连接 </w:t>
            </w:r>
          </w:p>
        </w:tc>
        <w:tc>
          <w:tcPr>
            <w:tcW w:w="2220" w:type="dxa"/>
            <w:tcBorders>
              <w:top w:val="nil"/>
              <w:left w:val="nil"/>
              <w:bottom w:val="single" w:color="auto" w:sz="4" w:space="0"/>
              <w:right w:val="single" w:color="auto" w:sz="4" w:space="0"/>
            </w:tcBorders>
            <w:shd w:val="clear" w:color="auto" w:fill="auto"/>
            <w:noWrap/>
            <w:vAlign w:val="center"/>
          </w:tcPr>
          <w:p w14:paraId="5E579AE5">
            <w:pPr>
              <w:widowControl/>
              <w:jc w:val="center"/>
              <w:rPr>
                <w:rFonts w:hint="eastAsia" w:ascii="宋体" w:hAnsi="宋体" w:eastAsia="宋体" w:cs="宋体"/>
                <w:bCs/>
                <w:kern w:val="0"/>
                <w:sz w:val="24"/>
                <w:szCs w:val="24"/>
              </w:rPr>
            </w:pPr>
          </w:p>
        </w:tc>
        <w:tc>
          <w:tcPr>
            <w:tcW w:w="720" w:type="dxa"/>
            <w:tcBorders>
              <w:top w:val="nil"/>
              <w:left w:val="nil"/>
              <w:bottom w:val="single" w:color="auto" w:sz="4" w:space="0"/>
              <w:right w:val="single" w:color="auto" w:sz="4" w:space="0"/>
            </w:tcBorders>
            <w:shd w:val="clear" w:color="auto" w:fill="auto"/>
            <w:noWrap/>
            <w:vAlign w:val="center"/>
          </w:tcPr>
          <w:p w14:paraId="0CBD8097">
            <w:pPr>
              <w:widowControl/>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28</w:t>
            </w:r>
          </w:p>
        </w:tc>
        <w:tc>
          <w:tcPr>
            <w:tcW w:w="540" w:type="dxa"/>
            <w:tcBorders>
              <w:top w:val="nil"/>
              <w:left w:val="nil"/>
              <w:bottom w:val="single" w:color="auto" w:sz="4" w:space="0"/>
              <w:right w:val="single" w:color="auto" w:sz="4" w:space="0"/>
            </w:tcBorders>
            <w:shd w:val="clear" w:color="auto" w:fill="auto"/>
            <w:noWrap/>
            <w:vAlign w:val="center"/>
          </w:tcPr>
          <w:p w14:paraId="1EF8FE0F">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处</w:t>
            </w:r>
          </w:p>
        </w:tc>
        <w:tc>
          <w:tcPr>
            <w:tcW w:w="1202" w:type="dxa"/>
            <w:tcBorders>
              <w:top w:val="single" w:color="auto" w:sz="4" w:space="0"/>
              <w:left w:val="nil"/>
              <w:bottom w:val="single" w:color="auto" w:sz="4" w:space="0"/>
              <w:right w:val="double" w:color="auto" w:sz="6" w:space="0"/>
            </w:tcBorders>
            <w:shd w:val="clear" w:color="auto" w:fill="auto"/>
            <w:noWrap/>
            <w:vAlign w:val="center"/>
          </w:tcPr>
          <w:p w14:paraId="0C1DCBB7">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　</w:t>
            </w:r>
          </w:p>
        </w:tc>
        <w:tc>
          <w:tcPr>
            <w:tcW w:w="1284" w:type="dxa"/>
            <w:tcBorders>
              <w:top w:val="single" w:color="auto" w:sz="4" w:space="0"/>
              <w:left w:val="nil"/>
              <w:bottom w:val="single" w:color="auto" w:sz="4" w:space="0"/>
              <w:right w:val="double" w:color="auto" w:sz="6" w:space="0"/>
            </w:tcBorders>
            <w:shd w:val="clear" w:color="auto" w:fill="auto"/>
            <w:noWrap/>
            <w:vAlign w:val="center"/>
          </w:tcPr>
          <w:p w14:paraId="2A69C30F">
            <w:pPr>
              <w:widowControl/>
              <w:jc w:val="center"/>
              <w:rPr>
                <w:rFonts w:hint="eastAsia" w:ascii="宋体" w:hAnsi="宋体" w:eastAsia="宋体" w:cs="宋体"/>
                <w:bCs/>
                <w:kern w:val="0"/>
                <w:sz w:val="24"/>
                <w:szCs w:val="24"/>
              </w:rPr>
            </w:pPr>
          </w:p>
        </w:tc>
      </w:tr>
      <w:tr w14:paraId="6EA27F05">
        <w:tblPrEx>
          <w:tblCellMar>
            <w:top w:w="0" w:type="dxa"/>
            <w:left w:w="108" w:type="dxa"/>
            <w:bottom w:w="0" w:type="dxa"/>
            <w:right w:w="108" w:type="dxa"/>
          </w:tblCellMar>
        </w:tblPrEx>
        <w:trPr>
          <w:trHeight w:val="499" w:hRule="atLeast"/>
        </w:trPr>
        <w:tc>
          <w:tcPr>
            <w:tcW w:w="693" w:type="dxa"/>
            <w:tcBorders>
              <w:top w:val="nil"/>
              <w:left w:val="double" w:color="auto" w:sz="6" w:space="0"/>
              <w:bottom w:val="single" w:color="auto" w:sz="4" w:space="0"/>
              <w:right w:val="single" w:color="auto" w:sz="4" w:space="0"/>
            </w:tcBorders>
            <w:shd w:val="clear" w:color="auto" w:fill="auto"/>
            <w:noWrap/>
            <w:vAlign w:val="center"/>
          </w:tcPr>
          <w:p w14:paraId="3376784C">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2</w:t>
            </w:r>
          </w:p>
        </w:tc>
        <w:tc>
          <w:tcPr>
            <w:tcW w:w="2155" w:type="dxa"/>
            <w:tcBorders>
              <w:top w:val="nil"/>
              <w:left w:val="nil"/>
              <w:bottom w:val="single" w:color="auto" w:sz="4" w:space="0"/>
              <w:right w:val="single" w:color="auto" w:sz="4" w:space="0"/>
            </w:tcBorders>
            <w:shd w:val="clear" w:color="auto" w:fill="auto"/>
            <w:noWrap/>
            <w:vAlign w:val="center"/>
          </w:tcPr>
          <w:p w14:paraId="279AB61A">
            <w:pPr>
              <w:widowControl/>
              <w:jc w:val="both"/>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线路缠绕迁移整改</w:t>
            </w:r>
          </w:p>
        </w:tc>
        <w:tc>
          <w:tcPr>
            <w:tcW w:w="2220" w:type="dxa"/>
            <w:tcBorders>
              <w:top w:val="nil"/>
              <w:left w:val="nil"/>
              <w:bottom w:val="single" w:color="auto" w:sz="4" w:space="0"/>
              <w:right w:val="single" w:color="auto" w:sz="4" w:space="0"/>
            </w:tcBorders>
            <w:shd w:val="clear" w:color="auto" w:fill="auto"/>
            <w:noWrap/>
            <w:vAlign w:val="center"/>
          </w:tcPr>
          <w:p w14:paraId="526BB32E">
            <w:pPr>
              <w:widowControl/>
              <w:jc w:val="center"/>
              <w:rPr>
                <w:rFonts w:hint="eastAsia" w:ascii="宋体" w:hAnsi="宋体" w:eastAsia="宋体" w:cs="宋体"/>
                <w:bCs/>
                <w:kern w:val="0"/>
                <w:sz w:val="24"/>
                <w:szCs w:val="24"/>
              </w:rPr>
            </w:pPr>
          </w:p>
        </w:tc>
        <w:tc>
          <w:tcPr>
            <w:tcW w:w="720" w:type="dxa"/>
            <w:tcBorders>
              <w:top w:val="nil"/>
              <w:left w:val="nil"/>
              <w:bottom w:val="single" w:color="auto" w:sz="4" w:space="0"/>
              <w:right w:val="single" w:color="auto" w:sz="4" w:space="0"/>
            </w:tcBorders>
            <w:shd w:val="clear" w:color="auto" w:fill="auto"/>
            <w:noWrap/>
            <w:vAlign w:val="center"/>
          </w:tcPr>
          <w:p w14:paraId="7C0FB26B">
            <w:pPr>
              <w:widowControl/>
              <w:jc w:val="center"/>
              <w:rPr>
                <w:rFonts w:hint="default" w:ascii="宋体" w:hAnsi="宋体" w:eastAsia="宋体" w:cs="宋体"/>
                <w:bCs/>
                <w:kern w:val="0"/>
                <w:sz w:val="24"/>
                <w:szCs w:val="24"/>
                <w:lang w:val="en-US"/>
              </w:rPr>
            </w:pPr>
            <w:r>
              <w:rPr>
                <w:rFonts w:hint="eastAsia" w:ascii="宋体" w:hAnsi="宋体" w:eastAsia="宋体" w:cs="宋体"/>
                <w:bCs/>
                <w:kern w:val="0"/>
                <w:sz w:val="24"/>
                <w:szCs w:val="24"/>
                <w:lang w:val="en-US" w:eastAsia="zh-CN"/>
              </w:rPr>
              <w:t>55</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BFF3A">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米</w:t>
            </w:r>
          </w:p>
        </w:tc>
        <w:tc>
          <w:tcPr>
            <w:tcW w:w="1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D4B29">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　</w:t>
            </w: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8954A">
            <w:pPr>
              <w:widowControl/>
              <w:jc w:val="center"/>
              <w:rPr>
                <w:rFonts w:hint="eastAsia" w:ascii="宋体" w:hAnsi="宋体" w:eastAsia="宋体" w:cs="宋体"/>
                <w:bCs/>
                <w:kern w:val="0"/>
                <w:sz w:val="24"/>
                <w:szCs w:val="24"/>
              </w:rPr>
            </w:pPr>
          </w:p>
        </w:tc>
      </w:tr>
      <w:tr w14:paraId="5D35BF00">
        <w:tblPrEx>
          <w:tblCellMar>
            <w:top w:w="0" w:type="dxa"/>
            <w:left w:w="108" w:type="dxa"/>
            <w:bottom w:w="0" w:type="dxa"/>
            <w:right w:w="108" w:type="dxa"/>
          </w:tblCellMar>
        </w:tblPrEx>
        <w:trPr>
          <w:trHeight w:val="499" w:hRule="atLeast"/>
        </w:trPr>
        <w:tc>
          <w:tcPr>
            <w:tcW w:w="693" w:type="dxa"/>
            <w:tcBorders>
              <w:top w:val="nil"/>
              <w:left w:val="double" w:color="auto" w:sz="6" w:space="0"/>
              <w:bottom w:val="single" w:color="auto" w:sz="4" w:space="0"/>
              <w:right w:val="single" w:color="auto" w:sz="4" w:space="0"/>
            </w:tcBorders>
            <w:shd w:val="clear" w:color="auto" w:fill="auto"/>
            <w:noWrap/>
            <w:vAlign w:val="center"/>
          </w:tcPr>
          <w:p w14:paraId="2DF017C2">
            <w:pPr>
              <w:widowControl/>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四</w:t>
            </w:r>
          </w:p>
        </w:tc>
        <w:tc>
          <w:tcPr>
            <w:tcW w:w="6837" w:type="dxa"/>
            <w:gridSpan w:val="5"/>
            <w:tcBorders>
              <w:top w:val="nil"/>
              <w:left w:val="nil"/>
              <w:bottom w:val="single" w:color="auto" w:sz="4" w:space="0"/>
              <w:right w:val="double" w:color="auto" w:sz="6" w:space="0"/>
            </w:tcBorders>
            <w:shd w:val="clear" w:color="auto" w:fill="auto"/>
            <w:noWrap/>
            <w:vAlign w:val="center"/>
          </w:tcPr>
          <w:p w14:paraId="2FB6CFAF">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 xml:space="preserve">综合楼 </w:t>
            </w:r>
            <w:r>
              <w:rPr>
                <w:rFonts w:hint="eastAsia" w:ascii="宋体" w:hAnsi="宋体" w:eastAsia="宋体" w:cs="宋体"/>
                <w:bCs/>
                <w:kern w:val="0"/>
                <w:sz w:val="24"/>
                <w:szCs w:val="24"/>
              </w:rPr>
              <w:t>　</w:t>
            </w:r>
          </w:p>
        </w:tc>
        <w:tc>
          <w:tcPr>
            <w:tcW w:w="1284" w:type="dxa"/>
            <w:tcBorders>
              <w:top w:val="nil"/>
              <w:left w:val="nil"/>
              <w:bottom w:val="single" w:color="auto" w:sz="4" w:space="0"/>
              <w:right w:val="double" w:color="auto" w:sz="6" w:space="0"/>
            </w:tcBorders>
            <w:shd w:val="clear" w:color="auto" w:fill="auto"/>
            <w:noWrap/>
            <w:vAlign w:val="center"/>
          </w:tcPr>
          <w:p w14:paraId="3EB88125">
            <w:pPr>
              <w:widowControl/>
              <w:jc w:val="left"/>
              <w:rPr>
                <w:rFonts w:hint="eastAsia" w:ascii="宋体" w:hAnsi="宋体" w:eastAsia="宋体" w:cs="宋体"/>
                <w:bCs/>
                <w:kern w:val="0"/>
                <w:sz w:val="24"/>
                <w:szCs w:val="24"/>
                <w:lang w:val="en-US" w:eastAsia="zh-CN"/>
              </w:rPr>
            </w:pPr>
          </w:p>
        </w:tc>
      </w:tr>
      <w:tr w14:paraId="01E290B3">
        <w:tblPrEx>
          <w:tblCellMar>
            <w:top w:w="0" w:type="dxa"/>
            <w:left w:w="108" w:type="dxa"/>
            <w:bottom w:w="0" w:type="dxa"/>
            <w:right w:w="108" w:type="dxa"/>
          </w:tblCellMar>
        </w:tblPrEx>
        <w:trPr>
          <w:trHeight w:val="499" w:hRule="atLeast"/>
        </w:trPr>
        <w:tc>
          <w:tcPr>
            <w:tcW w:w="693" w:type="dxa"/>
            <w:tcBorders>
              <w:top w:val="nil"/>
              <w:left w:val="double" w:color="auto" w:sz="6" w:space="0"/>
              <w:bottom w:val="single" w:color="auto" w:sz="4" w:space="0"/>
              <w:right w:val="single" w:color="auto" w:sz="4" w:space="0"/>
            </w:tcBorders>
            <w:shd w:val="clear" w:color="auto" w:fill="auto"/>
            <w:noWrap/>
            <w:vAlign w:val="center"/>
          </w:tcPr>
          <w:p w14:paraId="3F37BBCE">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1</w:t>
            </w:r>
          </w:p>
        </w:tc>
        <w:tc>
          <w:tcPr>
            <w:tcW w:w="2155" w:type="dxa"/>
            <w:tcBorders>
              <w:top w:val="nil"/>
              <w:left w:val="nil"/>
              <w:bottom w:val="single" w:color="auto" w:sz="4" w:space="0"/>
              <w:right w:val="single" w:color="auto" w:sz="4" w:space="0"/>
            </w:tcBorders>
            <w:shd w:val="clear" w:color="auto" w:fill="auto"/>
            <w:noWrap/>
            <w:vAlign w:val="center"/>
          </w:tcPr>
          <w:p w14:paraId="77DE8010">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天面金属物等电位</w:t>
            </w:r>
            <w:r>
              <w:rPr>
                <w:rFonts w:hint="default" w:ascii="宋体" w:hAnsi="宋体" w:eastAsia="宋体" w:cs="宋体"/>
                <w:bCs/>
                <w:kern w:val="0"/>
                <w:sz w:val="24"/>
                <w:szCs w:val="24"/>
                <w:lang w:val="en-US" w:eastAsia="zh-CN"/>
              </w:rPr>
              <w:t xml:space="preserve">连接 </w:t>
            </w:r>
          </w:p>
        </w:tc>
        <w:tc>
          <w:tcPr>
            <w:tcW w:w="2220" w:type="dxa"/>
            <w:tcBorders>
              <w:top w:val="nil"/>
              <w:left w:val="nil"/>
              <w:bottom w:val="single" w:color="auto" w:sz="4" w:space="0"/>
              <w:right w:val="single" w:color="auto" w:sz="4" w:space="0"/>
            </w:tcBorders>
            <w:shd w:val="clear" w:color="auto" w:fill="auto"/>
            <w:noWrap/>
            <w:vAlign w:val="center"/>
          </w:tcPr>
          <w:p w14:paraId="5D0445E7">
            <w:pPr>
              <w:widowControl/>
              <w:jc w:val="center"/>
              <w:rPr>
                <w:rFonts w:hint="eastAsia" w:ascii="宋体" w:hAnsi="宋体" w:eastAsia="宋体" w:cs="宋体"/>
                <w:bCs/>
                <w:kern w:val="0"/>
                <w:sz w:val="24"/>
                <w:szCs w:val="24"/>
              </w:rPr>
            </w:pPr>
          </w:p>
        </w:tc>
        <w:tc>
          <w:tcPr>
            <w:tcW w:w="720" w:type="dxa"/>
            <w:tcBorders>
              <w:top w:val="nil"/>
              <w:left w:val="nil"/>
              <w:bottom w:val="single" w:color="auto" w:sz="4" w:space="0"/>
              <w:right w:val="single" w:color="auto" w:sz="4" w:space="0"/>
            </w:tcBorders>
            <w:shd w:val="clear" w:color="auto" w:fill="auto"/>
            <w:noWrap/>
            <w:vAlign w:val="center"/>
          </w:tcPr>
          <w:p w14:paraId="10086126">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20</w:t>
            </w:r>
          </w:p>
        </w:tc>
        <w:tc>
          <w:tcPr>
            <w:tcW w:w="540" w:type="dxa"/>
            <w:tcBorders>
              <w:top w:val="nil"/>
              <w:left w:val="nil"/>
              <w:bottom w:val="single" w:color="auto" w:sz="4" w:space="0"/>
              <w:right w:val="single" w:color="auto" w:sz="4" w:space="0"/>
            </w:tcBorders>
            <w:shd w:val="clear" w:color="auto" w:fill="auto"/>
            <w:noWrap/>
            <w:vAlign w:val="center"/>
          </w:tcPr>
          <w:p w14:paraId="223309B2">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处</w:t>
            </w:r>
          </w:p>
        </w:tc>
        <w:tc>
          <w:tcPr>
            <w:tcW w:w="1202" w:type="dxa"/>
            <w:tcBorders>
              <w:top w:val="single" w:color="auto" w:sz="4" w:space="0"/>
              <w:left w:val="nil"/>
              <w:bottom w:val="nil"/>
              <w:right w:val="double" w:color="auto" w:sz="6" w:space="0"/>
            </w:tcBorders>
            <w:shd w:val="clear" w:color="auto" w:fill="auto"/>
            <w:noWrap/>
            <w:vAlign w:val="center"/>
          </w:tcPr>
          <w:p w14:paraId="027D939B">
            <w:pPr>
              <w:widowControl/>
              <w:jc w:val="center"/>
              <w:rPr>
                <w:rFonts w:hint="eastAsia" w:ascii="宋体" w:hAnsi="宋体" w:eastAsia="宋体" w:cs="宋体"/>
                <w:bCs/>
                <w:kern w:val="0"/>
                <w:sz w:val="24"/>
                <w:szCs w:val="24"/>
              </w:rPr>
            </w:pPr>
          </w:p>
        </w:tc>
        <w:tc>
          <w:tcPr>
            <w:tcW w:w="1284" w:type="dxa"/>
            <w:tcBorders>
              <w:top w:val="single" w:color="auto" w:sz="4" w:space="0"/>
              <w:left w:val="nil"/>
              <w:bottom w:val="nil"/>
              <w:right w:val="double" w:color="auto" w:sz="6" w:space="0"/>
            </w:tcBorders>
            <w:shd w:val="clear" w:color="auto" w:fill="auto"/>
            <w:noWrap/>
            <w:vAlign w:val="center"/>
          </w:tcPr>
          <w:p w14:paraId="7EAF2EE0">
            <w:pPr>
              <w:widowControl/>
              <w:jc w:val="center"/>
              <w:rPr>
                <w:rFonts w:hint="eastAsia" w:ascii="宋体" w:hAnsi="宋体" w:eastAsia="宋体" w:cs="宋体"/>
                <w:bCs/>
                <w:kern w:val="0"/>
                <w:sz w:val="24"/>
                <w:szCs w:val="24"/>
              </w:rPr>
            </w:pPr>
          </w:p>
        </w:tc>
      </w:tr>
      <w:tr w14:paraId="477B1E4E">
        <w:tblPrEx>
          <w:tblCellMar>
            <w:top w:w="0" w:type="dxa"/>
            <w:left w:w="108" w:type="dxa"/>
            <w:bottom w:w="0" w:type="dxa"/>
            <w:right w:w="108" w:type="dxa"/>
          </w:tblCellMar>
        </w:tblPrEx>
        <w:trPr>
          <w:trHeight w:val="499" w:hRule="atLeast"/>
        </w:trPr>
        <w:tc>
          <w:tcPr>
            <w:tcW w:w="693" w:type="dxa"/>
            <w:tcBorders>
              <w:top w:val="nil"/>
              <w:left w:val="double" w:color="auto" w:sz="6" w:space="0"/>
              <w:bottom w:val="single" w:color="auto" w:sz="4" w:space="0"/>
              <w:right w:val="single" w:color="auto" w:sz="4" w:space="0"/>
            </w:tcBorders>
            <w:shd w:val="clear" w:color="auto" w:fill="auto"/>
            <w:noWrap/>
            <w:vAlign w:val="center"/>
          </w:tcPr>
          <w:p w14:paraId="7BBDCF2B">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2</w:t>
            </w:r>
          </w:p>
        </w:tc>
        <w:tc>
          <w:tcPr>
            <w:tcW w:w="2155" w:type="dxa"/>
            <w:tcBorders>
              <w:top w:val="nil"/>
              <w:left w:val="nil"/>
              <w:bottom w:val="single" w:color="auto" w:sz="4" w:space="0"/>
              <w:right w:val="single" w:color="auto" w:sz="4" w:space="0"/>
            </w:tcBorders>
            <w:shd w:val="clear" w:color="auto" w:fill="auto"/>
            <w:noWrap/>
            <w:vAlign w:val="center"/>
          </w:tcPr>
          <w:p w14:paraId="52F87B88">
            <w:pPr>
              <w:widowControl/>
              <w:jc w:val="both"/>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线路缠绕迁移整改</w:t>
            </w:r>
          </w:p>
        </w:tc>
        <w:tc>
          <w:tcPr>
            <w:tcW w:w="2220" w:type="dxa"/>
            <w:tcBorders>
              <w:top w:val="nil"/>
              <w:left w:val="nil"/>
              <w:bottom w:val="single" w:color="auto" w:sz="4" w:space="0"/>
              <w:right w:val="single" w:color="auto" w:sz="4" w:space="0"/>
            </w:tcBorders>
            <w:shd w:val="clear" w:color="auto" w:fill="auto"/>
            <w:noWrap/>
            <w:vAlign w:val="center"/>
          </w:tcPr>
          <w:p w14:paraId="02342022">
            <w:pPr>
              <w:widowControl/>
              <w:jc w:val="center"/>
              <w:rPr>
                <w:rFonts w:hint="eastAsia" w:ascii="宋体" w:hAnsi="宋体" w:eastAsia="宋体" w:cs="宋体"/>
                <w:bCs/>
                <w:kern w:val="0"/>
                <w:sz w:val="24"/>
                <w:szCs w:val="24"/>
              </w:rPr>
            </w:pPr>
          </w:p>
        </w:tc>
        <w:tc>
          <w:tcPr>
            <w:tcW w:w="720" w:type="dxa"/>
            <w:tcBorders>
              <w:top w:val="nil"/>
              <w:left w:val="nil"/>
              <w:bottom w:val="single" w:color="auto" w:sz="4" w:space="0"/>
              <w:right w:val="single" w:color="auto" w:sz="4" w:space="0"/>
            </w:tcBorders>
            <w:shd w:val="clear" w:color="auto" w:fill="auto"/>
            <w:noWrap/>
            <w:vAlign w:val="center"/>
          </w:tcPr>
          <w:p w14:paraId="333308E9">
            <w:pPr>
              <w:widowControl/>
              <w:jc w:val="center"/>
              <w:rPr>
                <w:rFonts w:hint="default" w:ascii="宋体" w:hAnsi="宋体" w:eastAsia="宋体" w:cs="宋体"/>
                <w:bCs/>
                <w:kern w:val="0"/>
                <w:sz w:val="24"/>
                <w:szCs w:val="24"/>
                <w:lang w:val="en-US"/>
              </w:rPr>
            </w:pPr>
            <w:r>
              <w:rPr>
                <w:rFonts w:hint="eastAsia" w:ascii="宋体" w:hAnsi="宋体" w:eastAsia="宋体" w:cs="宋体"/>
                <w:bCs/>
                <w:kern w:val="0"/>
                <w:sz w:val="24"/>
                <w:szCs w:val="24"/>
                <w:lang w:val="en-US" w:eastAsia="zh-CN"/>
              </w:rPr>
              <w:t>200</w:t>
            </w:r>
          </w:p>
        </w:tc>
        <w:tc>
          <w:tcPr>
            <w:tcW w:w="540" w:type="dxa"/>
            <w:tcBorders>
              <w:top w:val="nil"/>
              <w:left w:val="nil"/>
              <w:bottom w:val="single" w:color="auto" w:sz="4" w:space="0"/>
              <w:right w:val="single" w:color="auto" w:sz="4" w:space="0"/>
            </w:tcBorders>
            <w:shd w:val="clear" w:color="auto" w:fill="auto"/>
            <w:noWrap/>
            <w:vAlign w:val="center"/>
          </w:tcPr>
          <w:p w14:paraId="7283740F">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米</w:t>
            </w:r>
          </w:p>
        </w:tc>
        <w:tc>
          <w:tcPr>
            <w:tcW w:w="1202" w:type="dxa"/>
            <w:tcBorders>
              <w:top w:val="single" w:color="auto" w:sz="4" w:space="0"/>
              <w:left w:val="nil"/>
              <w:bottom w:val="single" w:color="auto" w:sz="4" w:space="0"/>
              <w:right w:val="double" w:color="auto" w:sz="6" w:space="0"/>
            </w:tcBorders>
            <w:shd w:val="clear" w:color="auto" w:fill="auto"/>
            <w:noWrap/>
            <w:vAlign w:val="center"/>
          </w:tcPr>
          <w:p w14:paraId="243623F2">
            <w:pPr>
              <w:widowControl/>
              <w:jc w:val="center"/>
              <w:rPr>
                <w:rFonts w:hint="eastAsia" w:ascii="宋体" w:hAnsi="宋体" w:eastAsia="宋体" w:cs="宋体"/>
                <w:bCs/>
                <w:kern w:val="0"/>
                <w:sz w:val="24"/>
                <w:szCs w:val="24"/>
              </w:rPr>
            </w:pPr>
          </w:p>
        </w:tc>
        <w:tc>
          <w:tcPr>
            <w:tcW w:w="1284" w:type="dxa"/>
            <w:tcBorders>
              <w:top w:val="single" w:color="auto" w:sz="4" w:space="0"/>
              <w:left w:val="nil"/>
              <w:bottom w:val="single" w:color="auto" w:sz="4" w:space="0"/>
              <w:right w:val="double" w:color="auto" w:sz="6" w:space="0"/>
            </w:tcBorders>
            <w:shd w:val="clear" w:color="auto" w:fill="auto"/>
            <w:noWrap/>
            <w:vAlign w:val="center"/>
          </w:tcPr>
          <w:p w14:paraId="7499C3DD">
            <w:pPr>
              <w:widowControl/>
              <w:jc w:val="center"/>
              <w:rPr>
                <w:rFonts w:hint="eastAsia" w:ascii="宋体" w:hAnsi="宋体" w:eastAsia="宋体" w:cs="宋体"/>
                <w:bCs/>
                <w:kern w:val="0"/>
                <w:sz w:val="24"/>
                <w:szCs w:val="24"/>
              </w:rPr>
            </w:pPr>
          </w:p>
        </w:tc>
      </w:tr>
      <w:tr w14:paraId="5534C5B8">
        <w:tblPrEx>
          <w:tblCellMar>
            <w:top w:w="0" w:type="dxa"/>
            <w:left w:w="108" w:type="dxa"/>
            <w:bottom w:w="0" w:type="dxa"/>
            <w:right w:w="108" w:type="dxa"/>
          </w:tblCellMar>
        </w:tblPrEx>
        <w:trPr>
          <w:trHeight w:val="499"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45C83">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五</w:t>
            </w:r>
          </w:p>
        </w:tc>
        <w:tc>
          <w:tcPr>
            <w:tcW w:w="6837" w:type="dxa"/>
            <w:gridSpan w:val="5"/>
            <w:tcBorders>
              <w:top w:val="single" w:color="auto" w:sz="4" w:space="0"/>
              <w:left w:val="nil"/>
              <w:bottom w:val="single" w:color="auto" w:sz="4" w:space="0"/>
              <w:right w:val="single" w:color="auto" w:sz="4" w:space="0"/>
            </w:tcBorders>
            <w:shd w:val="clear" w:color="auto" w:fill="auto"/>
            <w:noWrap/>
            <w:vAlign w:val="center"/>
          </w:tcPr>
          <w:p w14:paraId="1F5698A7">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 xml:space="preserve">内科楼 </w:t>
            </w:r>
            <w:r>
              <w:rPr>
                <w:rFonts w:hint="eastAsia" w:ascii="宋体" w:hAnsi="宋体" w:eastAsia="宋体" w:cs="宋体"/>
                <w:bCs/>
                <w:kern w:val="0"/>
                <w:sz w:val="24"/>
                <w:szCs w:val="24"/>
              </w:rPr>
              <w:t>　</w:t>
            </w:r>
          </w:p>
        </w:tc>
        <w:tc>
          <w:tcPr>
            <w:tcW w:w="1284" w:type="dxa"/>
            <w:tcBorders>
              <w:top w:val="single" w:color="auto" w:sz="4" w:space="0"/>
              <w:left w:val="nil"/>
              <w:bottom w:val="single" w:color="auto" w:sz="4" w:space="0"/>
              <w:right w:val="single" w:color="auto" w:sz="4" w:space="0"/>
            </w:tcBorders>
            <w:shd w:val="clear" w:color="auto" w:fill="auto"/>
            <w:noWrap/>
            <w:vAlign w:val="center"/>
          </w:tcPr>
          <w:p w14:paraId="710CC75C">
            <w:pPr>
              <w:widowControl/>
              <w:jc w:val="left"/>
              <w:rPr>
                <w:rFonts w:hint="eastAsia" w:ascii="宋体" w:hAnsi="宋体" w:eastAsia="宋体" w:cs="宋体"/>
                <w:bCs/>
                <w:kern w:val="0"/>
                <w:sz w:val="24"/>
                <w:szCs w:val="24"/>
                <w:lang w:val="en-US" w:eastAsia="zh-CN"/>
              </w:rPr>
            </w:pPr>
          </w:p>
        </w:tc>
      </w:tr>
      <w:tr w14:paraId="5FF47C3E">
        <w:tblPrEx>
          <w:tblCellMar>
            <w:top w:w="0" w:type="dxa"/>
            <w:left w:w="108" w:type="dxa"/>
            <w:bottom w:w="0" w:type="dxa"/>
            <w:right w:w="108" w:type="dxa"/>
          </w:tblCellMar>
        </w:tblPrEx>
        <w:trPr>
          <w:trHeight w:val="499"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986CC">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1</w:t>
            </w:r>
          </w:p>
        </w:tc>
        <w:tc>
          <w:tcPr>
            <w:tcW w:w="2155" w:type="dxa"/>
            <w:tcBorders>
              <w:top w:val="single" w:color="auto" w:sz="4" w:space="0"/>
              <w:left w:val="nil"/>
              <w:bottom w:val="single" w:color="auto" w:sz="4" w:space="0"/>
              <w:right w:val="single" w:color="auto" w:sz="4" w:space="0"/>
            </w:tcBorders>
            <w:shd w:val="clear" w:color="auto" w:fill="auto"/>
            <w:noWrap/>
            <w:vAlign w:val="center"/>
          </w:tcPr>
          <w:p w14:paraId="36E22458">
            <w:pPr>
              <w:widowControl/>
              <w:jc w:val="both"/>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天面金属物等电位</w:t>
            </w:r>
            <w:r>
              <w:rPr>
                <w:rFonts w:hint="default" w:ascii="宋体" w:hAnsi="宋体" w:eastAsia="宋体" w:cs="宋体"/>
                <w:bCs/>
                <w:kern w:val="0"/>
                <w:sz w:val="24"/>
                <w:szCs w:val="24"/>
                <w:lang w:val="en-US" w:eastAsia="zh-CN"/>
              </w:rPr>
              <w:t xml:space="preserve">连接 </w:t>
            </w:r>
          </w:p>
        </w:tc>
        <w:tc>
          <w:tcPr>
            <w:tcW w:w="2220" w:type="dxa"/>
            <w:tcBorders>
              <w:top w:val="single" w:color="auto" w:sz="4" w:space="0"/>
              <w:left w:val="nil"/>
              <w:bottom w:val="single" w:color="auto" w:sz="4" w:space="0"/>
              <w:right w:val="single" w:color="auto" w:sz="4" w:space="0"/>
            </w:tcBorders>
            <w:shd w:val="clear" w:color="auto" w:fill="auto"/>
            <w:noWrap/>
            <w:vAlign w:val="center"/>
          </w:tcPr>
          <w:p w14:paraId="36AF4D7B">
            <w:pPr>
              <w:widowControl/>
              <w:jc w:val="center"/>
              <w:rPr>
                <w:rFonts w:hint="eastAsia" w:ascii="宋体" w:hAnsi="宋体" w:eastAsia="宋体" w:cs="宋体"/>
                <w:bCs/>
                <w:kern w:val="0"/>
                <w:sz w:val="24"/>
                <w:szCs w:val="24"/>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6CE1FD75">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10</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36A9A376">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处</w:t>
            </w:r>
          </w:p>
        </w:tc>
        <w:tc>
          <w:tcPr>
            <w:tcW w:w="1202" w:type="dxa"/>
            <w:tcBorders>
              <w:top w:val="single" w:color="auto" w:sz="4" w:space="0"/>
              <w:left w:val="nil"/>
              <w:bottom w:val="single" w:color="auto" w:sz="4" w:space="0"/>
              <w:right w:val="single" w:color="auto" w:sz="4" w:space="0"/>
            </w:tcBorders>
            <w:shd w:val="clear" w:color="auto" w:fill="auto"/>
            <w:noWrap/>
            <w:vAlign w:val="center"/>
          </w:tcPr>
          <w:p w14:paraId="40968DAB">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　</w:t>
            </w:r>
          </w:p>
        </w:tc>
        <w:tc>
          <w:tcPr>
            <w:tcW w:w="1284" w:type="dxa"/>
            <w:tcBorders>
              <w:top w:val="single" w:color="auto" w:sz="4" w:space="0"/>
              <w:left w:val="nil"/>
              <w:bottom w:val="single" w:color="auto" w:sz="4" w:space="0"/>
              <w:right w:val="single" w:color="auto" w:sz="4" w:space="0"/>
            </w:tcBorders>
            <w:shd w:val="clear" w:color="auto" w:fill="auto"/>
            <w:noWrap/>
            <w:vAlign w:val="center"/>
          </w:tcPr>
          <w:p w14:paraId="35EE1864">
            <w:pPr>
              <w:widowControl/>
              <w:jc w:val="center"/>
              <w:rPr>
                <w:rFonts w:hint="eastAsia" w:ascii="宋体" w:hAnsi="宋体" w:eastAsia="宋体" w:cs="宋体"/>
                <w:bCs/>
                <w:kern w:val="0"/>
                <w:sz w:val="24"/>
                <w:szCs w:val="24"/>
              </w:rPr>
            </w:pPr>
          </w:p>
        </w:tc>
      </w:tr>
      <w:tr w14:paraId="4DE799B1">
        <w:tblPrEx>
          <w:tblCellMar>
            <w:top w:w="0" w:type="dxa"/>
            <w:left w:w="108" w:type="dxa"/>
            <w:bottom w:w="0" w:type="dxa"/>
            <w:right w:w="108" w:type="dxa"/>
          </w:tblCellMar>
        </w:tblPrEx>
        <w:trPr>
          <w:trHeight w:val="499"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A441F">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2</w:t>
            </w:r>
          </w:p>
        </w:tc>
        <w:tc>
          <w:tcPr>
            <w:tcW w:w="2155" w:type="dxa"/>
            <w:tcBorders>
              <w:top w:val="single" w:color="auto" w:sz="4" w:space="0"/>
              <w:left w:val="nil"/>
              <w:bottom w:val="single" w:color="auto" w:sz="4" w:space="0"/>
              <w:right w:val="single" w:color="auto" w:sz="4" w:space="0"/>
            </w:tcBorders>
            <w:shd w:val="clear" w:color="auto" w:fill="auto"/>
            <w:noWrap/>
            <w:vAlign w:val="center"/>
          </w:tcPr>
          <w:p w14:paraId="7F6C04D3">
            <w:pPr>
              <w:widowControl/>
              <w:jc w:val="both"/>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线路缠绕迁移整改</w:t>
            </w:r>
          </w:p>
        </w:tc>
        <w:tc>
          <w:tcPr>
            <w:tcW w:w="2220" w:type="dxa"/>
            <w:tcBorders>
              <w:top w:val="single" w:color="auto" w:sz="4" w:space="0"/>
              <w:left w:val="nil"/>
              <w:bottom w:val="single" w:color="auto" w:sz="4" w:space="0"/>
              <w:right w:val="single" w:color="auto" w:sz="4" w:space="0"/>
            </w:tcBorders>
            <w:shd w:val="clear" w:color="auto" w:fill="auto"/>
            <w:noWrap/>
            <w:vAlign w:val="center"/>
          </w:tcPr>
          <w:p w14:paraId="18257162">
            <w:pPr>
              <w:widowControl/>
              <w:jc w:val="center"/>
              <w:rPr>
                <w:rFonts w:hint="eastAsia" w:ascii="宋体" w:hAnsi="宋体" w:eastAsia="宋体" w:cs="宋体"/>
                <w:bCs/>
                <w:kern w:val="0"/>
                <w:sz w:val="24"/>
                <w:szCs w:val="24"/>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2E5BF0DC">
            <w:pPr>
              <w:widowControl/>
              <w:jc w:val="center"/>
              <w:rPr>
                <w:rFonts w:hint="default" w:ascii="宋体" w:hAnsi="宋体" w:eastAsia="宋体" w:cs="宋体"/>
                <w:bCs/>
                <w:kern w:val="0"/>
                <w:sz w:val="24"/>
                <w:szCs w:val="24"/>
                <w:lang w:val="en-US"/>
              </w:rPr>
            </w:pPr>
            <w:r>
              <w:rPr>
                <w:rFonts w:hint="eastAsia" w:ascii="宋体" w:hAnsi="宋体" w:eastAsia="宋体" w:cs="宋体"/>
                <w:bCs/>
                <w:kern w:val="0"/>
                <w:sz w:val="24"/>
                <w:szCs w:val="24"/>
                <w:lang w:val="en-US" w:eastAsia="zh-CN"/>
              </w:rPr>
              <w:t>36</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550EC17C">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米</w:t>
            </w:r>
          </w:p>
        </w:tc>
        <w:tc>
          <w:tcPr>
            <w:tcW w:w="1202" w:type="dxa"/>
            <w:tcBorders>
              <w:top w:val="single" w:color="auto" w:sz="4" w:space="0"/>
              <w:left w:val="nil"/>
              <w:bottom w:val="single" w:color="auto" w:sz="4" w:space="0"/>
              <w:right w:val="single" w:color="auto" w:sz="4" w:space="0"/>
            </w:tcBorders>
            <w:shd w:val="clear" w:color="auto" w:fill="auto"/>
            <w:noWrap/>
            <w:vAlign w:val="center"/>
          </w:tcPr>
          <w:p w14:paraId="0284B1CC">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　</w:t>
            </w:r>
          </w:p>
        </w:tc>
        <w:tc>
          <w:tcPr>
            <w:tcW w:w="1284" w:type="dxa"/>
            <w:tcBorders>
              <w:top w:val="single" w:color="auto" w:sz="4" w:space="0"/>
              <w:left w:val="nil"/>
              <w:bottom w:val="single" w:color="auto" w:sz="4" w:space="0"/>
              <w:right w:val="single" w:color="auto" w:sz="4" w:space="0"/>
            </w:tcBorders>
            <w:shd w:val="clear" w:color="auto" w:fill="auto"/>
            <w:noWrap/>
            <w:vAlign w:val="center"/>
          </w:tcPr>
          <w:p w14:paraId="1D7CE94F">
            <w:pPr>
              <w:widowControl/>
              <w:jc w:val="center"/>
              <w:rPr>
                <w:rFonts w:hint="eastAsia" w:ascii="宋体" w:hAnsi="宋体" w:eastAsia="宋体" w:cs="宋体"/>
                <w:bCs/>
                <w:kern w:val="0"/>
                <w:sz w:val="24"/>
                <w:szCs w:val="24"/>
              </w:rPr>
            </w:pPr>
          </w:p>
        </w:tc>
      </w:tr>
      <w:tr w14:paraId="0BCFB7C3">
        <w:tblPrEx>
          <w:tblCellMar>
            <w:top w:w="0" w:type="dxa"/>
            <w:left w:w="108" w:type="dxa"/>
            <w:bottom w:w="0" w:type="dxa"/>
            <w:right w:w="108" w:type="dxa"/>
          </w:tblCellMar>
        </w:tblPrEx>
        <w:trPr>
          <w:trHeight w:val="499"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B2FE7">
            <w:pPr>
              <w:widowControl/>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六</w:t>
            </w:r>
          </w:p>
        </w:tc>
        <w:tc>
          <w:tcPr>
            <w:tcW w:w="5635" w:type="dxa"/>
            <w:gridSpan w:val="4"/>
            <w:tcBorders>
              <w:top w:val="single" w:color="auto" w:sz="4" w:space="0"/>
              <w:left w:val="nil"/>
              <w:bottom w:val="single" w:color="auto" w:sz="4" w:space="0"/>
              <w:right w:val="single" w:color="auto" w:sz="4" w:space="0"/>
            </w:tcBorders>
            <w:shd w:val="clear" w:color="auto" w:fill="auto"/>
            <w:noWrap/>
            <w:vAlign w:val="center"/>
          </w:tcPr>
          <w:p w14:paraId="69705DCA">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饭堂</w:t>
            </w:r>
          </w:p>
        </w:tc>
        <w:tc>
          <w:tcPr>
            <w:tcW w:w="1202" w:type="dxa"/>
            <w:tcBorders>
              <w:top w:val="single" w:color="auto" w:sz="4" w:space="0"/>
              <w:left w:val="nil"/>
              <w:bottom w:val="single" w:color="auto" w:sz="4" w:space="0"/>
              <w:right w:val="single" w:color="auto" w:sz="4" w:space="0"/>
            </w:tcBorders>
            <w:shd w:val="clear" w:color="auto" w:fill="auto"/>
            <w:noWrap/>
            <w:vAlign w:val="center"/>
          </w:tcPr>
          <w:p w14:paraId="69D0995D">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　</w:t>
            </w:r>
          </w:p>
        </w:tc>
        <w:tc>
          <w:tcPr>
            <w:tcW w:w="1284" w:type="dxa"/>
            <w:tcBorders>
              <w:top w:val="single" w:color="auto" w:sz="4" w:space="0"/>
              <w:left w:val="nil"/>
              <w:bottom w:val="single" w:color="auto" w:sz="4" w:space="0"/>
              <w:right w:val="single" w:color="auto" w:sz="4" w:space="0"/>
            </w:tcBorders>
            <w:shd w:val="clear" w:color="auto" w:fill="auto"/>
            <w:noWrap/>
            <w:vAlign w:val="center"/>
          </w:tcPr>
          <w:p w14:paraId="09D22E65">
            <w:pPr>
              <w:widowControl/>
              <w:jc w:val="center"/>
              <w:rPr>
                <w:rFonts w:hint="eastAsia" w:ascii="宋体" w:hAnsi="宋体" w:eastAsia="宋体" w:cs="宋体"/>
                <w:bCs/>
                <w:kern w:val="0"/>
                <w:sz w:val="24"/>
                <w:szCs w:val="24"/>
              </w:rPr>
            </w:pPr>
          </w:p>
        </w:tc>
      </w:tr>
      <w:tr w14:paraId="0C4EA5C6">
        <w:tblPrEx>
          <w:tblCellMar>
            <w:top w:w="0" w:type="dxa"/>
            <w:left w:w="108" w:type="dxa"/>
            <w:bottom w:w="0" w:type="dxa"/>
            <w:right w:w="108" w:type="dxa"/>
          </w:tblCellMar>
        </w:tblPrEx>
        <w:trPr>
          <w:trHeight w:val="499"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5F41A">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1</w:t>
            </w:r>
          </w:p>
        </w:tc>
        <w:tc>
          <w:tcPr>
            <w:tcW w:w="2155" w:type="dxa"/>
            <w:tcBorders>
              <w:top w:val="single" w:color="auto" w:sz="4" w:space="0"/>
              <w:left w:val="nil"/>
              <w:bottom w:val="single" w:color="auto" w:sz="4" w:space="0"/>
              <w:right w:val="single" w:color="auto" w:sz="4" w:space="0"/>
            </w:tcBorders>
            <w:shd w:val="clear" w:color="auto" w:fill="auto"/>
            <w:noWrap/>
            <w:vAlign w:val="center"/>
          </w:tcPr>
          <w:p w14:paraId="2FCF5625">
            <w:pPr>
              <w:widowControl/>
              <w:jc w:val="both"/>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天面金属物等电位</w:t>
            </w:r>
            <w:r>
              <w:rPr>
                <w:rFonts w:hint="default" w:ascii="宋体" w:hAnsi="宋体" w:eastAsia="宋体" w:cs="宋体"/>
                <w:bCs/>
                <w:kern w:val="0"/>
                <w:sz w:val="24"/>
                <w:szCs w:val="24"/>
                <w:lang w:val="en-US" w:eastAsia="zh-CN"/>
              </w:rPr>
              <w:t xml:space="preserve">连接 </w:t>
            </w:r>
          </w:p>
        </w:tc>
        <w:tc>
          <w:tcPr>
            <w:tcW w:w="2220" w:type="dxa"/>
            <w:tcBorders>
              <w:top w:val="single" w:color="auto" w:sz="4" w:space="0"/>
              <w:left w:val="nil"/>
              <w:bottom w:val="single" w:color="auto" w:sz="4" w:space="0"/>
              <w:right w:val="single" w:color="auto" w:sz="4" w:space="0"/>
            </w:tcBorders>
            <w:shd w:val="clear" w:color="auto" w:fill="auto"/>
            <w:noWrap/>
            <w:vAlign w:val="center"/>
          </w:tcPr>
          <w:p w14:paraId="00A21A16">
            <w:pPr>
              <w:widowControl/>
              <w:jc w:val="center"/>
              <w:rPr>
                <w:rFonts w:hint="eastAsia" w:ascii="宋体" w:hAnsi="宋体" w:eastAsia="宋体" w:cs="宋体"/>
                <w:bCs/>
                <w:kern w:val="0"/>
                <w:sz w:val="24"/>
                <w:szCs w:val="24"/>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01E5841A">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8</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12EC99FD">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处</w:t>
            </w:r>
          </w:p>
        </w:tc>
        <w:tc>
          <w:tcPr>
            <w:tcW w:w="1202" w:type="dxa"/>
            <w:tcBorders>
              <w:top w:val="single" w:color="auto" w:sz="4" w:space="0"/>
              <w:left w:val="nil"/>
              <w:bottom w:val="single" w:color="auto" w:sz="4" w:space="0"/>
              <w:right w:val="single" w:color="auto" w:sz="4" w:space="0"/>
            </w:tcBorders>
            <w:shd w:val="clear" w:color="auto" w:fill="auto"/>
            <w:noWrap/>
            <w:vAlign w:val="center"/>
          </w:tcPr>
          <w:p w14:paraId="73BF115F">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　</w:t>
            </w:r>
          </w:p>
        </w:tc>
        <w:tc>
          <w:tcPr>
            <w:tcW w:w="1284" w:type="dxa"/>
            <w:tcBorders>
              <w:top w:val="single" w:color="auto" w:sz="4" w:space="0"/>
              <w:left w:val="nil"/>
              <w:bottom w:val="single" w:color="auto" w:sz="4" w:space="0"/>
              <w:right w:val="single" w:color="auto" w:sz="4" w:space="0"/>
            </w:tcBorders>
            <w:shd w:val="clear" w:color="auto" w:fill="auto"/>
            <w:noWrap/>
            <w:vAlign w:val="center"/>
          </w:tcPr>
          <w:p w14:paraId="2D9C8B10">
            <w:pPr>
              <w:widowControl/>
              <w:jc w:val="center"/>
              <w:rPr>
                <w:rFonts w:hint="eastAsia" w:ascii="宋体" w:hAnsi="宋体" w:eastAsia="宋体" w:cs="宋体"/>
                <w:bCs/>
                <w:kern w:val="0"/>
                <w:sz w:val="24"/>
                <w:szCs w:val="24"/>
              </w:rPr>
            </w:pPr>
          </w:p>
        </w:tc>
      </w:tr>
      <w:tr w14:paraId="45FA9559">
        <w:tblPrEx>
          <w:tblCellMar>
            <w:top w:w="0" w:type="dxa"/>
            <w:left w:w="108" w:type="dxa"/>
            <w:bottom w:w="0" w:type="dxa"/>
            <w:right w:w="108" w:type="dxa"/>
          </w:tblCellMar>
        </w:tblPrEx>
        <w:trPr>
          <w:trHeight w:val="499"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EE4AC">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2</w:t>
            </w:r>
          </w:p>
        </w:tc>
        <w:tc>
          <w:tcPr>
            <w:tcW w:w="2155" w:type="dxa"/>
            <w:tcBorders>
              <w:top w:val="single" w:color="auto" w:sz="4" w:space="0"/>
              <w:left w:val="nil"/>
              <w:bottom w:val="single" w:color="auto" w:sz="4" w:space="0"/>
              <w:right w:val="single" w:color="auto" w:sz="4" w:space="0"/>
            </w:tcBorders>
            <w:shd w:val="clear" w:color="auto" w:fill="auto"/>
            <w:noWrap/>
            <w:vAlign w:val="center"/>
          </w:tcPr>
          <w:p w14:paraId="6AA73E98">
            <w:pPr>
              <w:widowControl/>
              <w:jc w:val="both"/>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 xml:space="preserve">避雷网 </w:t>
            </w:r>
          </w:p>
        </w:tc>
        <w:tc>
          <w:tcPr>
            <w:tcW w:w="2220" w:type="dxa"/>
            <w:tcBorders>
              <w:top w:val="single" w:color="auto" w:sz="4" w:space="0"/>
              <w:left w:val="nil"/>
              <w:bottom w:val="single" w:color="auto" w:sz="4" w:space="0"/>
              <w:right w:val="single" w:color="auto" w:sz="4" w:space="0"/>
            </w:tcBorders>
            <w:shd w:val="clear" w:color="auto" w:fill="auto"/>
            <w:noWrap/>
            <w:vAlign w:val="center"/>
          </w:tcPr>
          <w:p w14:paraId="2561A965">
            <w:pPr>
              <w:widowControl/>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 xml:space="preserve">1、名称：接闪网 </w:t>
            </w:r>
          </w:p>
          <w:p w14:paraId="03AC5957">
            <w:pPr>
              <w:widowControl/>
              <w:jc w:val="both"/>
              <w:rPr>
                <w:rFonts w:hint="eastAsia" w:ascii="宋体" w:hAnsi="宋体" w:eastAsia="宋体" w:cs="宋体"/>
                <w:bCs/>
                <w:kern w:val="0"/>
                <w:sz w:val="24"/>
                <w:szCs w:val="24"/>
                <w:lang w:val="en-US" w:eastAsia="zh-CN"/>
              </w:rPr>
            </w:pPr>
            <w:r>
              <w:rPr>
                <w:rFonts w:hint="default" w:ascii="宋体" w:hAnsi="宋体" w:eastAsia="宋体" w:cs="宋体"/>
                <w:bCs/>
                <w:kern w:val="0"/>
                <w:sz w:val="24"/>
                <w:szCs w:val="24"/>
                <w:lang w:val="en-US" w:eastAsia="zh-CN"/>
              </w:rPr>
              <w:t>2、材质：热镀锌圆钢</w:t>
            </w:r>
            <w:r>
              <w:rPr>
                <w:rFonts w:hint="eastAsia" w:ascii="宋体" w:hAnsi="宋体" w:eastAsia="宋体" w:cs="宋体"/>
                <w:bCs/>
                <w:kern w:val="0"/>
                <w:sz w:val="24"/>
                <w:szCs w:val="24"/>
                <w:lang w:val="en-US" w:eastAsia="zh-CN"/>
              </w:rPr>
              <w:t>　</w:t>
            </w:r>
          </w:p>
          <w:p w14:paraId="3F929379">
            <w:pPr>
              <w:widowControl/>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 xml:space="preserve">3、规格：Φ10 </w:t>
            </w:r>
          </w:p>
          <w:p w14:paraId="146D2006">
            <w:pPr>
              <w:widowControl/>
              <w:jc w:val="both"/>
              <w:rPr>
                <w:rFonts w:hint="eastAsia" w:ascii="宋体" w:hAnsi="宋体" w:eastAsia="宋体" w:cs="宋体"/>
                <w:bCs/>
                <w:kern w:val="0"/>
                <w:sz w:val="24"/>
                <w:szCs w:val="24"/>
              </w:rPr>
            </w:pPr>
            <w:r>
              <w:rPr>
                <w:rFonts w:hint="default" w:ascii="宋体" w:hAnsi="宋体" w:eastAsia="宋体" w:cs="宋体"/>
                <w:bCs/>
                <w:kern w:val="0"/>
                <w:sz w:val="24"/>
                <w:szCs w:val="24"/>
                <w:lang w:val="en-US" w:eastAsia="zh-CN"/>
              </w:rPr>
              <w:t xml:space="preserve">4、沿天面敷设 </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0ECB0E11">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50</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28B550F3">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米</w:t>
            </w:r>
          </w:p>
        </w:tc>
        <w:tc>
          <w:tcPr>
            <w:tcW w:w="1202" w:type="dxa"/>
            <w:tcBorders>
              <w:top w:val="single" w:color="auto" w:sz="4" w:space="0"/>
              <w:left w:val="nil"/>
              <w:bottom w:val="single" w:color="auto" w:sz="4" w:space="0"/>
              <w:right w:val="single" w:color="auto" w:sz="4" w:space="0"/>
            </w:tcBorders>
            <w:shd w:val="clear" w:color="auto" w:fill="auto"/>
            <w:noWrap/>
            <w:vAlign w:val="center"/>
          </w:tcPr>
          <w:p w14:paraId="658382BA">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　</w:t>
            </w:r>
          </w:p>
        </w:tc>
        <w:tc>
          <w:tcPr>
            <w:tcW w:w="1284" w:type="dxa"/>
            <w:tcBorders>
              <w:top w:val="single" w:color="auto" w:sz="4" w:space="0"/>
              <w:left w:val="nil"/>
              <w:bottom w:val="single" w:color="auto" w:sz="4" w:space="0"/>
              <w:right w:val="single" w:color="auto" w:sz="4" w:space="0"/>
            </w:tcBorders>
            <w:shd w:val="clear" w:color="auto" w:fill="auto"/>
            <w:noWrap/>
            <w:vAlign w:val="center"/>
          </w:tcPr>
          <w:p w14:paraId="0710C4ED">
            <w:pPr>
              <w:widowControl/>
              <w:jc w:val="center"/>
              <w:rPr>
                <w:rFonts w:hint="eastAsia" w:ascii="宋体" w:hAnsi="宋体" w:eastAsia="宋体" w:cs="宋体"/>
                <w:bCs/>
                <w:kern w:val="0"/>
                <w:sz w:val="24"/>
                <w:szCs w:val="24"/>
              </w:rPr>
            </w:pPr>
          </w:p>
        </w:tc>
      </w:tr>
      <w:tr w14:paraId="543A21CE">
        <w:tblPrEx>
          <w:tblCellMar>
            <w:top w:w="0" w:type="dxa"/>
            <w:left w:w="108" w:type="dxa"/>
            <w:bottom w:w="0" w:type="dxa"/>
            <w:right w:w="108" w:type="dxa"/>
          </w:tblCellMar>
        </w:tblPrEx>
        <w:trPr>
          <w:trHeight w:val="499"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76CF6">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七</w:t>
            </w:r>
          </w:p>
        </w:tc>
        <w:tc>
          <w:tcPr>
            <w:tcW w:w="5635" w:type="dxa"/>
            <w:gridSpan w:val="4"/>
            <w:tcBorders>
              <w:top w:val="single" w:color="auto" w:sz="4" w:space="0"/>
              <w:left w:val="nil"/>
              <w:bottom w:val="single" w:color="auto" w:sz="4" w:space="0"/>
              <w:right w:val="single" w:color="auto" w:sz="4" w:space="0"/>
            </w:tcBorders>
            <w:shd w:val="clear" w:color="auto" w:fill="auto"/>
            <w:noWrap/>
            <w:vAlign w:val="center"/>
          </w:tcPr>
          <w:p w14:paraId="6ADC0A84">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 xml:space="preserve">妇幼中心 </w:t>
            </w:r>
          </w:p>
        </w:tc>
        <w:tc>
          <w:tcPr>
            <w:tcW w:w="1202" w:type="dxa"/>
            <w:tcBorders>
              <w:top w:val="single" w:color="auto" w:sz="4" w:space="0"/>
              <w:left w:val="nil"/>
              <w:bottom w:val="single" w:color="auto" w:sz="4" w:space="0"/>
              <w:right w:val="single" w:color="auto" w:sz="4" w:space="0"/>
            </w:tcBorders>
            <w:shd w:val="clear" w:color="auto" w:fill="auto"/>
            <w:noWrap/>
            <w:vAlign w:val="center"/>
          </w:tcPr>
          <w:p w14:paraId="05004073">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　</w:t>
            </w:r>
          </w:p>
        </w:tc>
        <w:tc>
          <w:tcPr>
            <w:tcW w:w="1284" w:type="dxa"/>
            <w:tcBorders>
              <w:top w:val="single" w:color="auto" w:sz="4" w:space="0"/>
              <w:left w:val="nil"/>
              <w:bottom w:val="single" w:color="auto" w:sz="4" w:space="0"/>
              <w:right w:val="single" w:color="auto" w:sz="4" w:space="0"/>
            </w:tcBorders>
            <w:shd w:val="clear" w:color="auto" w:fill="auto"/>
            <w:noWrap/>
            <w:vAlign w:val="center"/>
          </w:tcPr>
          <w:p w14:paraId="331F6922">
            <w:pPr>
              <w:widowControl/>
              <w:jc w:val="center"/>
              <w:rPr>
                <w:rFonts w:hint="eastAsia" w:ascii="宋体" w:hAnsi="宋体" w:eastAsia="宋体" w:cs="宋体"/>
                <w:bCs/>
                <w:kern w:val="0"/>
                <w:sz w:val="24"/>
                <w:szCs w:val="24"/>
              </w:rPr>
            </w:pPr>
          </w:p>
        </w:tc>
      </w:tr>
      <w:tr w14:paraId="656AF8B6">
        <w:tblPrEx>
          <w:tblCellMar>
            <w:top w:w="0" w:type="dxa"/>
            <w:left w:w="108" w:type="dxa"/>
            <w:bottom w:w="0" w:type="dxa"/>
            <w:right w:w="108" w:type="dxa"/>
          </w:tblCellMar>
        </w:tblPrEx>
        <w:trPr>
          <w:trHeight w:val="547"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9A050">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1</w:t>
            </w:r>
          </w:p>
        </w:tc>
        <w:tc>
          <w:tcPr>
            <w:tcW w:w="2155" w:type="dxa"/>
            <w:tcBorders>
              <w:top w:val="single" w:color="auto" w:sz="4" w:space="0"/>
              <w:left w:val="nil"/>
              <w:bottom w:val="single" w:color="auto" w:sz="4" w:space="0"/>
              <w:right w:val="single" w:color="auto" w:sz="4" w:space="0"/>
            </w:tcBorders>
            <w:shd w:val="clear" w:color="auto" w:fill="auto"/>
            <w:noWrap/>
            <w:vAlign w:val="center"/>
          </w:tcPr>
          <w:p w14:paraId="407BB7AC">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天面金属物等电位</w:t>
            </w:r>
            <w:r>
              <w:rPr>
                <w:rFonts w:hint="default" w:ascii="宋体" w:hAnsi="宋体" w:eastAsia="宋体" w:cs="宋体"/>
                <w:bCs/>
                <w:kern w:val="0"/>
                <w:sz w:val="24"/>
                <w:szCs w:val="24"/>
                <w:lang w:val="en-US" w:eastAsia="zh-CN"/>
              </w:rPr>
              <w:t xml:space="preserve">连接 </w:t>
            </w:r>
          </w:p>
        </w:tc>
        <w:tc>
          <w:tcPr>
            <w:tcW w:w="2220" w:type="dxa"/>
            <w:tcBorders>
              <w:top w:val="single" w:color="auto" w:sz="4" w:space="0"/>
              <w:left w:val="nil"/>
              <w:bottom w:val="single" w:color="auto" w:sz="4" w:space="0"/>
              <w:right w:val="single" w:color="auto" w:sz="4" w:space="0"/>
            </w:tcBorders>
            <w:shd w:val="clear" w:color="auto" w:fill="auto"/>
            <w:noWrap/>
            <w:vAlign w:val="center"/>
          </w:tcPr>
          <w:p w14:paraId="28515863">
            <w:pPr>
              <w:widowControl/>
              <w:jc w:val="center"/>
              <w:rPr>
                <w:rFonts w:hint="eastAsia" w:ascii="宋体" w:hAnsi="宋体" w:eastAsia="宋体" w:cs="宋体"/>
                <w:bCs/>
                <w:kern w:val="0"/>
                <w:sz w:val="24"/>
                <w:szCs w:val="24"/>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69DC9311">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10</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4E839066">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处</w:t>
            </w:r>
          </w:p>
        </w:tc>
        <w:tc>
          <w:tcPr>
            <w:tcW w:w="1202" w:type="dxa"/>
            <w:tcBorders>
              <w:top w:val="single" w:color="auto" w:sz="4" w:space="0"/>
              <w:left w:val="nil"/>
              <w:bottom w:val="single" w:color="auto" w:sz="4" w:space="0"/>
              <w:right w:val="single" w:color="auto" w:sz="4" w:space="0"/>
            </w:tcBorders>
            <w:shd w:val="clear" w:color="auto" w:fill="auto"/>
            <w:noWrap/>
            <w:vAlign w:val="center"/>
          </w:tcPr>
          <w:p w14:paraId="3AA4D897">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　</w:t>
            </w:r>
          </w:p>
        </w:tc>
        <w:tc>
          <w:tcPr>
            <w:tcW w:w="1284" w:type="dxa"/>
            <w:tcBorders>
              <w:top w:val="single" w:color="auto" w:sz="4" w:space="0"/>
              <w:left w:val="nil"/>
              <w:bottom w:val="single" w:color="auto" w:sz="4" w:space="0"/>
              <w:right w:val="single" w:color="auto" w:sz="4" w:space="0"/>
            </w:tcBorders>
            <w:shd w:val="clear" w:color="auto" w:fill="auto"/>
            <w:noWrap/>
            <w:vAlign w:val="center"/>
          </w:tcPr>
          <w:p w14:paraId="76E462AC">
            <w:pPr>
              <w:widowControl/>
              <w:jc w:val="center"/>
              <w:rPr>
                <w:rFonts w:hint="eastAsia" w:ascii="宋体" w:hAnsi="宋体" w:eastAsia="宋体" w:cs="宋体"/>
                <w:bCs/>
                <w:kern w:val="0"/>
                <w:sz w:val="24"/>
                <w:szCs w:val="24"/>
              </w:rPr>
            </w:pPr>
          </w:p>
        </w:tc>
      </w:tr>
      <w:tr w14:paraId="49959A19">
        <w:tblPrEx>
          <w:tblCellMar>
            <w:top w:w="0" w:type="dxa"/>
            <w:left w:w="108" w:type="dxa"/>
            <w:bottom w:w="0" w:type="dxa"/>
            <w:right w:w="108" w:type="dxa"/>
          </w:tblCellMar>
        </w:tblPrEx>
        <w:trPr>
          <w:trHeight w:val="499"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71B1E">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2</w:t>
            </w:r>
          </w:p>
        </w:tc>
        <w:tc>
          <w:tcPr>
            <w:tcW w:w="2155" w:type="dxa"/>
            <w:tcBorders>
              <w:top w:val="single" w:color="auto" w:sz="4" w:space="0"/>
              <w:left w:val="nil"/>
              <w:bottom w:val="single" w:color="auto" w:sz="4" w:space="0"/>
              <w:right w:val="single" w:color="auto" w:sz="4" w:space="0"/>
            </w:tcBorders>
            <w:shd w:val="clear" w:color="auto" w:fill="auto"/>
            <w:noWrap/>
            <w:vAlign w:val="center"/>
          </w:tcPr>
          <w:p w14:paraId="73F41F0F">
            <w:pPr>
              <w:widowControl/>
              <w:jc w:val="both"/>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线路缠绕迁移整改</w:t>
            </w:r>
          </w:p>
        </w:tc>
        <w:tc>
          <w:tcPr>
            <w:tcW w:w="2220" w:type="dxa"/>
            <w:tcBorders>
              <w:top w:val="single" w:color="auto" w:sz="4" w:space="0"/>
              <w:left w:val="nil"/>
              <w:bottom w:val="single" w:color="auto" w:sz="4" w:space="0"/>
              <w:right w:val="single" w:color="auto" w:sz="4" w:space="0"/>
            </w:tcBorders>
            <w:shd w:val="clear" w:color="auto" w:fill="auto"/>
            <w:noWrap/>
            <w:vAlign w:val="center"/>
          </w:tcPr>
          <w:p w14:paraId="75235BF5">
            <w:pPr>
              <w:widowControl/>
              <w:jc w:val="center"/>
              <w:rPr>
                <w:rFonts w:hint="eastAsia" w:ascii="宋体" w:hAnsi="宋体" w:eastAsia="宋体" w:cs="宋体"/>
                <w:bCs/>
                <w:kern w:val="0"/>
                <w:sz w:val="24"/>
                <w:szCs w:val="24"/>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2774930E">
            <w:pPr>
              <w:widowControl/>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65</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0352BE7F">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米</w:t>
            </w:r>
          </w:p>
        </w:tc>
        <w:tc>
          <w:tcPr>
            <w:tcW w:w="1202" w:type="dxa"/>
            <w:tcBorders>
              <w:top w:val="single" w:color="auto" w:sz="4" w:space="0"/>
              <w:left w:val="nil"/>
              <w:bottom w:val="single" w:color="auto" w:sz="4" w:space="0"/>
              <w:right w:val="single" w:color="auto" w:sz="4" w:space="0"/>
            </w:tcBorders>
            <w:shd w:val="clear" w:color="auto" w:fill="auto"/>
            <w:noWrap/>
            <w:vAlign w:val="center"/>
          </w:tcPr>
          <w:p w14:paraId="3942D91C">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　</w:t>
            </w:r>
          </w:p>
        </w:tc>
        <w:tc>
          <w:tcPr>
            <w:tcW w:w="1284" w:type="dxa"/>
            <w:tcBorders>
              <w:top w:val="single" w:color="auto" w:sz="4" w:space="0"/>
              <w:left w:val="nil"/>
              <w:bottom w:val="single" w:color="auto" w:sz="4" w:space="0"/>
              <w:right w:val="single" w:color="auto" w:sz="4" w:space="0"/>
            </w:tcBorders>
            <w:shd w:val="clear" w:color="auto" w:fill="auto"/>
            <w:noWrap/>
            <w:vAlign w:val="center"/>
          </w:tcPr>
          <w:p w14:paraId="5719959E">
            <w:pPr>
              <w:widowControl/>
              <w:jc w:val="center"/>
              <w:rPr>
                <w:rFonts w:hint="eastAsia" w:ascii="宋体" w:hAnsi="宋体" w:eastAsia="宋体" w:cs="宋体"/>
                <w:bCs/>
                <w:kern w:val="0"/>
                <w:sz w:val="24"/>
                <w:szCs w:val="24"/>
              </w:rPr>
            </w:pPr>
          </w:p>
        </w:tc>
      </w:tr>
      <w:tr w14:paraId="042DAA81">
        <w:tblPrEx>
          <w:tblCellMar>
            <w:top w:w="0" w:type="dxa"/>
            <w:left w:w="108" w:type="dxa"/>
            <w:bottom w:w="0" w:type="dxa"/>
            <w:right w:w="108" w:type="dxa"/>
          </w:tblCellMar>
        </w:tblPrEx>
        <w:trPr>
          <w:trHeight w:val="499"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9C59F">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八</w:t>
            </w:r>
          </w:p>
        </w:tc>
        <w:tc>
          <w:tcPr>
            <w:tcW w:w="6837" w:type="dxa"/>
            <w:gridSpan w:val="5"/>
            <w:tcBorders>
              <w:top w:val="single" w:color="auto" w:sz="4" w:space="0"/>
              <w:left w:val="nil"/>
              <w:bottom w:val="single" w:color="auto" w:sz="4" w:space="0"/>
              <w:right w:val="single" w:color="auto" w:sz="4" w:space="0"/>
            </w:tcBorders>
            <w:shd w:val="clear" w:color="auto" w:fill="auto"/>
            <w:noWrap/>
            <w:vAlign w:val="center"/>
          </w:tcPr>
          <w:p w14:paraId="2A293A88">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 xml:space="preserve">高压氧科 </w:t>
            </w:r>
            <w:r>
              <w:rPr>
                <w:rFonts w:hint="eastAsia" w:ascii="宋体" w:hAnsi="宋体" w:eastAsia="宋体" w:cs="宋体"/>
                <w:bCs/>
                <w:kern w:val="0"/>
                <w:sz w:val="24"/>
                <w:szCs w:val="24"/>
              </w:rPr>
              <w:t>　</w:t>
            </w:r>
          </w:p>
        </w:tc>
        <w:tc>
          <w:tcPr>
            <w:tcW w:w="1284" w:type="dxa"/>
            <w:tcBorders>
              <w:top w:val="single" w:color="auto" w:sz="4" w:space="0"/>
              <w:left w:val="nil"/>
              <w:bottom w:val="single" w:color="auto" w:sz="4" w:space="0"/>
              <w:right w:val="single" w:color="auto" w:sz="4" w:space="0"/>
            </w:tcBorders>
            <w:shd w:val="clear" w:color="auto" w:fill="auto"/>
            <w:noWrap/>
            <w:vAlign w:val="center"/>
          </w:tcPr>
          <w:p w14:paraId="5D6586F8">
            <w:pPr>
              <w:widowControl/>
              <w:jc w:val="left"/>
              <w:rPr>
                <w:rFonts w:hint="eastAsia" w:ascii="宋体" w:hAnsi="宋体" w:eastAsia="宋体" w:cs="宋体"/>
                <w:bCs/>
                <w:kern w:val="0"/>
                <w:sz w:val="24"/>
                <w:szCs w:val="24"/>
                <w:lang w:val="en-US" w:eastAsia="zh-CN"/>
              </w:rPr>
            </w:pPr>
          </w:p>
        </w:tc>
      </w:tr>
      <w:tr w14:paraId="4BBAB709">
        <w:tblPrEx>
          <w:tblCellMar>
            <w:top w:w="0" w:type="dxa"/>
            <w:left w:w="108" w:type="dxa"/>
            <w:bottom w:w="0" w:type="dxa"/>
            <w:right w:w="108" w:type="dxa"/>
          </w:tblCellMar>
        </w:tblPrEx>
        <w:trPr>
          <w:trHeight w:val="499"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56594">
            <w:pPr>
              <w:widowControl/>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w:t>
            </w:r>
          </w:p>
        </w:tc>
        <w:tc>
          <w:tcPr>
            <w:tcW w:w="2155" w:type="dxa"/>
            <w:tcBorders>
              <w:top w:val="single" w:color="auto" w:sz="4" w:space="0"/>
              <w:left w:val="nil"/>
              <w:bottom w:val="single" w:color="auto" w:sz="4" w:space="0"/>
              <w:right w:val="single" w:color="auto" w:sz="4" w:space="0"/>
            </w:tcBorders>
            <w:shd w:val="clear" w:color="auto" w:fill="auto"/>
            <w:noWrap/>
            <w:vAlign w:val="center"/>
          </w:tcPr>
          <w:p w14:paraId="3F076299">
            <w:pPr>
              <w:widowControl/>
              <w:jc w:val="both"/>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避雷网</w:t>
            </w:r>
          </w:p>
        </w:tc>
        <w:tc>
          <w:tcPr>
            <w:tcW w:w="2220" w:type="dxa"/>
            <w:tcBorders>
              <w:top w:val="single" w:color="auto" w:sz="4" w:space="0"/>
              <w:left w:val="nil"/>
              <w:bottom w:val="single" w:color="auto" w:sz="4" w:space="0"/>
              <w:right w:val="single" w:color="auto" w:sz="4" w:space="0"/>
            </w:tcBorders>
            <w:shd w:val="clear" w:color="auto" w:fill="auto"/>
            <w:noWrap/>
            <w:vAlign w:val="center"/>
          </w:tcPr>
          <w:p w14:paraId="231FBBF6">
            <w:pPr>
              <w:widowControl/>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 xml:space="preserve">1、名称：接闪网 </w:t>
            </w:r>
          </w:p>
          <w:p w14:paraId="4701926D">
            <w:pPr>
              <w:widowControl/>
              <w:jc w:val="both"/>
              <w:rPr>
                <w:rFonts w:hint="eastAsia" w:ascii="宋体" w:hAnsi="宋体" w:eastAsia="宋体" w:cs="宋体"/>
                <w:bCs/>
                <w:kern w:val="0"/>
                <w:sz w:val="24"/>
                <w:szCs w:val="24"/>
                <w:lang w:val="en-US" w:eastAsia="zh-CN"/>
              </w:rPr>
            </w:pPr>
            <w:r>
              <w:rPr>
                <w:rFonts w:hint="default" w:ascii="宋体" w:hAnsi="宋体" w:eastAsia="宋体" w:cs="宋体"/>
                <w:bCs/>
                <w:kern w:val="0"/>
                <w:sz w:val="24"/>
                <w:szCs w:val="24"/>
                <w:lang w:val="en-US" w:eastAsia="zh-CN"/>
              </w:rPr>
              <w:t>2、材质：热镀锌圆钢</w:t>
            </w:r>
            <w:r>
              <w:rPr>
                <w:rFonts w:hint="eastAsia" w:ascii="宋体" w:hAnsi="宋体" w:eastAsia="宋体" w:cs="宋体"/>
                <w:bCs/>
                <w:kern w:val="0"/>
                <w:sz w:val="24"/>
                <w:szCs w:val="24"/>
                <w:lang w:val="en-US" w:eastAsia="zh-CN"/>
              </w:rPr>
              <w:t>　</w:t>
            </w:r>
          </w:p>
          <w:p w14:paraId="30ED511B">
            <w:pPr>
              <w:widowControl/>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 xml:space="preserve">3、规格：Φ10 </w:t>
            </w:r>
          </w:p>
          <w:p w14:paraId="6B7E7616">
            <w:pPr>
              <w:widowControl/>
              <w:jc w:val="both"/>
              <w:rPr>
                <w:rFonts w:hint="eastAsia" w:ascii="宋体" w:hAnsi="宋体" w:eastAsia="宋体" w:cs="宋体"/>
                <w:bCs/>
                <w:kern w:val="0"/>
                <w:sz w:val="24"/>
                <w:szCs w:val="24"/>
              </w:rPr>
            </w:pPr>
            <w:r>
              <w:rPr>
                <w:rFonts w:hint="default" w:ascii="宋体" w:hAnsi="宋体" w:eastAsia="宋体" w:cs="宋体"/>
                <w:bCs/>
                <w:kern w:val="0"/>
                <w:sz w:val="24"/>
                <w:szCs w:val="24"/>
                <w:lang w:val="en-US" w:eastAsia="zh-CN"/>
              </w:rPr>
              <w:t xml:space="preserve">4、沿天面敷设 </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75B1498D">
            <w:pPr>
              <w:widowControl/>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58</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4D5AB113">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米</w:t>
            </w:r>
          </w:p>
        </w:tc>
        <w:tc>
          <w:tcPr>
            <w:tcW w:w="1202" w:type="dxa"/>
            <w:tcBorders>
              <w:top w:val="single" w:color="auto" w:sz="4" w:space="0"/>
              <w:left w:val="nil"/>
              <w:bottom w:val="single" w:color="auto" w:sz="4" w:space="0"/>
              <w:right w:val="single" w:color="auto" w:sz="4" w:space="0"/>
            </w:tcBorders>
            <w:shd w:val="clear" w:color="auto" w:fill="auto"/>
            <w:noWrap/>
            <w:vAlign w:val="center"/>
          </w:tcPr>
          <w:p w14:paraId="01D73F45">
            <w:pPr>
              <w:widowControl/>
              <w:jc w:val="center"/>
              <w:rPr>
                <w:rFonts w:hint="eastAsia" w:ascii="宋体" w:hAnsi="宋体" w:eastAsia="宋体" w:cs="宋体"/>
                <w:bCs/>
                <w:kern w:val="0"/>
                <w:sz w:val="24"/>
                <w:szCs w:val="24"/>
              </w:rPr>
            </w:pPr>
          </w:p>
        </w:tc>
        <w:tc>
          <w:tcPr>
            <w:tcW w:w="1284" w:type="dxa"/>
            <w:tcBorders>
              <w:top w:val="single" w:color="auto" w:sz="4" w:space="0"/>
              <w:left w:val="nil"/>
              <w:bottom w:val="single" w:color="auto" w:sz="4" w:space="0"/>
              <w:right w:val="single" w:color="auto" w:sz="4" w:space="0"/>
            </w:tcBorders>
            <w:shd w:val="clear" w:color="auto" w:fill="auto"/>
            <w:noWrap/>
            <w:vAlign w:val="center"/>
          </w:tcPr>
          <w:p w14:paraId="3518A116">
            <w:pPr>
              <w:widowControl/>
              <w:jc w:val="center"/>
              <w:rPr>
                <w:rFonts w:hint="eastAsia" w:ascii="宋体" w:hAnsi="宋体" w:eastAsia="宋体" w:cs="宋体"/>
                <w:bCs/>
                <w:kern w:val="0"/>
                <w:sz w:val="24"/>
                <w:szCs w:val="24"/>
              </w:rPr>
            </w:pPr>
          </w:p>
        </w:tc>
      </w:tr>
      <w:tr w14:paraId="2D746C80">
        <w:tblPrEx>
          <w:tblCellMar>
            <w:top w:w="0" w:type="dxa"/>
            <w:left w:w="108" w:type="dxa"/>
            <w:bottom w:w="0" w:type="dxa"/>
            <w:right w:w="108" w:type="dxa"/>
          </w:tblCellMar>
        </w:tblPrEx>
        <w:trPr>
          <w:trHeight w:val="499"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43CDB">
            <w:pPr>
              <w:widowControl/>
              <w:jc w:val="center"/>
              <w:rPr>
                <w:rFonts w:hint="default" w:ascii="宋体" w:hAnsi="宋体" w:eastAsia="宋体" w:cs="宋体"/>
                <w:b/>
                <w:bCs w:val="0"/>
                <w:kern w:val="0"/>
                <w:sz w:val="24"/>
                <w:szCs w:val="24"/>
                <w:lang w:val="en-US" w:eastAsia="zh-CN"/>
              </w:rPr>
            </w:pPr>
            <w:r>
              <w:rPr>
                <w:rFonts w:hint="eastAsia" w:ascii="宋体" w:hAnsi="宋体" w:eastAsia="宋体" w:cs="宋体"/>
                <w:b/>
                <w:bCs w:val="0"/>
                <w:kern w:val="0"/>
                <w:sz w:val="24"/>
                <w:szCs w:val="24"/>
                <w:lang w:val="en-US" w:eastAsia="zh-CN"/>
              </w:rPr>
              <w:t>九</w:t>
            </w:r>
          </w:p>
        </w:tc>
        <w:tc>
          <w:tcPr>
            <w:tcW w:w="2155" w:type="dxa"/>
            <w:tcBorders>
              <w:top w:val="single" w:color="auto" w:sz="4" w:space="0"/>
              <w:left w:val="nil"/>
              <w:bottom w:val="single" w:color="auto" w:sz="4" w:space="0"/>
              <w:right w:val="single" w:color="auto" w:sz="4" w:space="0"/>
            </w:tcBorders>
            <w:shd w:val="clear" w:color="auto" w:fill="auto"/>
            <w:noWrap/>
            <w:vAlign w:val="center"/>
          </w:tcPr>
          <w:p w14:paraId="4A1CCCD3">
            <w:pPr>
              <w:widowControl/>
              <w:jc w:val="both"/>
              <w:rPr>
                <w:rFonts w:hint="default" w:ascii="宋体" w:hAnsi="宋体" w:eastAsia="宋体" w:cs="宋体"/>
                <w:b/>
                <w:bCs w:val="0"/>
                <w:kern w:val="0"/>
                <w:sz w:val="24"/>
                <w:szCs w:val="24"/>
                <w:lang w:val="en-US" w:eastAsia="zh-CN"/>
              </w:rPr>
            </w:pPr>
            <w:r>
              <w:rPr>
                <w:rFonts w:hint="eastAsia" w:ascii="宋体" w:hAnsi="宋体" w:eastAsia="宋体" w:cs="宋体"/>
                <w:b/>
                <w:bCs w:val="0"/>
                <w:kern w:val="0"/>
                <w:sz w:val="24"/>
                <w:szCs w:val="24"/>
                <w:lang w:val="en-US" w:eastAsia="zh-CN"/>
              </w:rPr>
              <w:t>总计</w:t>
            </w:r>
          </w:p>
        </w:tc>
        <w:tc>
          <w:tcPr>
            <w:tcW w:w="2220" w:type="dxa"/>
            <w:tcBorders>
              <w:top w:val="single" w:color="auto" w:sz="4" w:space="0"/>
              <w:left w:val="nil"/>
              <w:bottom w:val="single" w:color="auto" w:sz="4" w:space="0"/>
              <w:right w:val="single" w:color="auto" w:sz="4" w:space="0"/>
            </w:tcBorders>
            <w:shd w:val="clear" w:color="auto" w:fill="auto"/>
            <w:noWrap/>
            <w:vAlign w:val="center"/>
          </w:tcPr>
          <w:p w14:paraId="18836459">
            <w:pPr>
              <w:widowControl/>
              <w:jc w:val="both"/>
              <w:rPr>
                <w:rFonts w:hint="default" w:ascii="宋体" w:hAnsi="宋体" w:eastAsia="宋体" w:cs="宋体"/>
                <w:b/>
                <w:bCs w:val="0"/>
                <w:kern w:val="0"/>
                <w:sz w:val="24"/>
                <w:szCs w:val="24"/>
                <w:lang w:val="en-US" w:eastAsia="zh-CN"/>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57751700">
            <w:pPr>
              <w:widowControl/>
              <w:jc w:val="center"/>
              <w:rPr>
                <w:rFonts w:hint="eastAsia" w:ascii="宋体" w:hAnsi="宋体" w:eastAsia="宋体" w:cs="宋体"/>
                <w:b/>
                <w:bCs w:val="0"/>
                <w:kern w:val="0"/>
                <w:sz w:val="24"/>
                <w:szCs w:val="24"/>
                <w:lang w:val="en-US" w:eastAsia="zh-CN"/>
              </w:rPr>
            </w:pP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50D6C0E2">
            <w:pPr>
              <w:widowControl/>
              <w:jc w:val="center"/>
              <w:rPr>
                <w:rFonts w:hint="eastAsia" w:ascii="宋体" w:hAnsi="宋体" w:eastAsia="宋体" w:cs="宋体"/>
                <w:b/>
                <w:bCs w:val="0"/>
                <w:kern w:val="0"/>
                <w:sz w:val="24"/>
                <w:szCs w:val="24"/>
              </w:rPr>
            </w:pPr>
          </w:p>
        </w:tc>
        <w:tc>
          <w:tcPr>
            <w:tcW w:w="1202" w:type="dxa"/>
            <w:tcBorders>
              <w:top w:val="single" w:color="auto" w:sz="4" w:space="0"/>
              <w:left w:val="nil"/>
              <w:bottom w:val="single" w:color="auto" w:sz="4" w:space="0"/>
              <w:right w:val="single" w:color="auto" w:sz="4" w:space="0"/>
            </w:tcBorders>
            <w:shd w:val="clear" w:color="auto" w:fill="auto"/>
            <w:noWrap/>
            <w:vAlign w:val="center"/>
          </w:tcPr>
          <w:p w14:paraId="59972A1E">
            <w:pPr>
              <w:widowControl/>
              <w:jc w:val="center"/>
              <w:rPr>
                <w:rFonts w:hint="eastAsia" w:ascii="宋体" w:hAnsi="宋体" w:eastAsia="宋体" w:cs="宋体"/>
                <w:b/>
                <w:bCs w:val="0"/>
                <w:kern w:val="0"/>
                <w:sz w:val="24"/>
                <w:szCs w:val="24"/>
              </w:rPr>
            </w:pPr>
          </w:p>
        </w:tc>
        <w:tc>
          <w:tcPr>
            <w:tcW w:w="1284" w:type="dxa"/>
            <w:tcBorders>
              <w:top w:val="single" w:color="auto" w:sz="4" w:space="0"/>
              <w:left w:val="nil"/>
              <w:bottom w:val="single" w:color="auto" w:sz="4" w:space="0"/>
              <w:right w:val="single" w:color="auto" w:sz="4" w:space="0"/>
            </w:tcBorders>
            <w:shd w:val="clear" w:color="auto" w:fill="auto"/>
            <w:noWrap/>
            <w:vAlign w:val="center"/>
          </w:tcPr>
          <w:p w14:paraId="1807D07A">
            <w:pPr>
              <w:widowControl/>
              <w:jc w:val="center"/>
              <w:rPr>
                <w:rFonts w:hint="eastAsia" w:ascii="宋体" w:hAnsi="宋体" w:eastAsia="宋体" w:cs="宋体"/>
                <w:b/>
                <w:bCs w:val="0"/>
                <w:kern w:val="0"/>
                <w:sz w:val="24"/>
                <w:szCs w:val="24"/>
              </w:rPr>
            </w:pPr>
          </w:p>
        </w:tc>
      </w:tr>
    </w:tbl>
    <w:p w14:paraId="707E9C4A">
      <w:pPr>
        <w:rPr>
          <w:rFonts w:hint="default"/>
          <w:lang w:val="en-US" w:eastAsia="zh-CN"/>
        </w:rPr>
      </w:pPr>
    </w:p>
    <w:p w14:paraId="04C61EC6">
      <w:pPr>
        <w:rPr>
          <w:rFonts w:hint="default"/>
          <w:lang w:val="en-US" w:eastAsia="zh-CN"/>
        </w:rPr>
      </w:pPr>
    </w:p>
    <w:p w14:paraId="2F6162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r>
        <w:rPr>
          <w:rFonts w:hint="eastAsia"/>
          <w:b/>
          <w:bCs/>
          <w:sz w:val="24"/>
          <w:szCs w:val="24"/>
          <w:lang w:val="en-US" w:eastAsia="zh-CN"/>
        </w:rPr>
        <w:t>报价公司：</w:t>
      </w:r>
    </w:p>
    <w:p w14:paraId="3E0506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r>
        <w:rPr>
          <w:rFonts w:hint="eastAsia"/>
          <w:b/>
          <w:bCs/>
          <w:sz w:val="24"/>
          <w:szCs w:val="24"/>
          <w:lang w:val="en-US" w:eastAsia="zh-CN"/>
        </w:rPr>
        <w:t>联系人：</w:t>
      </w:r>
    </w:p>
    <w:p w14:paraId="50E21B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r>
        <w:rPr>
          <w:rFonts w:hint="eastAsia"/>
          <w:b/>
          <w:bCs/>
          <w:sz w:val="24"/>
          <w:szCs w:val="24"/>
          <w:lang w:val="en-US" w:eastAsia="zh-CN"/>
        </w:rPr>
        <w:t>联系电话：</w:t>
      </w:r>
    </w:p>
    <w:p w14:paraId="247FA30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bCs/>
          <w:sz w:val="24"/>
          <w:szCs w:val="24"/>
          <w:lang w:val="en-US" w:eastAsia="zh-CN"/>
        </w:rPr>
      </w:pPr>
      <w:r>
        <w:rPr>
          <w:rFonts w:hint="eastAsia"/>
          <w:b/>
          <w:bCs/>
          <w:sz w:val="24"/>
          <w:szCs w:val="24"/>
          <w:lang w:val="en-US" w:eastAsia="zh-CN"/>
        </w:rPr>
        <w:t>报价日期：</w:t>
      </w:r>
    </w:p>
    <w:p w14:paraId="5A0FBDB5">
      <w:pPr>
        <w:rPr>
          <w:rFonts w:hint="default"/>
          <w:sz w:val="24"/>
          <w:szCs w:val="24"/>
          <w:lang w:val="en-US" w:eastAsia="zh-CN"/>
        </w:rPr>
      </w:pPr>
    </w:p>
    <w:p w14:paraId="2EF82A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r>
        <w:rPr>
          <w:rFonts w:hint="eastAsia"/>
          <w:b/>
          <w:bCs/>
          <w:sz w:val="24"/>
          <w:szCs w:val="24"/>
          <w:lang w:val="en-US" w:eastAsia="zh-CN"/>
        </w:rPr>
        <w:t>备注：</w:t>
      </w:r>
    </w:p>
    <w:p w14:paraId="2AC2339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b w:val="0"/>
          <w:bCs w:val="0"/>
          <w:sz w:val="24"/>
          <w:szCs w:val="24"/>
          <w:lang w:val="en-US" w:eastAsia="zh-CN"/>
        </w:rPr>
      </w:pPr>
      <w:r>
        <w:rPr>
          <w:rFonts w:hint="eastAsia"/>
          <w:b w:val="0"/>
          <w:bCs w:val="0"/>
          <w:sz w:val="24"/>
          <w:szCs w:val="24"/>
          <w:lang w:val="en-US" w:eastAsia="zh-CN"/>
        </w:rPr>
        <w:t>服务要求详见附件《采购需求书》</w:t>
      </w:r>
    </w:p>
    <w:p w14:paraId="32FB647C">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b w:val="0"/>
          <w:bCs w:val="0"/>
          <w:sz w:val="24"/>
          <w:szCs w:val="24"/>
          <w:lang w:val="en-US" w:eastAsia="zh-CN"/>
        </w:rPr>
        <w:t>二、报价表需同时附上公司营业执照、公司资质等相关证件。</w:t>
      </w:r>
      <w:r>
        <w:rPr>
          <w:rFonts w:hint="default"/>
          <w:lang w:val="en-US" w:eastAsia="zh-CN"/>
        </w:rPr>
        <w:br w:type="page"/>
      </w:r>
    </w:p>
    <w:p w14:paraId="42E2A430">
      <w:pPr>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附件：</w:t>
      </w:r>
      <w:r>
        <w:rPr>
          <w:rFonts w:hint="eastAsia" w:ascii="宋体" w:hAnsi="宋体" w:eastAsia="宋体" w:cs="宋体"/>
          <w:b/>
          <w:bCs/>
          <w:color w:val="000000" w:themeColor="text1"/>
          <w:sz w:val="28"/>
          <w:szCs w:val="28"/>
          <w14:textFill>
            <w14:solidFill>
              <w14:schemeClr w14:val="tx1"/>
            </w14:solidFill>
          </w14:textFill>
        </w:rPr>
        <w:t>采购需求</w:t>
      </w:r>
      <w:r>
        <w:rPr>
          <w:rFonts w:hint="eastAsia" w:ascii="宋体" w:hAnsi="宋体" w:eastAsia="宋体" w:cs="宋体"/>
          <w:b/>
          <w:bCs/>
          <w:color w:val="000000" w:themeColor="text1"/>
          <w:sz w:val="28"/>
          <w:szCs w:val="28"/>
          <w:lang w:val="en-US" w:eastAsia="zh-CN"/>
          <w14:textFill>
            <w14:solidFill>
              <w14:schemeClr w14:val="tx1"/>
            </w14:solidFill>
          </w14:textFill>
        </w:rPr>
        <w:t>书</w:t>
      </w:r>
    </w:p>
    <w:p w14:paraId="455B50FC">
      <w:pPr>
        <w:pStyle w:val="5"/>
        <w:numPr>
          <w:ilvl w:val="0"/>
          <w:numId w:val="0"/>
        </w:numPr>
        <w:snapToGrid w:val="0"/>
        <w:spacing w:line="360" w:lineRule="auto"/>
        <w:ind w:left="450" w:leftChars="0" w:hanging="450" w:firstLineChars="0"/>
        <w:rPr>
          <w:rFonts w:hint="eastAsia" w:ascii="宋体" w:hAnsi="宋体" w:cs="Times New Roman"/>
          <w:b w:val="0"/>
          <w:bCs/>
          <w:color w:val="auto"/>
          <w:kern w:val="2"/>
          <w:sz w:val="24"/>
          <w:szCs w:val="24"/>
          <w:lang w:val="en-US" w:eastAsia="zh-CN" w:bidi="ar-SA"/>
        </w:rPr>
      </w:pPr>
    </w:p>
    <w:p w14:paraId="5E16FFEA">
      <w:pPr>
        <w:pStyle w:val="5"/>
        <w:numPr>
          <w:ilvl w:val="0"/>
          <w:numId w:val="0"/>
        </w:numPr>
        <w:snapToGrid w:val="0"/>
        <w:spacing w:line="360" w:lineRule="auto"/>
        <w:ind w:left="450" w:leftChars="0" w:hanging="450" w:firstLineChars="0"/>
        <w:rPr>
          <w:rFonts w:hint="eastAsia" w:ascii="宋体" w:hAnsi="宋体" w:cs="Times New Roman"/>
          <w:b w:val="0"/>
          <w:bCs/>
          <w:color w:val="auto"/>
          <w:kern w:val="2"/>
          <w:sz w:val="24"/>
          <w:szCs w:val="24"/>
          <w:lang w:val="en-US" w:eastAsia="zh-CN" w:bidi="ar-SA"/>
        </w:rPr>
      </w:pPr>
      <w:r>
        <w:rPr>
          <w:rFonts w:hint="eastAsia" w:ascii="宋体" w:hAnsi="宋体" w:cs="Times New Roman"/>
          <w:b w:val="0"/>
          <w:bCs/>
          <w:color w:val="auto"/>
          <w:kern w:val="2"/>
          <w:sz w:val="24"/>
          <w:szCs w:val="24"/>
          <w:lang w:val="en-US" w:eastAsia="zh-CN" w:bidi="ar-SA"/>
        </w:rPr>
        <w:t>一、供应商资质要求</w:t>
      </w:r>
    </w:p>
    <w:p w14:paraId="4335DB2F">
      <w:pPr>
        <w:pStyle w:val="5"/>
        <w:numPr>
          <w:ilvl w:val="0"/>
          <w:numId w:val="0"/>
        </w:numPr>
        <w:spacing w:line="440" w:lineRule="exact"/>
        <w:ind w:firstLine="480" w:firstLineChars="200"/>
        <w:rPr>
          <w:rFonts w:hint="eastAsia" w:ascii="宋体" w:hAnsi="宋体"/>
          <w:b w:val="0"/>
          <w:bCs/>
          <w:color w:val="auto"/>
          <w:sz w:val="24"/>
          <w:szCs w:val="24"/>
        </w:rPr>
      </w:pPr>
      <w:r>
        <w:rPr>
          <w:rFonts w:hint="eastAsia" w:ascii="宋体" w:hAnsi="宋体" w:eastAsiaTheme="minorEastAsia" w:cstheme="minorBidi"/>
          <w:b w:val="0"/>
          <w:bCs/>
          <w:color w:val="auto"/>
          <w:kern w:val="2"/>
          <w:sz w:val="24"/>
          <w:szCs w:val="24"/>
          <w:lang w:val="en-US" w:eastAsia="zh-CN" w:bidi="ar-SA"/>
        </w:rPr>
        <w:t>1、</w:t>
      </w:r>
      <w:r>
        <w:rPr>
          <w:rFonts w:hint="eastAsia" w:ascii="宋体" w:hAnsi="宋体"/>
          <w:b w:val="0"/>
          <w:bCs/>
          <w:color w:val="auto"/>
          <w:sz w:val="24"/>
          <w:szCs w:val="24"/>
          <w:highlight w:val="none"/>
          <w:lang w:val="en-US" w:eastAsia="zh-CN"/>
        </w:rPr>
        <w:t>响应</w:t>
      </w:r>
      <w:r>
        <w:rPr>
          <w:rFonts w:hint="eastAsia" w:ascii="宋体" w:hAnsi="宋体" w:cs="宋体"/>
          <w:b w:val="0"/>
          <w:bCs/>
          <w:color w:val="auto"/>
          <w:sz w:val="24"/>
          <w:szCs w:val="24"/>
          <w:highlight w:val="none"/>
        </w:rPr>
        <w:t>供应商具有独立承担民事责任能力的在中华人民共和国境内注册的法人或其他组织营业执照</w:t>
      </w:r>
      <w:r>
        <w:rPr>
          <w:rFonts w:hint="eastAsia" w:ascii="宋体" w:hAnsi="宋体" w:cs="宋体"/>
          <w:b w:val="0"/>
          <w:bCs/>
          <w:color w:val="auto"/>
          <w:sz w:val="24"/>
          <w:szCs w:val="24"/>
          <w:highlight w:val="none"/>
          <w:lang w:eastAsia="zh-CN"/>
        </w:rPr>
        <w:t>，</w:t>
      </w:r>
      <w:r>
        <w:rPr>
          <w:rFonts w:hint="eastAsia" w:ascii="宋体" w:hAnsi="宋体"/>
          <w:b w:val="0"/>
          <w:bCs/>
          <w:color w:val="auto"/>
          <w:sz w:val="24"/>
          <w:szCs w:val="24"/>
        </w:rPr>
        <w:t>营业执照经营范围须包含防雷系统、电气设备安装或机电安装工程。</w:t>
      </w:r>
    </w:p>
    <w:p w14:paraId="6D53E555">
      <w:pPr>
        <w:pStyle w:val="6"/>
        <w:adjustRightInd w:val="0"/>
        <w:snapToGrid w:val="0"/>
        <w:spacing w:line="360" w:lineRule="auto"/>
        <w:ind w:firstLine="480" w:firstLineChars="200"/>
        <w:rPr>
          <w:rFonts w:hint="eastAsia" w:ascii="宋体" w:hAnsi="宋体" w:eastAsiaTheme="minorEastAsia"/>
          <w:b w:val="0"/>
          <w:bCs/>
          <w:color w:val="auto"/>
          <w:sz w:val="24"/>
          <w:szCs w:val="24"/>
          <w:lang w:val="en-US" w:eastAsia="zh-CN"/>
        </w:rPr>
      </w:pPr>
      <w:r>
        <w:rPr>
          <w:rFonts w:hint="eastAsia" w:ascii="宋体" w:hAnsi="宋体" w:eastAsiaTheme="minorEastAsia" w:cstheme="minorBidi"/>
          <w:b w:val="0"/>
          <w:bCs/>
          <w:color w:val="auto"/>
          <w:sz w:val="24"/>
          <w:szCs w:val="24"/>
          <w:lang w:val="en-US" w:eastAsia="zh-CN"/>
        </w:rPr>
        <w:t>2、</w:t>
      </w:r>
      <w:r>
        <w:rPr>
          <w:rFonts w:hint="eastAsia" w:ascii="宋体" w:hAnsi="宋体" w:eastAsiaTheme="minorEastAsia" w:cstheme="minorBidi"/>
          <w:b w:val="0"/>
          <w:bCs/>
          <w:color w:val="auto"/>
          <w:sz w:val="24"/>
          <w:szCs w:val="24"/>
        </w:rPr>
        <w:t>正在为中山市小榄人民医院提供</w:t>
      </w:r>
      <w:r>
        <w:rPr>
          <w:rFonts w:hint="eastAsia" w:ascii="宋体" w:hAnsi="宋体" w:eastAsiaTheme="minorEastAsia" w:cstheme="minorBidi"/>
          <w:b w:val="0"/>
          <w:bCs/>
          <w:color w:val="auto"/>
          <w:sz w:val="24"/>
          <w:szCs w:val="24"/>
          <w:lang w:val="en-US" w:eastAsia="zh-CN"/>
        </w:rPr>
        <w:t>防雷装置检测</w:t>
      </w:r>
      <w:r>
        <w:rPr>
          <w:rFonts w:hint="eastAsia" w:ascii="宋体" w:hAnsi="宋体" w:eastAsiaTheme="minorEastAsia" w:cstheme="minorBidi"/>
          <w:b w:val="0"/>
          <w:bCs/>
          <w:color w:val="auto"/>
          <w:sz w:val="24"/>
          <w:szCs w:val="24"/>
        </w:rPr>
        <w:t>服务的公司不得参与。</w:t>
      </w:r>
    </w:p>
    <w:p w14:paraId="777BFA74">
      <w:pPr>
        <w:pStyle w:val="5"/>
        <w:numPr>
          <w:ilvl w:val="0"/>
          <w:numId w:val="0"/>
        </w:numPr>
        <w:snapToGrid w:val="0"/>
        <w:spacing w:line="360" w:lineRule="auto"/>
        <w:rPr>
          <w:rFonts w:ascii="宋体" w:hAnsi="宋体"/>
          <w:b w:val="0"/>
          <w:bCs/>
          <w:color w:val="auto"/>
          <w:sz w:val="24"/>
          <w:szCs w:val="24"/>
        </w:rPr>
      </w:pPr>
      <w:r>
        <w:rPr>
          <w:rFonts w:hint="eastAsia" w:ascii="宋体" w:hAnsi="宋体" w:cs="Times New Roman"/>
          <w:b w:val="0"/>
          <w:bCs/>
          <w:color w:val="auto"/>
          <w:kern w:val="2"/>
          <w:sz w:val="24"/>
          <w:szCs w:val="24"/>
          <w:lang w:val="en-US" w:eastAsia="zh-CN" w:bidi="ar-SA"/>
        </w:rPr>
        <w:t>二</w:t>
      </w:r>
      <w:r>
        <w:rPr>
          <w:rFonts w:hint="default" w:ascii="宋体" w:hAnsi="宋体" w:eastAsia="宋体" w:cs="Times New Roman"/>
          <w:b w:val="0"/>
          <w:bCs/>
          <w:color w:val="auto"/>
          <w:kern w:val="2"/>
          <w:sz w:val="24"/>
          <w:szCs w:val="24"/>
          <w:lang w:val="en-US" w:eastAsia="zh-CN" w:bidi="ar-SA"/>
        </w:rPr>
        <w:t>、</w:t>
      </w:r>
      <w:r>
        <w:rPr>
          <w:rFonts w:hint="eastAsia" w:ascii="宋体" w:hAnsi="宋体"/>
          <w:b w:val="0"/>
          <w:bCs/>
          <w:color w:val="auto"/>
          <w:sz w:val="24"/>
          <w:szCs w:val="24"/>
        </w:rPr>
        <w:t>服务时间</w:t>
      </w:r>
      <w:bookmarkStart w:id="0" w:name="_GoBack"/>
      <w:bookmarkEnd w:id="0"/>
    </w:p>
    <w:p w14:paraId="60CD3B4D">
      <w:pPr>
        <w:snapToGrid w:val="0"/>
        <w:spacing w:line="360" w:lineRule="auto"/>
        <w:ind w:firstLine="480" w:firstLineChars="200"/>
        <w:rPr>
          <w:rFonts w:hint="eastAsia" w:ascii="宋体" w:hAnsi="宋体" w:eastAsia="宋体" w:cs="Times New Roman"/>
          <w:b w:val="0"/>
          <w:bCs/>
          <w:color w:val="auto"/>
          <w:sz w:val="24"/>
          <w:szCs w:val="24"/>
        </w:rPr>
      </w:pPr>
      <w:r>
        <w:rPr>
          <w:rFonts w:hint="eastAsia" w:ascii="宋体" w:hAnsi="宋体"/>
          <w:b w:val="0"/>
          <w:bCs/>
          <w:color w:val="auto"/>
          <w:sz w:val="24"/>
          <w:szCs w:val="24"/>
        </w:rPr>
        <w:t>成交供应商必</w:t>
      </w:r>
      <w:r>
        <w:rPr>
          <w:rFonts w:hint="eastAsia" w:ascii="宋体" w:hAnsi="宋体" w:eastAsia="宋体" w:cs="Times New Roman"/>
          <w:b w:val="0"/>
          <w:bCs/>
          <w:color w:val="auto"/>
          <w:sz w:val="24"/>
          <w:szCs w:val="24"/>
        </w:rPr>
        <w:t>须在合同签订之日起</w:t>
      </w:r>
      <w:r>
        <w:rPr>
          <w:rFonts w:hint="eastAsia" w:ascii="宋体" w:hAnsi="宋体" w:eastAsia="宋体"/>
          <w:b w:val="0"/>
          <w:bCs/>
          <w:color w:val="auto"/>
          <w:sz w:val="24"/>
          <w:szCs w:val="24"/>
          <w:u w:val="single"/>
          <w:lang w:val="en-US" w:eastAsia="zh-CN"/>
        </w:rPr>
        <w:t>15</w:t>
      </w:r>
      <w:r>
        <w:rPr>
          <w:rFonts w:hint="eastAsia" w:ascii="宋体" w:hAnsi="宋体"/>
          <w:b w:val="0"/>
          <w:bCs/>
          <w:color w:val="auto"/>
          <w:sz w:val="24"/>
          <w:szCs w:val="24"/>
        </w:rPr>
        <w:t>个日历天内</w:t>
      </w:r>
      <w:r>
        <w:rPr>
          <w:rFonts w:hint="eastAsia" w:ascii="宋体" w:hAnsi="宋体" w:eastAsia="宋体" w:cs="Times New Roman"/>
          <w:b w:val="0"/>
          <w:bCs/>
          <w:color w:val="auto"/>
          <w:sz w:val="24"/>
          <w:szCs w:val="24"/>
        </w:rPr>
        <w:t>完成</w:t>
      </w:r>
      <w:r>
        <w:rPr>
          <w:rFonts w:hint="eastAsia" w:ascii="宋体" w:hAnsi="宋体" w:eastAsia="宋体"/>
          <w:b w:val="0"/>
          <w:bCs/>
          <w:color w:val="auto"/>
          <w:sz w:val="24"/>
          <w:szCs w:val="24"/>
          <w:lang w:val="en-US" w:eastAsia="zh-CN"/>
        </w:rPr>
        <w:t>服务</w:t>
      </w:r>
      <w:r>
        <w:rPr>
          <w:rFonts w:hint="eastAsia" w:ascii="宋体" w:hAnsi="宋体"/>
          <w:b w:val="0"/>
          <w:bCs/>
          <w:color w:val="auto"/>
          <w:sz w:val="24"/>
          <w:szCs w:val="24"/>
          <w:lang w:val="en-US" w:eastAsia="zh-CN"/>
        </w:rPr>
        <w:t>工作，</w:t>
      </w:r>
      <w:r>
        <w:rPr>
          <w:rFonts w:hint="eastAsia" w:ascii="宋体" w:hAnsi="宋体"/>
          <w:b w:val="0"/>
          <w:bCs/>
          <w:color w:val="auto"/>
          <w:sz w:val="24"/>
          <w:szCs w:val="24"/>
        </w:rPr>
        <w:t>不得无故拖延，否则，采购人有权另请第三方进行</w:t>
      </w:r>
      <w:r>
        <w:rPr>
          <w:rFonts w:hint="eastAsia" w:ascii="宋体" w:hAnsi="宋体"/>
          <w:b w:val="0"/>
          <w:bCs/>
          <w:color w:val="auto"/>
          <w:sz w:val="24"/>
          <w:szCs w:val="24"/>
          <w:lang w:val="en-US" w:eastAsia="zh-CN"/>
        </w:rPr>
        <w:t>服务</w:t>
      </w:r>
      <w:r>
        <w:rPr>
          <w:rFonts w:hint="eastAsia" w:ascii="宋体" w:hAnsi="宋体"/>
          <w:b w:val="0"/>
          <w:bCs/>
          <w:color w:val="auto"/>
          <w:sz w:val="24"/>
          <w:szCs w:val="24"/>
        </w:rPr>
        <w:t>，所产生的费用及一切经济损失由供应商</w:t>
      </w:r>
      <w:r>
        <w:rPr>
          <w:rFonts w:hint="eastAsia" w:ascii="宋体" w:hAnsi="宋体" w:eastAsia="宋体" w:cs="Times New Roman"/>
          <w:b w:val="0"/>
          <w:bCs/>
          <w:color w:val="auto"/>
          <w:sz w:val="24"/>
          <w:szCs w:val="24"/>
        </w:rPr>
        <w:t>承担。</w:t>
      </w:r>
    </w:p>
    <w:p w14:paraId="2018DC4C">
      <w:pPr>
        <w:pStyle w:val="5"/>
        <w:numPr>
          <w:ilvl w:val="0"/>
          <w:numId w:val="0"/>
        </w:numPr>
        <w:snapToGrid w:val="0"/>
        <w:spacing w:line="360" w:lineRule="auto"/>
        <w:rPr>
          <w:rFonts w:hint="eastAsia" w:ascii="宋体" w:hAnsi="宋体" w:eastAsia="宋体" w:cs="Times New Roman"/>
          <w:b w:val="0"/>
          <w:bCs/>
          <w:color w:val="auto"/>
          <w:sz w:val="24"/>
          <w:szCs w:val="24"/>
          <w:lang w:val="en-US" w:eastAsia="zh-CN"/>
        </w:rPr>
      </w:pPr>
      <w:r>
        <w:rPr>
          <w:rFonts w:hint="eastAsia" w:ascii="宋体" w:hAnsi="宋体" w:eastAsia="宋体" w:cs="Times New Roman"/>
          <w:b w:val="0"/>
          <w:bCs/>
          <w:color w:val="auto"/>
          <w:kern w:val="2"/>
          <w:sz w:val="24"/>
          <w:szCs w:val="24"/>
          <w:lang w:val="en-US" w:eastAsia="zh-CN" w:bidi="ar-SA"/>
        </w:rPr>
        <w:t>三</w:t>
      </w:r>
      <w:r>
        <w:rPr>
          <w:rFonts w:hint="default" w:ascii="宋体" w:hAnsi="宋体" w:eastAsia="宋体" w:cs="Times New Roman"/>
          <w:b w:val="0"/>
          <w:bCs/>
          <w:color w:val="auto"/>
          <w:kern w:val="2"/>
          <w:sz w:val="24"/>
          <w:szCs w:val="24"/>
          <w:lang w:val="en-US" w:eastAsia="zh-CN" w:bidi="ar-SA"/>
        </w:rPr>
        <w:t>、</w:t>
      </w:r>
      <w:r>
        <w:rPr>
          <w:rFonts w:hint="eastAsia" w:ascii="宋体" w:hAnsi="宋体"/>
          <w:b w:val="0"/>
          <w:bCs/>
          <w:color w:val="auto"/>
          <w:sz w:val="24"/>
          <w:szCs w:val="24"/>
        </w:rPr>
        <w:t>服务</w:t>
      </w:r>
      <w:r>
        <w:rPr>
          <w:rFonts w:hint="eastAsia" w:ascii="宋体" w:hAnsi="宋体"/>
          <w:b w:val="0"/>
          <w:bCs/>
          <w:color w:val="auto"/>
          <w:sz w:val="24"/>
          <w:szCs w:val="24"/>
          <w:lang w:val="en-US" w:eastAsia="zh-CN"/>
        </w:rPr>
        <w:t>要求</w:t>
      </w:r>
    </w:p>
    <w:p w14:paraId="4E025F5A">
      <w:pPr>
        <w:numPr>
          <w:ilvl w:val="8"/>
          <w:numId w:val="0"/>
        </w:numPr>
        <w:snapToGrid w:val="0"/>
        <w:spacing w:line="460" w:lineRule="exact"/>
        <w:ind w:firstLine="240" w:firstLineChars="100"/>
        <w:rPr>
          <w:rFonts w:ascii="宋体"/>
          <w:b w:val="0"/>
          <w:bCs/>
          <w:color w:val="auto"/>
          <w:sz w:val="24"/>
          <w:szCs w:val="24"/>
        </w:rPr>
      </w:pPr>
      <w:r>
        <w:rPr>
          <w:rFonts w:hint="eastAsia" w:ascii="宋体"/>
          <w:b w:val="0"/>
          <w:bCs/>
          <w:color w:val="auto"/>
          <w:sz w:val="24"/>
          <w:szCs w:val="24"/>
        </w:rPr>
        <w:t>★</w:t>
      </w:r>
      <w:r>
        <w:rPr>
          <w:rFonts w:hint="eastAsia" w:ascii="宋体" w:cstheme="minorBidi"/>
          <w:b w:val="0"/>
          <w:bCs/>
          <w:color w:val="auto"/>
          <w:kern w:val="2"/>
          <w:sz w:val="24"/>
          <w:szCs w:val="24"/>
          <w:lang w:val="en-US" w:eastAsia="zh-CN" w:bidi="ar-SA"/>
        </w:rPr>
        <w:t>1、</w:t>
      </w:r>
      <w:r>
        <w:rPr>
          <w:rFonts w:hint="eastAsia" w:ascii="宋体"/>
          <w:b w:val="0"/>
          <w:bCs/>
          <w:color w:val="auto"/>
          <w:sz w:val="24"/>
          <w:szCs w:val="24"/>
        </w:rPr>
        <w:t>成交供应商必须按采购人要求对照以上项目清单对每一个项目进行</w:t>
      </w:r>
      <w:r>
        <w:rPr>
          <w:rFonts w:hint="eastAsia" w:ascii="宋体"/>
          <w:b w:val="0"/>
          <w:bCs/>
          <w:color w:val="auto"/>
          <w:sz w:val="24"/>
          <w:szCs w:val="24"/>
          <w:lang w:val="en-US" w:eastAsia="zh-CN"/>
        </w:rPr>
        <w:t>整改</w:t>
      </w:r>
      <w:r>
        <w:rPr>
          <w:rFonts w:hint="eastAsia" w:ascii="宋体"/>
          <w:b w:val="0"/>
          <w:bCs/>
          <w:color w:val="auto"/>
          <w:sz w:val="24"/>
          <w:szCs w:val="24"/>
        </w:rPr>
        <w:t>，一旦发现遗漏、弄虚作假的情况，所导致的一切后果及责任由成交供应商自行承担。</w:t>
      </w:r>
    </w:p>
    <w:p w14:paraId="408C6E80">
      <w:pPr>
        <w:numPr>
          <w:ilvl w:val="8"/>
          <w:numId w:val="0"/>
        </w:numPr>
        <w:snapToGrid w:val="0"/>
        <w:spacing w:line="460" w:lineRule="exact"/>
        <w:ind w:firstLine="480" w:firstLineChars="200"/>
        <w:rPr>
          <w:rFonts w:ascii="宋体"/>
          <w:b w:val="0"/>
          <w:bCs/>
          <w:color w:val="auto"/>
          <w:sz w:val="24"/>
          <w:szCs w:val="24"/>
        </w:rPr>
      </w:pPr>
      <w:r>
        <w:rPr>
          <w:rFonts w:hint="eastAsia" w:ascii="宋体"/>
          <w:b w:val="0"/>
          <w:bCs/>
          <w:color w:val="auto"/>
          <w:sz w:val="24"/>
          <w:szCs w:val="24"/>
          <w:lang w:val="en-US" w:eastAsia="zh-CN"/>
        </w:rPr>
        <w:t>2、</w:t>
      </w:r>
      <w:r>
        <w:rPr>
          <w:rFonts w:hint="eastAsia" w:ascii="宋体"/>
          <w:b w:val="0"/>
          <w:bCs/>
          <w:color w:val="auto"/>
          <w:sz w:val="24"/>
          <w:szCs w:val="24"/>
        </w:rPr>
        <w:t>成交供应商在开展</w:t>
      </w:r>
      <w:r>
        <w:rPr>
          <w:rFonts w:hint="eastAsia" w:ascii="宋体"/>
          <w:b w:val="0"/>
          <w:bCs/>
          <w:color w:val="auto"/>
          <w:sz w:val="24"/>
          <w:szCs w:val="24"/>
          <w:lang w:val="en-US" w:eastAsia="zh-CN"/>
        </w:rPr>
        <w:t>服务</w:t>
      </w:r>
      <w:r>
        <w:rPr>
          <w:rFonts w:hint="eastAsia" w:ascii="宋体"/>
          <w:b w:val="0"/>
          <w:bCs/>
          <w:color w:val="auto"/>
          <w:sz w:val="24"/>
          <w:szCs w:val="24"/>
        </w:rPr>
        <w:t>工作时，必须配备专职安全员，建立健全安全制度，项目负责人必须到现场巡查和监管，做好工作人员的安全措施，确保现场、员工和第三者的安全。</w:t>
      </w:r>
    </w:p>
    <w:p w14:paraId="36004823">
      <w:pPr>
        <w:numPr>
          <w:ilvl w:val="8"/>
          <w:numId w:val="0"/>
        </w:numPr>
        <w:snapToGrid w:val="0"/>
        <w:spacing w:line="460" w:lineRule="exact"/>
        <w:ind w:firstLine="240" w:firstLineChars="100"/>
        <w:rPr>
          <w:rFonts w:ascii="宋体"/>
          <w:b w:val="0"/>
          <w:bCs/>
          <w:color w:val="auto"/>
          <w:sz w:val="24"/>
          <w:szCs w:val="24"/>
        </w:rPr>
      </w:pPr>
      <w:r>
        <w:rPr>
          <w:rFonts w:hint="eastAsia" w:ascii="宋体"/>
          <w:b w:val="0"/>
          <w:bCs/>
          <w:color w:val="auto"/>
          <w:sz w:val="24"/>
          <w:szCs w:val="24"/>
        </w:rPr>
        <w:t>★</w:t>
      </w:r>
      <w:r>
        <w:rPr>
          <w:rFonts w:hint="eastAsia" w:ascii="宋体"/>
          <w:b w:val="0"/>
          <w:bCs/>
          <w:color w:val="auto"/>
          <w:sz w:val="24"/>
          <w:szCs w:val="24"/>
          <w:lang w:val="en-US" w:eastAsia="zh-CN"/>
        </w:rPr>
        <w:t>3、</w:t>
      </w:r>
      <w:r>
        <w:rPr>
          <w:rFonts w:hint="eastAsia" w:ascii="宋体"/>
          <w:b w:val="0"/>
          <w:bCs/>
          <w:color w:val="auto"/>
          <w:sz w:val="24"/>
          <w:szCs w:val="24"/>
        </w:rPr>
        <w:t>成交供应商应为所派工作人员办理医疗及工伤社会保险，并根据需要为从事高度危险工作的人员配置安全设施及购买人身意外伤害保险。成交供应商及其人员在开展工作过程中发生的所有意外和责任均由成交供应商负责。</w:t>
      </w:r>
    </w:p>
    <w:p w14:paraId="0652C371">
      <w:pPr>
        <w:pStyle w:val="5"/>
        <w:numPr>
          <w:ilvl w:val="0"/>
          <w:numId w:val="0"/>
        </w:numPr>
        <w:spacing w:line="440" w:lineRule="exact"/>
        <w:ind w:firstLine="480" w:firstLineChars="200"/>
        <w:rPr>
          <w:rFonts w:hint="eastAsia" w:ascii="宋体" w:hAnsi="宋体" w:cs="Times New Roman"/>
          <w:b w:val="0"/>
          <w:bCs/>
          <w:color w:val="auto"/>
          <w:kern w:val="2"/>
          <w:sz w:val="24"/>
          <w:szCs w:val="24"/>
          <w:lang w:val="en-US" w:eastAsia="zh-CN" w:bidi="ar-SA"/>
        </w:rPr>
      </w:pPr>
      <w:r>
        <w:rPr>
          <w:rFonts w:hint="eastAsia" w:ascii="宋体" w:cstheme="minorBidi"/>
          <w:b w:val="0"/>
          <w:bCs/>
          <w:color w:val="auto"/>
          <w:kern w:val="2"/>
          <w:sz w:val="24"/>
          <w:szCs w:val="24"/>
          <w:lang w:val="en-US" w:eastAsia="zh-CN" w:bidi="ar-SA"/>
        </w:rPr>
        <w:t>4、</w:t>
      </w:r>
      <w:r>
        <w:rPr>
          <w:rFonts w:hint="eastAsia" w:ascii="宋体"/>
          <w:b w:val="0"/>
          <w:bCs/>
          <w:color w:val="auto"/>
          <w:sz w:val="24"/>
          <w:szCs w:val="24"/>
        </w:rPr>
        <w:t>本项目涉及的保密数据和资料包括地形图资料、作业过程资料和采购人在项目过程中确认的需要保密的其他信息及资料，仅限于成交供应商在本项目在合同期内部使用，只能用于本项目，不得用于其它用途，不得向第三方提供。因成交供应商原因造成泄密事故的，由成交供应商承担所有责任。</w:t>
      </w:r>
    </w:p>
    <w:p w14:paraId="085C6464">
      <w:pPr>
        <w:pStyle w:val="5"/>
        <w:numPr>
          <w:ilvl w:val="0"/>
          <w:numId w:val="0"/>
        </w:numPr>
        <w:spacing w:line="440" w:lineRule="exact"/>
        <w:rPr>
          <w:rFonts w:hint="eastAsia" w:ascii="宋体" w:hAnsi="宋体" w:cs="Times New Roman"/>
          <w:b w:val="0"/>
          <w:bCs/>
          <w:color w:val="auto"/>
          <w:kern w:val="2"/>
          <w:sz w:val="24"/>
          <w:szCs w:val="24"/>
          <w:lang w:val="en-US" w:eastAsia="zh-CN" w:bidi="ar-SA"/>
        </w:rPr>
      </w:pPr>
      <w:r>
        <w:rPr>
          <w:rFonts w:hint="eastAsia" w:ascii="宋体" w:hAnsi="宋体" w:cs="Times New Roman"/>
          <w:b w:val="0"/>
          <w:bCs/>
          <w:color w:val="auto"/>
          <w:kern w:val="2"/>
          <w:sz w:val="24"/>
          <w:szCs w:val="24"/>
          <w:lang w:val="en-US" w:eastAsia="zh-CN" w:bidi="ar-SA"/>
        </w:rPr>
        <w:t>四</w:t>
      </w:r>
      <w:r>
        <w:rPr>
          <w:rFonts w:hint="eastAsia" w:ascii="宋体" w:hAnsi="宋体" w:cs="Times New Roman" w:eastAsiaTheme="minorEastAsia"/>
          <w:b w:val="0"/>
          <w:bCs/>
          <w:color w:val="auto"/>
          <w:kern w:val="2"/>
          <w:sz w:val="24"/>
          <w:szCs w:val="24"/>
          <w:lang w:val="en-US" w:eastAsia="zh-CN" w:bidi="ar-SA"/>
        </w:rPr>
        <w:t>、</w:t>
      </w:r>
      <w:r>
        <w:rPr>
          <w:rFonts w:hint="eastAsia" w:ascii="宋体" w:hAnsi="宋体" w:cs="Times New Roman"/>
          <w:b w:val="0"/>
          <w:bCs/>
          <w:color w:val="auto"/>
          <w:kern w:val="2"/>
          <w:sz w:val="24"/>
          <w:szCs w:val="24"/>
          <w:lang w:val="en-US" w:eastAsia="zh-CN" w:bidi="ar-SA"/>
        </w:rPr>
        <w:t>质保期：</w:t>
      </w:r>
    </w:p>
    <w:p w14:paraId="46BD9173">
      <w:pPr>
        <w:pStyle w:val="5"/>
        <w:numPr>
          <w:ilvl w:val="0"/>
          <w:numId w:val="0"/>
        </w:numPr>
        <w:spacing w:line="440" w:lineRule="exact"/>
        <w:ind w:leftChars="200"/>
        <w:rPr>
          <w:rFonts w:hint="eastAsia" w:ascii="宋体" w:hAnsi="宋体" w:eastAsiaTheme="minorEastAsia" w:cstheme="minorBidi"/>
          <w:b w:val="0"/>
          <w:bCs/>
          <w:color w:val="auto"/>
          <w:kern w:val="2"/>
          <w:sz w:val="24"/>
          <w:szCs w:val="24"/>
          <w:lang w:val="en-US" w:eastAsia="zh-CN" w:bidi="ar-SA"/>
        </w:rPr>
      </w:pPr>
      <w:r>
        <w:rPr>
          <w:rFonts w:hint="eastAsia" w:ascii="宋体" w:hAnsi="宋体" w:eastAsiaTheme="minorEastAsia" w:cstheme="minorBidi"/>
          <w:b w:val="0"/>
          <w:bCs/>
          <w:color w:val="auto"/>
          <w:kern w:val="2"/>
          <w:sz w:val="24"/>
          <w:szCs w:val="24"/>
          <w:lang w:val="en-US" w:eastAsia="zh-CN" w:bidi="ar-SA"/>
        </w:rPr>
        <w:t>1、质保期为项目验收合格之日起</w:t>
      </w:r>
      <w:r>
        <w:rPr>
          <w:rFonts w:hint="eastAsia" w:ascii="宋体" w:hAnsi="宋体" w:cstheme="minorBidi"/>
          <w:b w:val="0"/>
          <w:bCs/>
          <w:color w:val="auto"/>
          <w:kern w:val="2"/>
          <w:sz w:val="24"/>
          <w:szCs w:val="24"/>
          <w:u w:val="single"/>
          <w:lang w:val="en-US" w:eastAsia="zh-CN" w:bidi="ar-SA"/>
        </w:rPr>
        <w:t>1</w:t>
      </w:r>
      <w:r>
        <w:rPr>
          <w:rFonts w:hint="eastAsia" w:ascii="宋体" w:hAnsi="宋体" w:eastAsiaTheme="minorEastAsia" w:cstheme="minorBidi"/>
          <w:b w:val="0"/>
          <w:bCs/>
          <w:color w:val="auto"/>
          <w:kern w:val="2"/>
          <w:sz w:val="24"/>
          <w:szCs w:val="24"/>
          <w:lang w:val="en-US" w:eastAsia="zh-CN" w:bidi="ar-SA"/>
        </w:rPr>
        <w:t>年。</w:t>
      </w:r>
    </w:p>
    <w:p w14:paraId="473F339E">
      <w:pPr>
        <w:numPr>
          <w:ilvl w:val="0"/>
          <w:numId w:val="0"/>
        </w:numPr>
        <w:snapToGrid w:val="0"/>
        <w:spacing w:line="460" w:lineRule="exact"/>
        <w:ind w:firstLine="480" w:firstLineChars="200"/>
        <w:rPr>
          <w:rFonts w:hint="default" w:ascii="宋体" w:hAnsi="宋体"/>
          <w:b w:val="0"/>
          <w:bCs/>
          <w:color w:val="auto"/>
          <w:sz w:val="24"/>
          <w:szCs w:val="24"/>
          <w:highlight w:val="none"/>
          <w:lang w:val="en-US"/>
        </w:rPr>
      </w:pPr>
      <w:r>
        <w:rPr>
          <w:rFonts w:hint="eastAsia" w:ascii="宋体" w:hAnsi="宋体" w:cstheme="minorBidi"/>
          <w:b w:val="0"/>
          <w:bCs/>
          <w:color w:val="auto"/>
          <w:kern w:val="2"/>
          <w:sz w:val="24"/>
          <w:szCs w:val="24"/>
          <w:lang w:val="en-US" w:eastAsia="zh-CN" w:bidi="ar-SA"/>
        </w:rPr>
        <w:t>2、</w:t>
      </w:r>
      <w:r>
        <w:rPr>
          <w:rFonts w:hint="eastAsia" w:ascii="宋体"/>
          <w:b w:val="0"/>
          <w:bCs/>
          <w:color w:val="auto"/>
          <w:sz w:val="24"/>
          <w:szCs w:val="24"/>
          <w:highlight w:val="none"/>
        </w:rPr>
        <w:t>如按要求</w:t>
      </w:r>
      <w:r>
        <w:rPr>
          <w:rFonts w:hint="eastAsia" w:ascii="宋体" w:hAnsi="宋体"/>
          <w:b w:val="0"/>
          <w:bCs/>
          <w:color w:val="auto"/>
          <w:sz w:val="24"/>
          <w:szCs w:val="24"/>
          <w:highlight w:val="none"/>
        </w:rPr>
        <w:t>完成对</w:t>
      </w:r>
      <w:r>
        <w:rPr>
          <w:rFonts w:hint="eastAsia" w:ascii="宋体" w:hAnsi="宋体"/>
          <w:b w:val="0"/>
          <w:bCs/>
          <w:color w:val="auto"/>
          <w:sz w:val="24"/>
          <w:szCs w:val="24"/>
          <w:highlight w:val="none"/>
          <w:lang w:val="en-US" w:eastAsia="zh-CN"/>
        </w:rPr>
        <w:t>采购人</w:t>
      </w:r>
      <w:r>
        <w:rPr>
          <w:rFonts w:hint="eastAsia" w:ascii="宋体" w:hAnsi="宋体"/>
          <w:b w:val="0"/>
          <w:bCs/>
          <w:color w:val="auto"/>
          <w:sz w:val="24"/>
          <w:szCs w:val="24"/>
          <w:highlight w:val="none"/>
        </w:rPr>
        <w:t>范围内的</w:t>
      </w:r>
      <w:r>
        <w:rPr>
          <w:rFonts w:hint="eastAsia" w:ascii="宋体" w:hAnsi="宋体"/>
          <w:b w:val="0"/>
          <w:bCs/>
          <w:color w:val="auto"/>
          <w:sz w:val="24"/>
          <w:szCs w:val="24"/>
          <w:highlight w:val="none"/>
          <w:lang w:val="en-US" w:eastAsia="zh-CN"/>
        </w:rPr>
        <w:t>防雷装置整改</w:t>
      </w:r>
      <w:r>
        <w:rPr>
          <w:rFonts w:hint="eastAsia" w:ascii="宋体" w:hAnsi="宋体"/>
          <w:b w:val="0"/>
          <w:bCs/>
          <w:color w:val="auto"/>
          <w:sz w:val="24"/>
          <w:szCs w:val="24"/>
          <w:highlight w:val="none"/>
        </w:rPr>
        <w:t>后，</w:t>
      </w:r>
      <w:r>
        <w:rPr>
          <w:rFonts w:hint="eastAsia" w:ascii="宋体" w:hAnsi="宋体"/>
          <w:b w:val="0"/>
          <w:bCs/>
          <w:color w:val="auto"/>
          <w:sz w:val="24"/>
          <w:szCs w:val="24"/>
          <w:highlight w:val="none"/>
          <w:lang w:val="en-US" w:eastAsia="zh-CN"/>
        </w:rPr>
        <w:t>经第三方</w:t>
      </w:r>
      <w:r>
        <w:rPr>
          <w:rFonts w:hint="eastAsia" w:ascii="宋体" w:hAnsi="宋体"/>
          <w:b w:val="0"/>
          <w:bCs/>
          <w:color w:val="auto"/>
          <w:sz w:val="24"/>
          <w:szCs w:val="24"/>
          <w:highlight w:val="none"/>
        </w:rPr>
        <w:t>检测的结果为不合格，</w:t>
      </w:r>
      <w:r>
        <w:rPr>
          <w:rFonts w:hint="eastAsia" w:ascii="宋体" w:hAnsi="宋体"/>
          <w:b w:val="0"/>
          <w:bCs/>
          <w:color w:val="auto"/>
          <w:sz w:val="24"/>
          <w:szCs w:val="24"/>
          <w:highlight w:val="none"/>
          <w:lang w:val="en-US" w:eastAsia="zh-CN"/>
        </w:rPr>
        <w:t>成交供应商</w:t>
      </w:r>
      <w:r>
        <w:rPr>
          <w:rFonts w:hint="eastAsia" w:ascii="宋体" w:hAnsi="宋体"/>
          <w:b w:val="0"/>
          <w:bCs/>
          <w:color w:val="auto"/>
          <w:sz w:val="24"/>
          <w:szCs w:val="24"/>
          <w:highlight w:val="none"/>
        </w:rPr>
        <w:t>应</w:t>
      </w:r>
      <w:r>
        <w:rPr>
          <w:rFonts w:hint="eastAsia" w:ascii="宋体" w:hAnsi="宋体"/>
          <w:b w:val="0"/>
          <w:bCs/>
          <w:color w:val="auto"/>
          <w:sz w:val="24"/>
          <w:szCs w:val="24"/>
          <w:highlight w:val="none"/>
          <w:lang w:val="en-US" w:eastAsia="zh-CN"/>
        </w:rPr>
        <w:t>在5个日历天内整改完成后，由成交供应商再次进行整改，直至整改完毕。如超过2次仍未整改合格的，采购人有权单方终止合同。</w:t>
      </w:r>
    </w:p>
    <w:p w14:paraId="4B264034">
      <w:pPr>
        <w:tabs>
          <w:tab w:val="left" w:pos="900"/>
        </w:tabs>
        <w:autoSpaceDE w:val="0"/>
        <w:autoSpaceDN w:val="0"/>
        <w:adjustRightInd w:val="0"/>
        <w:snapToGrid w:val="0"/>
        <w:spacing w:line="360" w:lineRule="auto"/>
        <w:rPr>
          <w:rFonts w:ascii="宋体" w:hAnsi="宋体"/>
          <w:b w:val="0"/>
          <w:bCs/>
          <w:color w:val="auto"/>
          <w:sz w:val="24"/>
          <w:szCs w:val="24"/>
        </w:rPr>
      </w:pPr>
      <w:r>
        <w:rPr>
          <w:rFonts w:hint="eastAsia" w:ascii="宋体" w:hAnsi="宋体"/>
          <w:b w:val="0"/>
          <w:bCs/>
          <w:color w:val="auto"/>
          <w:sz w:val="24"/>
          <w:szCs w:val="24"/>
          <w:lang w:val="en-US" w:eastAsia="zh-CN"/>
        </w:rPr>
        <w:t>五</w:t>
      </w:r>
      <w:r>
        <w:rPr>
          <w:rFonts w:hint="eastAsia" w:ascii="宋体" w:hAnsi="宋体"/>
          <w:b w:val="0"/>
          <w:bCs/>
          <w:color w:val="auto"/>
          <w:sz w:val="24"/>
          <w:szCs w:val="24"/>
        </w:rPr>
        <w:t>、付款方法</w:t>
      </w:r>
    </w:p>
    <w:p w14:paraId="1C6A2314">
      <w:pPr>
        <w:snapToGrid w:val="0"/>
        <w:spacing w:line="360" w:lineRule="auto"/>
        <w:ind w:firstLine="480" w:firstLineChars="200"/>
        <w:rPr>
          <w:rFonts w:hint="eastAsia" w:ascii="宋体" w:hAnsi="宋体"/>
          <w:b w:val="0"/>
          <w:bCs/>
          <w:color w:val="auto"/>
          <w:sz w:val="24"/>
          <w:szCs w:val="24"/>
        </w:rPr>
      </w:pPr>
      <w:r>
        <w:rPr>
          <w:rFonts w:hint="eastAsia" w:ascii="宋体" w:hAnsi="宋体"/>
          <w:b w:val="0"/>
          <w:bCs/>
          <w:color w:val="auto"/>
          <w:sz w:val="24"/>
          <w:szCs w:val="24"/>
          <w:lang w:val="en-US" w:eastAsia="zh-CN"/>
        </w:rPr>
        <w:t>1、</w:t>
      </w:r>
      <w:r>
        <w:rPr>
          <w:rFonts w:hint="eastAsia" w:ascii="宋体" w:hAnsi="宋体"/>
          <w:b w:val="0"/>
          <w:bCs/>
          <w:color w:val="auto"/>
          <w:sz w:val="24"/>
          <w:szCs w:val="24"/>
        </w:rPr>
        <w:t>成交供应商</w:t>
      </w:r>
      <w:r>
        <w:rPr>
          <w:rFonts w:hint="eastAsia" w:ascii="宋体" w:hAnsi="宋体" w:eastAsia="宋体" w:cs="Times New Roman"/>
          <w:b w:val="0"/>
          <w:bCs/>
          <w:color w:val="auto"/>
          <w:sz w:val="24"/>
          <w:szCs w:val="24"/>
        </w:rPr>
        <w:t>完成</w:t>
      </w:r>
      <w:r>
        <w:rPr>
          <w:rFonts w:hint="eastAsia" w:ascii="宋体" w:hAnsi="宋体"/>
          <w:b w:val="0"/>
          <w:bCs/>
          <w:color w:val="auto"/>
          <w:sz w:val="24"/>
          <w:szCs w:val="24"/>
        </w:rPr>
        <w:t>服务</w:t>
      </w:r>
      <w:r>
        <w:rPr>
          <w:rFonts w:hint="eastAsia" w:ascii="宋体" w:hAnsi="宋体" w:eastAsia="宋体" w:cs="Times New Roman"/>
          <w:b w:val="0"/>
          <w:bCs/>
          <w:color w:val="auto"/>
          <w:sz w:val="24"/>
          <w:szCs w:val="24"/>
        </w:rPr>
        <w:t>工作</w:t>
      </w:r>
      <w:r>
        <w:rPr>
          <w:rFonts w:hint="eastAsia" w:ascii="宋体" w:hAnsi="宋体"/>
          <w:b w:val="0"/>
          <w:bCs/>
          <w:color w:val="auto"/>
          <w:sz w:val="24"/>
          <w:szCs w:val="24"/>
        </w:rPr>
        <w:t>，</w:t>
      </w:r>
      <w:r>
        <w:rPr>
          <w:rFonts w:hint="eastAsia" w:ascii="宋体" w:hAnsi="宋体" w:eastAsia="宋体" w:cs="Times New Roman"/>
          <w:b w:val="0"/>
          <w:bCs/>
          <w:color w:val="auto"/>
          <w:sz w:val="24"/>
          <w:szCs w:val="24"/>
        </w:rPr>
        <w:t>并经</w:t>
      </w:r>
      <w:r>
        <w:rPr>
          <w:rFonts w:hint="eastAsia" w:ascii="宋体" w:hAnsi="宋体"/>
          <w:b w:val="0"/>
          <w:bCs/>
          <w:color w:val="auto"/>
          <w:sz w:val="24"/>
          <w:szCs w:val="24"/>
        </w:rPr>
        <w:t>采购人</w:t>
      </w:r>
      <w:r>
        <w:rPr>
          <w:rFonts w:hint="eastAsia" w:ascii="宋体" w:hAnsi="宋体"/>
          <w:b w:val="0"/>
          <w:bCs/>
          <w:color w:val="auto"/>
          <w:sz w:val="24"/>
          <w:szCs w:val="24"/>
          <w:lang w:val="en-US" w:eastAsia="zh-CN"/>
        </w:rPr>
        <w:t>验收合格</w:t>
      </w:r>
      <w:r>
        <w:rPr>
          <w:rFonts w:hint="eastAsia" w:ascii="宋体" w:hAnsi="宋体" w:eastAsia="宋体" w:cs="Times New Roman"/>
          <w:b w:val="0"/>
          <w:bCs/>
          <w:color w:val="auto"/>
          <w:sz w:val="24"/>
          <w:szCs w:val="24"/>
        </w:rPr>
        <w:t>后，</w:t>
      </w:r>
      <w:r>
        <w:rPr>
          <w:rFonts w:hint="eastAsia" w:ascii="宋体" w:hAnsi="宋体"/>
          <w:b w:val="0"/>
          <w:bCs/>
          <w:color w:val="auto"/>
          <w:sz w:val="24"/>
          <w:szCs w:val="24"/>
        </w:rPr>
        <w:t>成交供应商</w:t>
      </w:r>
      <w:r>
        <w:rPr>
          <w:rFonts w:hint="eastAsia" w:ascii="宋体" w:hAnsi="宋体" w:eastAsia="宋体" w:cs="Times New Roman"/>
          <w:b w:val="0"/>
          <w:bCs/>
          <w:color w:val="auto"/>
          <w:sz w:val="24"/>
          <w:szCs w:val="24"/>
        </w:rPr>
        <w:t>开具合同金额的</w:t>
      </w:r>
      <w:r>
        <w:rPr>
          <w:rFonts w:hint="eastAsia" w:ascii="宋体" w:hAnsi="宋体" w:eastAsia="宋体" w:cs="Times New Roman"/>
          <w:b w:val="0"/>
          <w:bCs/>
          <w:color w:val="auto"/>
          <w:sz w:val="24"/>
          <w:szCs w:val="24"/>
          <w:lang w:val="en-US" w:eastAsia="zh-CN"/>
        </w:rPr>
        <w:t>全额</w:t>
      </w:r>
      <w:r>
        <w:rPr>
          <w:rFonts w:hint="eastAsia" w:ascii="宋体" w:hAnsi="宋体" w:eastAsia="宋体" w:cs="Times New Roman"/>
          <w:b w:val="0"/>
          <w:bCs/>
          <w:color w:val="auto"/>
          <w:sz w:val="24"/>
          <w:szCs w:val="24"/>
        </w:rPr>
        <w:t>有效普通发票（含税），</w:t>
      </w:r>
      <w:r>
        <w:rPr>
          <w:rFonts w:hint="eastAsia" w:ascii="宋体" w:hAnsi="宋体"/>
          <w:b w:val="0"/>
          <w:bCs/>
          <w:color w:val="auto"/>
          <w:sz w:val="24"/>
          <w:szCs w:val="24"/>
        </w:rPr>
        <w:t>采购人</w:t>
      </w:r>
      <w:r>
        <w:rPr>
          <w:rFonts w:hint="eastAsia" w:ascii="宋体" w:hAnsi="宋体" w:eastAsia="宋体" w:cs="Times New Roman"/>
          <w:b w:val="0"/>
          <w:bCs/>
          <w:color w:val="auto"/>
          <w:sz w:val="24"/>
          <w:szCs w:val="24"/>
        </w:rPr>
        <w:t>收到发票后办理结算审定手续，一个月内</w:t>
      </w:r>
      <w:r>
        <w:rPr>
          <w:rFonts w:hint="eastAsia" w:ascii="宋体" w:hAnsi="宋体"/>
          <w:b w:val="0"/>
          <w:bCs/>
          <w:color w:val="auto"/>
          <w:sz w:val="24"/>
          <w:szCs w:val="24"/>
        </w:rPr>
        <w:t>向成交供应商支付合同款项。</w:t>
      </w:r>
    </w:p>
    <w:p w14:paraId="4DB25010">
      <w:pPr>
        <w:snapToGrid w:val="0"/>
        <w:spacing w:line="360" w:lineRule="auto"/>
        <w:ind w:firstLine="480" w:firstLineChars="200"/>
        <w:rPr>
          <w:rFonts w:hint="eastAsia" w:ascii="黑体" w:hAnsi="黑体" w:eastAsia="黑体"/>
          <w:color w:val="000000" w:themeColor="text1"/>
          <w:sz w:val="44"/>
          <w:szCs w:val="44"/>
          <w:lang w:val="en-US" w:eastAsia="zh-CN"/>
          <w14:textFill>
            <w14:solidFill>
              <w14:schemeClr w14:val="tx1"/>
            </w14:solidFill>
          </w14:textFill>
        </w:rPr>
      </w:pPr>
      <w:r>
        <w:rPr>
          <w:rFonts w:hint="eastAsia" w:ascii="宋体" w:hAnsi="宋体"/>
          <w:b w:val="0"/>
          <w:bCs/>
          <w:color w:val="auto"/>
          <w:sz w:val="24"/>
          <w:szCs w:val="24"/>
          <w:lang w:val="en-US" w:eastAsia="zh-CN"/>
        </w:rPr>
        <w:t>2、成交供应商须开具与响应文件中报价人单位名称、响应报价一致的发票。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64295"/>
    <w:multiLevelType w:val="singleLevel"/>
    <w:tmpl w:val="A52642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NTJmZjRhMjhmZjY2NTdiMzIyZDVlZDRmYWFkNzgifQ=="/>
  </w:docVars>
  <w:rsids>
    <w:rsidRoot w:val="308A4501"/>
    <w:rsid w:val="308A4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unhideWhenUsed/>
    <w:qFormat/>
    <w:uiPriority w:val="99"/>
    <w:pPr>
      <w:ind w:firstLine="420" w:firstLineChars="200"/>
    </w:pPr>
  </w:style>
  <w:style w:type="paragraph" w:customStyle="1" w:styleId="6">
    <w:name w:val="列出段落1"/>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2024-08-08T07:34:00Z</dcterms:created>
  <dc:creator>HH</dc:creator>
  <cp:lastModifiedBy>HH</cp:lastModifiedBy>
  <dcterms:modified xsi:type="dcterms:W3CDTF">2024-08-08T07:42:55Z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92303AB5061A4743B4F555D58ED416D2_11</vt:lpwstr>
  </property>
</Properties>
</file>