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71A92">
      <w:pPr>
        <w:spacing w:line="440" w:lineRule="exact"/>
        <w:jc w:val="center"/>
        <w:rPr>
          <w:b/>
          <w:bCs/>
          <w:sz w:val="44"/>
          <w:szCs w:val="44"/>
        </w:rPr>
      </w:pPr>
      <w:r>
        <w:rPr>
          <w:rFonts w:hint="eastAsia"/>
          <w:b/>
          <w:bCs/>
          <w:sz w:val="44"/>
          <w:szCs w:val="44"/>
        </w:rPr>
        <w:t>报价单</w:t>
      </w:r>
    </w:p>
    <w:p w14:paraId="6FB16D83">
      <w:pPr>
        <w:spacing w:line="440" w:lineRule="exact"/>
        <w:jc w:val="center"/>
        <w:rPr>
          <w:sz w:val="24"/>
          <w:szCs w:val="24"/>
        </w:rPr>
      </w:pPr>
    </w:p>
    <w:p w14:paraId="6CA856F1">
      <w:pPr>
        <w:spacing w:line="440" w:lineRule="exact"/>
        <w:rPr>
          <w:sz w:val="24"/>
          <w:szCs w:val="24"/>
        </w:rPr>
      </w:pPr>
      <w:r>
        <w:rPr>
          <w:rFonts w:hint="eastAsia"/>
          <w:sz w:val="24"/>
          <w:szCs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5BB0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1BD6435">
            <w:pPr>
              <w:spacing w:line="360" w:lineRule="auto"/>
              <w:jc w:val="center"/>
              <w:rPr>
                <w:sz w:val="24"/>
                <w:szCs w:val="24"/>
              </w:rPr>
            </w:pPr>
            <w:r>
              <w:rPr>
                <w:rFonts w:hint="eastAsia"/>
                <w:sz w:val="24"/>
                <w:szCs w:val="24"/>
              </w:rPr>
              <w:t>设备名称</w:t>
            </w:r>
          </w:p>
        </w:tc>
        <w:tc>
          <w:tcPr>
            <w:tcW w:w="5835" w:type="dxa"/>
            <w:vAlign w:val="top"/>
          </w:tcPr>
          <w:p w14:paraId="564253DC">
            <w:pPr>
              <w:spacing w:line="360" w:lineRule="auto"/>
              <w:jc w:val="left"/>
              <w:rPr>
                <w:sz w:val="24"/>
                <w:szCs w:val="24"/>
              </w:rPr>
            </w:pPr>
          </w:p>
        </w:tc>
      </w:tr>
      <w:tr w14:paraId="543F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1E35F1B">
            <w:pPr>
              <w:spacing w:line="360" w:lineRule="auto"/>
              <w:jc w:val="center"/>
              <w:rPr>
                <w:sz w:val="24"/>
                <w:szCs w:val="24"/>
              </w:rPr>
            </w:pPr>
            <w:r>
              <w:rPr>
                <w:rFonts w:hint="eastAsia"/>
                <w:sz w:val="24"/>
                <w:szCs w:val="24"/>
              </w:rPr>
              <w:t>型号</w:t>
            </w:r>
          </w:p>
        </w:tc>
        <w:tc>
          <w:tcPr>
            <w:tcW w:w="5835" w:type="dxa"/>
            <w:vAlign w:val="top"/>
          </w:tcPr>
          <w:p w14:paraId="35F2566F">
            <w:pPr>
              <w:spacing w:line="360" w:lineRule="auto"/>
              <w:jc w:val="left"/>
              <w:rPr>
                <w:sz w:val="24"/>
                <w:szCs w:val="24"/>
              </w:rPr>
            </w:pPr>
          </w:p>
        </w:tc>
      </w:tr>
      <w:tr w14:paraId="725E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A38CA71">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5B31B13A">
            <w:pPr>
              <w:spacing w:line="360" w:lineRule="auto"/>
              <w:jc w:val="left"/>
              <w:rPr>
                <w:sz w:val="24"/>
                <w:szCs w:val="24"/>
              </w:rPr>
            </w:pPr>
          </w:p>
        </w:tc>
      </w:tr>
      <w:tr w14:paraId="3ECE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0D3A021">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2FD08E82">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45B01D9C">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6E8B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EF00F85">
            <w:pPr>
              <w:spacing w:line="360" w:lineRule="auto"/>
              <w:jc w:val="center"/>
              <w:rPr>
                <w:sz w:val="24"/>
                <w:szCs w:val="24"/>
              </w:rPr>
            </w:pPr>
            <w:r>
              <w:rPr>
                <w:rFonts w:hint="eastAsia"/>
                <w:sz w:val="24"/>
                <w:szCs w:val="24"/>
              </w:rPr>
              <w:t>产地</w:t>
            </w:r>
          </w:p>
        </w:tc>
        <w:tc>
          <w:tcPr>
            <w:tcW w:w="5835" w:type="dxa"/>
            <w:vAlign w:val="top"/>
          </w:tcPr>
          <w:p w14:paraId="2817B8CD">
            <w:pPr>
              <w:spacing w:line="360" w:lineRule="auto"/>
              <w:jc w:val="left"/>
              <w:rPr>
                <w:sz w:val="24"/>
                <w:szCs w:val="24"/>
              </w:rPr>
            </w:pPr>
          </w:p>
        </w:tc>
      </w:tr>
      <w:tr w14:paraId="2D56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89BF36E">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2AFC366C">
            <w:pPr>
              <w:spacing w:line="360" w:lineRule="auto"/>
              <w:jc w:val="left"/>
              <w:rPr>
                <w:sz w:val="24"/>
                <w:szCs w:val="24"/>
              </w:rPr>
            </w:pPr>
          </w:p>
        </w:tc>
      </w:tr>
      <w:tr w14:paraId="7000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5F20DEF">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1AEA3A1A">
            <w:pPr>
              <w:spacing w:line="360" w:lineRule="auto"/>
              <w:jc w:val="left"/>
              <w:rPr>
                <w:sz w:val="24"/>
                <w:szCs w:val="24"/>
              </w:rPr>
            </w:pPr>
          </w:p>
        </w:tc>
      </w:tr>
      <w:tr w14:paraId="261D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7746CE8">
            <w:pPr>
              <w:spacing w:line="360" w:lineRule="auto"/>
              <w:jc w:val="center"/>
              <w:rPr>
                <w:sz w:val="24"/>
                <w:szCs w:val="24"/>
              </w:rPr>
            </w:pPr>
            <w:r>
              <w:rPr>
                <w:rFonts w:hint="eastAsia"/>
                <w:sz w:val="24"/>
                <w:szCs w:val="24"/>
              </w:rPr>
              <w:t>单价（元）</w:t>
            </w:r>
          </w:p>
        </w:tc>
        <w:tc>
          <w:tcPr>
            <w:tcW w:w="5835" w:type="dxa"/>
            <w:vAlign w:val="top"/>
          </w:tcPr>
          <w:p w14:paraId="35CA32B8">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0438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E979A43">
            <w:pPr>
              <w:spacing w:line="360" w:lineRule="auto"/>
              <w:jc w:val="center"/>
              <w:rPr>
                <w:sz w:val="24"/>
                <w:szCs w:val="24"/>
              </w:rPr>
            </w:pPr>
            <w:r>
              <w:rPr>
                <w:rFonts w:hint="eastAsia"/>
                <w:sz w:val="24"/>
                <w:szCs w:val="24"/>
              </w:rPr>
              <w:t>总价（元）</w:t>
            </w:r>
          </w:p>
        </w:tc>
        <w:tc>
          <w:tcPr>
            <w:tcW w:w="5835" w:type="dxa"/>
            <w:vAlign w:val="top"/>
          </w:tcPr>
          <w:p w14:paraId="188641CB">
            <w:pPr>
              <w:spacing w:line="360" w:lineRule="auto"/>
              <w:jc w:val="left"/>
              <w:rPr>
                <w:sz w:val="24"/>
                <w:szCs w:val="24"/>
              </w:rPr>
            </w:pPr>
          </w:p>
        </w:tc>
      </w:tr>
      <w:tr w14:paraId="699A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F1CD5D6">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1571636F">
            <w:pPr>
              <w:spacing w:line="360" w:lineRule="auto"/>
              <w:jc w:val="left"/>
              <w:rPr>
                <w:rFonts w:hint="eastAsia"/>
                <w:sz w:val="21"/>
                <w:szCs w:val="21"/>
                <w:lang w:val="en-US" w:eastAsia="zh-CN"/>
              </w:rPr>
            </w:pPr>
          </w:p>
          <w:p w14:paraId="0B02B7CD">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432C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B917362">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2999ABB9">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33E15111">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09B8EA9A">
      <w:pPr>
        <w:jc w:val="center"/>
        <w:rPr>
          <w:rFonts w:hint="eastAsia"/>
          <w:sz w:val="24"/>
          <w:szCs w:val="24"/>
        </w:rPr>
      </w:pPr>
      <w:r>
        <w:rPr>
          <w:rFonts w:hint="eastAsia"/>
          <w:sz w:val="24"/>
          <w:szCs w:val="24"/>
        </w:rPr>
        <w:t xml:space="preserve">                                                                              </w:t>
      </w:r>
    </w:p>
    <w:p w14:paraId="3F501B10">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59CD463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79659F6C">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7FA4B17F">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68040CB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0751265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6CBF9553">
      <w:pPr>
        <w:spacing w:line="440" w:lineRule="exact"/>
        <w:rPr>
          <w:rFonts w:hint="eastAsia"/>
          <w:b/>
          <w:bCs/>
          <w:color w:val="0000FF"/>
          <w:sz w:val="21"/>
          <w:szCs w:val="21"/>
        </w:rPr>
      </w:pPr>
      <w:r>
        <w:rPr>
          <w:rFonts w:hint="eastAsia"/>
          <w:b/>
          <w:bCs/>
          <w:color w:val="0000FF"/>
          <w:sz w:val="21"/>
          <w:szCs w:val="21"/>
        </w:rPr>
        <w:t>报价供应商须同时提供以下资料：</w:t>
      </w:r>
    </w:p>
    <w:p w14:paraId="6FFF3E00">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报价单、耗材信息表（如有）</w:t>
      </w:r>
      <w:r>
        <w:rPr>
          <w:rFonts w:hint="eastAsia"/>
          <w:b/>
          <w:bCs/>
          <w:color w:val="0000FF"/>
          <w:sz w:val="21"/>
          <w:szCs w:val="21"/>
          <w:lang w:eastAsia="zh-CN"/>
        </w:rPr>
        <w:t>。</w:t>
      </w:r>
    </w:p>
    <w:p w14:paraId="60767C7E">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48E0AC23">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5DF83319">
      <w:pPr>
        <w:pStyle w:val="3"/>
        <w:ind w:left="0" w:leftChars="0" w:firstLine="0" w:firstLineChars="0"/>
        <w:rPr>
          <w:rFonts w:hint="eastAsia"/>
          <w:b/>
          <w:bCs/>
          <w:color w:val="0000FF"/>
          <w:sz w:val="24"/>
        </w:rPr>
      </w:pPr>
    </w:p>
    <w:p w14:paraId="68CB6AC1">
      <w:pPr>
        <w:pStyle w:val="3"/>
        <w:rPr>
          <w:rFonts w:hint="eastAsia"/>
          <w:b/>
          <w:bCs/>
          <w:color w:val="0000FF"/>
          <w:sz w:val="24"/>
        </w:rPr>
      </w:pPr>
    </w:p>
    <w:p w14:paraId="6A8F1BCB">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9"/>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041D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38074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6F705CE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32CF75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63CA78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7DAFFC7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0A487E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1A9EFD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124C44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589DFE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43C0A5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5BFB4B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2583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79CA61D7">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77BE0E0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554957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1D4DBC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16A9CE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1FFA3B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7B9E39E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4DA6BEC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0EB64CE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6D62F4F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050B72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D9C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6EF6A44D">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70C27A6F">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7F0C6BE8">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579CF389">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4A163AB8">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4293D23A">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05292318">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273016F4">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510ED110">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73491F45">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7F748D46">
            <w:pPr>
              <w:jc w:val="center"/>
              <w:rPr>
                <w:rFonts w:hint="eastAsia" w:ascii="宋体" w:hAnsi="宋体" w:eastAsia="宋体" w:cs="宋体"/>
                <w:i w:val="0"/>
                <w:iCs w:val="0"/>
                <w:color w:val="000000"/>
                <w:sz w:val="18"/>
                <w:szCs w:val="18"/>
                <w:u w:val="none"/>
              </w:rPr>
            </w:pPr>
          </w:p>
        </w:tc>
      </w:tr>
      <w:tr w14:paraId="5E18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328CEC90">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59947152">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0B527C65">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5DE28E46">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23C12D1D">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38FBE98F">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4C96E2A0">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2AE5F4D4">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0BCA0B54">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2C57C5B0">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053295C4">
            <w:pPr>
              <w:rPr>
                <w:rFonts w:hint="eastAsia" w:ascii="宋体" w:hAnsi="宋体" w:eastAsia="宋体" w:cs="宋体"/>
                <w:i w:val="0"/>
                <w:iCs w:val="0"/>
                <w:color w:val="000000"/>
                <w:sz w:val="18"/>
                <w:szCs w:val="18"/>
                <w:u w:val="none"/>
              </w:rPr>
            </w:pPr>
          </w:p>
        </w:tc>
      </w:tr>
    </w:tbl>
    <w:p w14:paraId="0EB9583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3A5B344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1D4A16C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106DBDDC">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79FCBE7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4B972C2D">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25F2814C">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4AFBEFD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71DDBBA4">
      <w:pPr>
        <w:spacing w:line="440" w:lineRule="exact"/>
        <w:jc w:val="center"/>
        <w:rPr>
          <w:rFonts w:hint="eastAsia"/>
          <w:b/>
          <w:sz w:val="32"/>
          <w:szCs w:val="32"/>
        </w:rPr>
      </w:pPr>
    </w:p>
    <w:p w14:paraId="29BFD5C7">
      <w:pPr>
        <w:spacing w:line="440" w:lineRule="exact"/>
        <w:jc w:val="center"/>
        <w:rPr>
          <w:rFonts w:hint="eastAsia"/>
          <w:b/>
          <w:sz w:val="32"/>
          <w:szCs w:val="32"/>
        </w:rPr>
      </w:pPr>
    </w:p>
    <w:p w14:paraId="6937693A">
      <w:pPr>
        <w:spacing w:line="440" w:lineRule="exact"/>
        <w:jc w:val="both"/>
        <w:rPr>
          <w:rFonts w:hint="eastAsia"/>
          <w:b/>
          <w:sz w:val="32"/>
          <w:szCs w:val="32"/>
        </w:rPr>
      </w:pPr>
    </w:p>
    <w:p w14:paraId="6FA55EEB">
      <w:pPr>
        <w:pStyle w:val="3"/>
        <w:rPr>
          <w:rFonts w:hint="eastAsia"/>
          <w:b/>
          <w:sz w:val="32"/>
          <w:szCs w:val="32"/>
        </w:rPr>
      </w:pPr>
    </w:p>
    <w:p w14:paraId="75E07CB0">
      <w:pPr>
        <w:pStyle w:val="3"/>
        <w:rPr>
          <w:rFonts w:hint="eastAsia"/>
          <w:b/>
          <w:sz w:val="32"/>
          <w:szCs w:val="32"/>
        </w:rPr>
      </w:pPr>
    </w:p>
    <w:p w14:paraId="3ABA0741">
      <w:pPr>
        <w:pStyle w:val="3"/>
        <w:rPr>
          <w:rFonts w:hint="eastAsia"/>
          <w:b/>
          <w:sz w:val="32"/>
          <w:szCs w:val="32"/>
        </w:rPr>
      </w:pPr>
    </w:p>
    <w:p w14:paraId="53489B50">
      <w:pPr>
        <w:pStyle w:val="3"/>
        <w:rPr>
          <w:rFonts w:hint="eastAsia"/>
          <w:b/>
          <w:sz w:val="32"/>
          <w:szCs w:val="32"/>
        </w:rPr>
      </w:pPr>
    </w:p>
    <w:p w14:paraId="6BDF7FFD">
      <w:pPr>
        <w:pStyle w:val="3"/>
        <w:rPr>
          <w:rFonts w:hint="eastAsia"/>
          <w:b/>
          <w:sz w:val="32"/>
          <w:szCs w:val="32"/>
        </w:rPr>
      </w:pPr>
    </w:p>
    <w:p w14:paraId="18B3A22E">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14:paraId="1D45619C">
      <w:pPr>
        <w:numPr>
          <w:ilvl w:val="0"/>
          <w:numId w:val="2"/>
        </w:numPr>
        <w:spacing w:line="440" w:lineRule="exact"/>
        <w:rPr>
          <w:rFonts w:ascii="仿宋" w:hAnsi="仿宋" w:eastAsia="仿宋" w:cs="仿宋"/>
          <w:b/>
          <w:color w:val="000000"/>
          <w:sz w:val="24"/>
        </w:rPr>
      </w:pPr>
      <w:r>
        <w:rPr>
          <w:rFonts w:hint="eastAsia" w:ascii="仿宋" w:hAnsi="仿宋" w:eastAsia="仿宋" w:cs="仿宋"/>
          <w:b/>
          <w:color w:val="000000"/>
          <w:sz w:val="24"/>
        </w:rPr>
        <w:t>总则：</w:t>
      </w:r>
    </w:p>
    <w:p w14:paraId="65C146B6">
      <w:pPr>
        <w:spacing w:line="440" w:lineRule="exact"/>
        <w:rPr>
          <w:rFonts w:ascii="仿宋" w:hAnsi="仿宋" w:eastAsia="仿宋" w:cs="仿宋"/>
          <w:color w:val="000000"/>
          <w:sz w:val="24"/>
        </w:rPr>
      </w:pPr>
      <w:r>
        <w:rPr>
          <w:rFonts w:hint="eastAsia" w:ascii="仿宋" w:hAnsi="仿宋" w:eastAsia="仿宋" w:cs="仿宋"/>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1B28C833">
      <w:pPr>
        <w:spacing w:line="440" w:lineRule="exact"/>
        <w:rPr>
          <w:rFonts w:ascii="仿宋" w:hAnsi="仿宋" w:eastAsia="仿宋" w:cs="仿宋"/>
          <w:color w:val="000000"/>
          <w:sz w:val="24"/>
        </w:rPr>
      </w:pPr>
      <w:r>
        <w:rPr>
          <w:rFonts w:hint="eastAsia" w:ascii="仿宋" w:hAnsi="仿宋" w:eastAsia="仿宋" w:cs="仿宋"/>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25AFADB8">
      <w:pPr>
        <w:spacing w:line="440" w:lineRule="exact"/>
        <w:rPr>
          <w:rFonts w:ascii="仿宋" w:hAnsi="仿宋" w:eastAsia="仿宋" w:cs="仿宋"/>
          <w:color w:val="000000"/>
          <w:sz w:val="24"/>
        </w:rPr>
      </w:pPr>
      <w:r>
        <w:rPr>
          <w:rFonts w:hint="eastAsia" w:ascii="仿宋" w:hAnsi="仿宋" w:eastAsia="仿宋" w:cs="仿宋"/>
          <w:color w:val="000000"/>
          <w:sz w:val="24"/>
        </w:rPr>
        <w:t>3.本项目不接受联合体投标，中标供应商不得以任何方式转包本项目。</w:t>
      </w:r>
    </w:p>
    <w:p w14:paraId="2FD1998C">
      <w:pPr>
        <w:spacing w:line="440" w:lineRule="exact"/>
        <w:rPr>
          <w:rFonts w:ascii="仿宋" w:hAnsi="仿宋" w:eastAsia="仿宋" w:cs="仿宋"/>
          <w:color w:val="000000"/>
          <w:sz w:val="24"/>
        </w:rPr>
      </w:pPr>
      <w:r>
        <w:rPr>
          <w:rFonts w:hint="eastAsia" w:ascii="仿宋" w:hAnsi="仿宋" w:eastAsia="仿宋" w:cs="仿宋"/>
          <w:color w:val="000000"/>
          <w:sz w:val="24"/>
        </w:rPr>
        <w:t>4.单位负责人为同一人或者存在直接控股、关联关系的不同投标人，不得参加同一项目下的招标活动。</w:t>
      </w:r>
    </w:p>
    <w:p w14:paraId="278EB3BB">
      <w:pPr>
        <w:spacing w:line="440" w:lineRule="exact"/>
        <w:rPr>
          <w:rFonts w:ascii="仿宋" w:hAnsi="仿宋" w:eastAsia="仿宋" w:cs="仿宋"/>
          <w:color w:val="000000"/>
          <w:sz w:val="24"/>
        </w:rPr>
      </w:pPr>
      <w:r>
        <w:rPr>
          <w:rFonts w:hint="eastAsia" w:ascii="仿宋" w:hAnsi="仿宋" w:eastAsia="仿宋" w:cs="仿宋"/>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14:paraId="394EA468">
      <w:pPr>
        <w:spacing w:line="440" w:lineRule="exact"/>
        <w:rPr>
          <w:rFonts w:ascii="仿宋" w:hAnsi="仿宋" w:eastAsia="仿宋" w:cs="仿宋"/>
          <w:color w:val="000000"/>
          <w:sz w:val="24"/>
        </w:rPr>
      </w:pPr>
      <w:r>
        <w:rPr>
          <w:rFonts w:hint="eastAsia" w:ascii="仿宋" w:hAnsi="仿宋" w:eastAsia="仿宋" w:cs="仿宋"/>
          <w:color w:val="000000"/>
          <w:sz w:val="24"/>
        </w:rPr>
        <w:t>6.本文的“质保期”是指中标标的物经约定的验收机构完成验收之日起算，截止中标人承诺的期限。</w:t>
      </w:r>
    </w:p>
    <w:p w14:paraId="5683D6D6">
      <w:pPr>
        <w:numPr>
          <w:ilvl w:val="0"/>
          <w:numId w:val="2"/>
        </w:numPr>
        <w:spacing w:line="440" w:lineRule="exact"/>
        <w:rPr>
          <w:rFonts w:ascii="仿宋" w:hAnsi="仿宋" w:eastAsia="仿宋" w:cs="仿宋"/>
          <w:b/>
          <w:color w:val="000000"/>
          <w:sz w:val="24"/>
        </w:rPr>
      </w:pPr>
      <w:r>
        <w:rPr>
          <w:rFonts w:hint="eastAsia" w:ascii="仿宋" w:hAnsi="仿宋" w:eastAsia="仿宋" w:cs="仿宋"/>
          <w:b/>
          <w:color w:val="000000"/>
          <w:sz w:val="24"/>
        </w:rPr>
        <w:t>基本需求</w:t>
      </w:r>
    </w:p>
    <w:tbl>
      <w:tblPr>
        <w:tblStyle w:val="9"/>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7"/>
        <w:gridCol w:w="2268"/>
        <w:gridCol w:w="2508"/>
      </w:tblGrid>
      <w:tr w14:paraId="1F59B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497" w:type="dxa"/>
            <w:noWrap w:val="0"/>
            <w:vAlign w:val="top"/>
          </w:tcPr>
          <w:p w14:paraId="0814E121">
            <w:pPr>
              <w:spacing w:line="440" w:lineRule="exact"/>
              <w:jc w:val="center"/>
              <w:rPr>
                <w:rFonts w:ascii="仿宋" w:hAnsi="仿宋" w:eastAsia="仿宋" w:cs="仿宋"/>
                <w:color w:val="000000"/>
                <w:sz w:val="24"/>
              </w:rPr>
            </w:pPr>
            <w:r>
              <w:rPr>
                <w:rFonts w:hint="eastAsia" w:ascii="仿宋" w:hAnsi="仿宋" w:eastAsia="仿宋" w:cs="仿宋"/>
                <w:color w:val="000000"/>
                <w:sz w:val="24"/>
              </w:rPr>
              <w:t>项目名称</w:t>
            </w:r>
          </w:p>
        </w:tc>
        <w:tc>
          <w:tcPr>
            <w:tcW w:w="2268" w:type="dxa"/>
            <w:noWrap w:val="0"/>
            <w:vAlign w:val="top"/>
          </w:tcPr>
          <w:p w14:paraId="5380F7FA">
            <w:pPr>
              <w:spacing w:line="440" w:lineRule="exact"/>
              <w:jc w:val="center"/>
              <w:rPr>
                <w:rFonts w:ascii="仿宋" w:hAnsi="仿宋" w:eastAsia="仿宋" w:cs="仿宋"/>
                <w:color w:val="000000"/>
                <w:sz w:val="24"/>
              </w:rPr>
            </w:pPr>
            <w:r>
              <w:rPr>
                <w:rFonts w:hint="eastAsia" w:ascii="仿宋" w:hAnsi="仿宋" w:eastAsia="仿宋" w:cs="仿宋"/>
                <w:color w:val="000000"/>
                <w:sz w:val="24"/>
              </w:rPr>
              <w:t>需求科室/部门</w:t>
            </w:r>
          </w:p>
        </w:tc>
        <w:tc>
          <w:tcPr>
            <w:tcW w:w="2508" w:type="dxa"/>
            <w:noWrap w:val="0"/>
            <w:vAlign w:val="top"/>
          </w:tcPr>
          <w:p w14:paraId="1F9E7EA4">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w:t>
            </w:r>
            <w:r>
              <w:rPr>
                <w:rFonts w:hint="eastAsia" w:ascii="仿宋" w:hAnsi="仿宋" w:eastAsia="仿宋" w:cs="仿宋"/>
                <w:color w:val="000000"/>
                <w:sz w:val="24"/>
                <w:lang w:val="en-US" w:eastAsia="zh-CN"/>
              </w:rPr>
              <w:t>台</w:t>
            </w:r>
            <w:r>
              <w:rPr>
                <w:rFonts w:hint="eastAsia" w:ascii="仿宋" w:hAnsi="仿宋" w:eastAsia="仿宋" w:cs="仿宋"/>
                <w:color w:val="000000"/>
                <w:sz w:val="24"/>
              </w:rPr>
              <w:t>）</w:t>
            </w:r>
          </w:p>
        </w:tc>
      </w:tr>
      <w:tr w14:paraId="5FA6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497" w:type="dxa"/>
            <w:noWrap w:val="0"/>
            <w:vAlign w:val="top"/>
          </w:tcPr>
          <w:p w14:paraId="4D6F43C6">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动态血压监测仪</w:t>
            </w:r>
          </w:p>
        </w:tc>
        <w:tc>
          <w:tcPr>
            <w:tcW w:w="2268" w:type="dxa"/>
            <w:noWrap w:val="0"/>
            <w:vAlign w:val="top"/>
          </w:tcPr>
          <w:p w14:paraId="025FE8EB">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心功能室</w:t>
            </w:r>
          </w:p>
        </w:tc>
        <w:tc>
          <w:tcPr>
            <w:tcW w:w="2508" w:type="dxa"/>
            <w:noWrap w:val="0"/>
            <w:vAlign w:val="top"/>
          </w:tcPr>
          <w:p w14:paraId="3A42D7A5">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3</w:t>
            </w:r>
          </w:p>
        </w:tc>
      </w:tr>
    </w:tbl>
    <w:p w14:paraId="1445B3D2">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rPr>
        <w:t>核心产品：</w:t>
      </w:r>
      <w:r>
        <w:rPr>
          <w:rFonts w:hint="eastAsia" w:ascii="仿宋" w:hAnsi="仿宋" w:eastAsia="仿宋" w:cs="仿宋"/>
          <w:color w:val="000000"/>
          <w:sz w:val="24"/>
          <w:lang w:val="en-US" w:eastAsia="zh-CN"/>
        </w:rPr>
        <w:t>动态血压监测仪</w:t>
      </w:r>
    </w:p>
    <w:p w14:paraId="7993EF8D">
      <w:pPr>
        <w:spacing w:line="440" w:lineRule="exact"/>
        <w:rPr>
          <w:rFonts w:ascii="仿宋" w:hAnsi="仿宋" w:eastAsia="仿宋" w:cs="仿宋"/>
          <w:b/>
          <w:color w:val="000000"/>
          <w:sz w:val="24"/>
        </w:rPr>
      </w:pPr>
    </w:p>
    <w:p w14:paraId="1563F384">
      <w:pPr>
        <w:numPr>
          <w:ilvl w:val="0"/>
          <w:numId w:val="2"/>
        </w:numPr>
        <w:spacing w:line="440" w:lineRule="exact"/>
        <w:rPr>
          <w:rFonts w:ascii="仿宋" w:hAnsi="仿宋" w:eastAsia="仿宋" w:cs="仿宋"/>
          <w:b/>
          <w:color w:val="000000"/>
          <w:sz w:val="24"/>
        </w:rPr>
      </w:pPr>
      <w:r>
        <w:rPr>
          <w:rFonts w:hint="eastAsia" w:ascii="仿宋" w:hAnsi="仿宋" w:eastAsia="仿宋" w:cs="仿宋"/>
          <w:b/>
          <w:color w:val="000000"/>
          <w:sz w:val="24"/>
        </w:rPr>
        <w:t>技术参数：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7586"/>
      </w:tblGrid>
      <w:tr w14:paraId="25B12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top"/>
          </w:tcPr>
          <w:p w14:paraId="33D2E25E">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7586" w:type="dxa"/>
            <w:noWrap w:val="0"/>
            <w:vAlign w:val="top"/>
          </w:tcPr>
          <w:p w14:paraId="15AB509A">
            <w:pPr>
              <w:spacing w:line="440" w:lineRule="exact"/>
              <w:jc w:val="center"/>
              <w:rPr>
                <w:rFonts w:ascii="仿宋" w:hAnsi="仿宋" w:eastAsia="仿宋" w:cs="仿宋"/>
                <w:color w:val="000000"/>
                <w:sz w:val="24"/>
              </w:rPr>
            </w:pPr>
            <w:r>
              <w:rPr>
                <w:rFonts w:hint="eastAsia" w:ascii="仿宋" w:hAnsi="仿宋" w:eastAsia="仿宋" w:cs="仿宋"/>
                <w:color w:val="000000"/>
                <w:sz w:val="24"/>
              </w:rPr>
              <w:t>参数要求</w:t>
            </w:r>
          </w:p>
        </w:tc>
      </w:tr>
      <w:tr w14:paraId="3434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top"/>
          </w:tcPr>
          <w:p w14:paraId="28D4267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（一）</w:t>
            </w:r>
          </w:p>
        </w:tc>
        <w:tc>
          <w:tcPr>
            <w:tcW w:w="7586" w:type="dxa"/>
            <w:noWrap w:val="0"/>
            <w:vAlign w:val="top"/>
          </w:tcPr>
          <w:p w14:paraId="5CC90D6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动态血压监测仪参数</w:t>
            </w:r>
          </w:p>
        </w:tc>
      </w:tr>
      <w:tr w14:paraId="6A5B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top"/>
          </w:tcPr>
          <w:p w14:paraId="5C7F4C3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w:t>
            </w:r>
          </w:p>
        </w:tc>
        <w:tc>
          <w:tcPr>
            <w:tcW w:w="7586" w:type="dxa"/>
            <w:noWrap w:val="0"/>
            <w:vAlign w:val="top"/>
          </w:tcPr>
          <w:p w14:paraId="69EF110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支持长达24小时以上的长时间记录</w:t>
            </w:r>
            <w:r>
              <w:rPr>
                <w:rFonts w:hint="eastAsia" w:ascii="仿宋" w:hAnsi="仿宋" w:eastAsia="仿宋" w:cs="仿宋"/>
                <w:b w:val="0"/>
                <w:bCs w:val="0"/>
                <w:sz w:val="24"/>
                <w:szCs w:val="24"/>
                <w:lang w:eastAsia="zh-CN"/>
              </w:rPr>
              <w:t>；</w:t>
            </w:r>
          </w:p>
        </w:tc>
      </w:tr>
      <w:tr w14:paraId="06B34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36" w:type="dxa"/>
            <w:noWrap w:val="0"/>
            <w:vAlign w:val="top"/>
          </w:tcPr>
          <w:p w14:paraId="7087D4C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w:t>
            </w:r>
          </w:p>
        </w:tc>
        <w:tc>
          <w:tcPr>
            <w:tcW w:w="7586" w:type="dxa"/>
            <w:noWrap w:val="0"/>
            <w:vAlign w:val="top"/>
          </w:tcPr>
          <w:p w14:paraId="6906F54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多种记录时间间隔可供选择（5,10,15,20,30,45,60,90,120min等九种间隔可调）</w:t>
            </w:r>
            <w:r>
              <w:rPr>
                <w:rFonts w:hint="eastAsia" w:ascii="仿宋" w:hAnsi="仿宋" w:eastAsia="仿宋" w:cs="仿宋"/>
                <w:b w:val="0"/>
                <w:bCs w:val="0"/>
                <w:sz w:val="24"/>
                <w:szCs w:val="24"/>
                <w:lang w:eastAsia="zh-CN"/>
              </w:rPr>
              <w:t>；</w:t>
            </w:r>
          </w:p>
        </w:tc>
      </w:tr>
      <w:tr w14:paraId="1017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top"/>
          </w:tcPr>
          <w:p w14:paraId="7F15A41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w:t>
            </w:r>
          </w:p>
        </w:tc>
        <w:tc>
          <w:tcPr>
            <w:tcW w:w="7586" w:type="dxa"/>
            <w:noWrap w:val="0"/>
            <w:vAlign w:val="top"/>
          </w:tcPr>
          <w:p w14:paraId="0DC91D2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测量方法：逐步释压震荡测量法</w:t>
            </w:r>
            <w:r>
              <w:rPr>
                <w:rFonts w:hint="eastAsia" w:ascii="仿宋" w:hAnsi="仿宋" w:eastAsia="仿宋" w:cs="仿宋"/>
                <w:b w:val="0"/>
                <w:bCs w:val="0"/>
                <w:sz w:val="24"/>
                <w:szCs w:val="24"/>
                <w:lang w:eastAsia="zh-CN"/>
              </w:rPr>
              <w:t>；</w:t>
            </w:r>
          </w:p>
        </w:tc>
      </w:tr>
      <w:tr w14:paraId="0902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top"/>
          </w:tcPr>
          <w:p w14:paraId="54DE42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w:t>
            </w:r>
          </w:p>
        </w:tc>
        <w:tc>
          <w:tcPr>
            <w:tcW w:w="7586" w:type="dxa"/>
            <w:noWrap w:val="0"/>
            <w:vAlign w:val="top"/>
          </w:tcPr>
          <w:p w14:paraId="7EB4724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加压释压方式：自动加压、自动排气</w:t>
            </w:r>
            <w:r>
              <w:rPr>
                <w:rFonts w:hint="eastAsia" w:ascii="仿宋" w:hAnsi="仿宋" w:eastAsia="仿宋" w:cs="仿宋"/>
                <w:b w:val="0"/>
                <w:bCs w:val="0"/>
                <w:sz w:val="24"/>
                <w:szCs w:val="24"/>
                <w:lang w:eastAsia="zh-CN"/>
              </w:rPr>
              <w:t>；</w:t>
            </w:r>
          </w:p>
        </w:tc>
      </w:tr>
      <w:tr w14:paraId="0CF9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top"/>
          </w:tcPr>
          <w:p w14:paraId="62B788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5</w:t>
            </w:r>
          </w:p>
        </w:tc>
        <w:tc>
          <w:tcPr>
            <w:tcW w:w="7586" w:type="dxa"/>
            <w:noWrap w:val="0"/>
            <w:vAlign w:val="top"/>
          </w:tcPr>
          <w:p w14:paraId="72065ED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支持过压保护。当袖带内压力大于40kPa（300mmHg）时，袖带能够自动释压</w:t>
            </w:r>
            <w:r>
              <w:rPr>
                <w:rFonts w:hint="eastAsia" w:ascii="仿宋" w:hAnsi="仿宋" w:eastAsia="仿宋" w:cs="仿宋"/>
                <w:b w:val="0"/>
                <w:bCs w:val="0"/>
                <w:sz w:val="24"/>
                <w:szCs w:val="24"/>
                <w:lang w:eastAsia="zh-CN"/>
              </w:rPr>
              <w:t>；</w:t>
            </w:r>
          </w:p>
        </w:tc>
      </w:tr>
      <w:tr w14:paraId="2B47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20542E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6</w:t>
            </w:r>
          </w:p>
        </w:tc>
        <w:tc>
          <w:tcPr>
            <w:tcW w:w="0" w:type="auto"/>
            <w:noWrap w:val="0"/>
            <w:vAlign w:val="top"/>
          </w:tcPr>
          <w:p w14:paraId="0B76F8B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高精度血压测量。5.3kPa~38.7kPa(40mmHg~290mmHg)。误差不大于</w:t>
            </w:r>
            <w:r>
              <w:rPr>
                <w:rFonts w:hint="eastAsia" w:ascii="仿宋" w:hAnsi="仿宋" w:eastAsia="仿宋" w:cs="仿宋"/>
                <w:b w:val="0"/>
                <w:bCs w:val="0"/>
                <w:color w:val="000000"/>
                <w:sz w:val="24"/>
                <w:szCs w:val="24"/>
                <w:lang w:val="fr-FR"/>
              </w:rPr>
              <w:t>±</w:t>
            </w:r>
            <w:r>
              <w:rPr>
                <w:rFonts w:hint="eastAsia" w:ascii="仿宋" w:hAnsi="仿宋" w:eastAsia="仿宋" w:cs="仿宋"/>
                <w:b w:val="0"/>
                <w:bCs w:val="0"/>
                <w:sz w:val="24"/>
                <w:szCs w:val="24"/>
              </w:rPr>
              <w:t>0.4kPa(</w:t>
            </w:r>
            <w:r>
              <w:rPr>
                <w:rFonts w:hint="eastAsia" w:ascii="仿宋" w:hAnsi="仿宋" w:eastAsia="仿宋" w:cs="仿宋"/>
                <w:b w:val="0"/>
                <w:bCs w:val="0"/>
                <w:color w:val="000000"/>
                <w:sz w:val="24"/>
                <w:szCs w:val="24"/>
                <w:lang w:val="fr-FR"/>
              </w:rPr>
              <w:t>±3mmHg</w:t>
            </w:r>
            <w:r>
              <w:rPr>
                <w:rFonts w:hint="eastAsia" w:ascii="仿宋" w:hAnsi="仿宋" w:eastAsia="仿宋" w:cs="仿宋"/>
                <w:b w:val="0"/>
                <w:bCs w:val="0"/>
                <w:sz w:val="24"/>
                <w:szCs w:val="24"/>
              </w:rPr>
              <w:t>)</w:t>
            </w:r>
            <w:r>
              <w:rPr>
                <w:rFonts w:hint="eastAsia" w:ascii="仿宋" w:hAnsi="仿宋" w:eastAsia="仿宋" w:cs="仿宋"/>
                <w:b w:val="0"/>
                <w:bCs w:val="0"/>
                <w:sz w:val="24"/>
                <w:szCs w:val="24"/>
                <w:lang w:eastAsia="zh-CN"/>
              </w:rPr>
              <w:t>；</w:t>
            </w:r>
          </w:p>
        </w:tc>
      </w:tr>
      <w:tr w14:paraId="25E7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56CA029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7</w:t>
            </w:r>
          </w:p>
        </w:tc>
        <w:tc>
          <w:tcPr>
            <w:tcW w:w="0" w:type="auto"/>
            <w:noWrap w:val="0"/>
            <w:vAlign w:val="top"/>
          </w:tcPr>
          <w:p w14:paraId="38B972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精确的心率测量功能。40次/分~200次/分，误差不大于</w:t>
            </w:r>
            <w:r>
              <w:rPr>
                <w:rFonts w:hint="eastAsia" w:ascii="仿宋" w:hAnsi="仿宋" w:eastAsia="仿宋" w:cs="仿宋"/>
                <w:b w:val="0"/>
                <w:bCs w:val="0"/>
                <w:color w:val="000000"/>
                <w:sz w:val="24"/>
                <w:szCs w:val="24"/>
                <w:lang w:val="fr-FR"/>
              </w:rPr>
              <w:t>±</w:t>
            </w:r>
            <w:r>
              <w:rPr>
                <w:rFonts w:hint="eastAsia" w:ascii="仿宋" w:hAnsi="仿宋" w:eastAsia="仿宋" w:cs="仿宋"/>
                <w:b w:val="0"/>
                <w:bCs w:val="0"/>
                <w:color w:val="000000"/>
                <w:sz w:val="24"/>
                <w:szCs w:val="24"/>
                <w:lang w:val="en-US" w:eastAsia="zh-CN"/>
              </w:rPr>
              <w:t>5</w:t>
            </w:r>
            <w:r>
              <w:rPr>
                <w:rFonts w:hint="eastAsia" w:ascii="仿宋" w:hAnsi="仿宋" w:eastAsia="仿宋" w:cs="仿宋"/>
                <w:b w:val="0"/>
                <w:bCs w:val="0"/>
                <w:color w:val="000000"/>
                <w:sz w:val="24"/>
                <w:szCs w:val="24"/>
                <w:lang w:val="fr-FR"/>
              </w:rPr>
              <w:t>%</w:t>
            </w:r>
            <w:r>
              <w:rPr>
                <w:rFonts w:hint="eastAsia" w:ascii="仿宋" w:hAnsi="仿宋" w:eastAsia="仿宋" w:cs="仿宋"/>
                <w:b w:val="0"/>
                <w:bCs w:val="0"/>
                <w:color w:val="000000"/>
                <w:sz w:val="24"/>
                <w:szCs w:val="24"/>
                <w:lang w:val="fr-FR" w:eastAsia="zh-CN"/>
              </w:rPr>
              <w:t>；</w:t>
            </w:r>
            <w:bookmarkStart w:id="0" w:name="_GoBack"/>
            <w:bookmarkEnd w:id="0"/>
          </w:p>
        </w:tc>
      </w:tr>
      <w:tr w14:paraId="33C4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7F5B03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8</w:t>
            </w:r>
          </w:p>
        </w:tc>
        <w:tc>
          <w:tcPr>
            <w:tcW w:w="0" w:type="auto"/>
            <w:noWrap w:val="0"/>
            <w:vAlign w:val="top"/>
          </w:tcPr>
          <w:p w14:paraId="16F83DB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可测量房颤病人的血压数值</w:t>
            </w:r>
            <w:r>
              <w:rPr>
                <w:rFonts w:hint="eastAsia" w:ascii="仿宋" w:hAnsi="仿宋" w:eastAsia="仿宋" w:cs="仿宋"/>
                <w:b w:val="0"/>
                <w:bCs w:val="0"/>
                <w:sz w:val="24"/>
                <w:szCs w:val="24"/>
                <w:lang w:eastAsia="zh-CN"/>
              </w:rPr>
              <w:t>；</w:t>
            </w:r>
          </w:p>
        </w:tc>
      </w:tr>
      <w:tr w14:paraId="67AC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08CF6D4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w:t>
            </w:r>
          </w:p>
        </w:tc>
        <w:tc>
          <w:tcPr>
            <w:tcW w:w="0" w:type="auto"/>
            <w:noWrap w:val="0"/>
            <w:vAlign w:val="top"/>
          </w:tcPr>
          <w:p w14:paraId="1F12C808">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4"/>
                <w:szCs w:val="24"/>
                <w:lang w:val="en-US" w:eastAsia="zh-CN"/>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设备使用年限≥5年；</w:t>
            </w:r>
          </w:p>
        </w:tc>
      </w:tr>
      <w:tr w14:paraId="6765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6E863D7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（二）</w:t>
            </w:r>
          </w:p>
        </w:tc>
        <w:tc>
          <w:tcPr>
            <w:tcW w:w="0" w:type="auto"/>
            <w:noWrap w:val="0"/>
            <w:vAlign w:val="top"/>
          </w:tcPr>
          <w:p w14:paraId="3180C1C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动态血压分析系统软件参数</w:t>
            </w:r>
          </w:p>
        </w:tc>
      </w:tr>
      <w:tr w14:paraId="7CC7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6235973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1</w:t>
            </w:r>
          </w:p>
        </w:tc>
        <w:tc>
          <w:tcPr>
            <w:tcW w:w="0" w:type="auto"/>
            <w:noWrap w:val="0"/>
            <w:vAlign w:val="top"/>
          </w:tcPr>
          <w:p w14:paraId="0889B5F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24小时动态血压数据编辑及统计功能，数据可回放至动态心电系统，对24小时动态血压数据及心电图数据同步分析显示；</w:t>
            </w:r>
          </w:p>
        </w:tc>
      </w:tr>
      <w:tr w14:paraId="6805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704AFE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2</w:t>
            </w:r>
          </w:p>
        </w:tc>
        <w:tc>
          <w:tcPr>
            <w:tcW w:w="0" w:type="auto"/>
            <w:noWrap w:val="0"/>
            <w:vAlign w:val="top"/>
          </w:tcPr>
          <w:p w14:paraId="49C44AF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可以提供同一病人多次测量，出具不同时期的血压对比分析报告；</w:t>
            </w:r>
          </w:p>
        </w:tc>
      </w:tr>
      <w:tr w14:paraId="0A0F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56B73A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3</w:t>
            </w:r>
          </w:p>
        </w:tc>
        <w:tc>
          <w:tcPr>
            <w:tcW w:w="0" w:type="auto"/>
            <w:noWrap w:val="0"/>
            <w:vAlign w:val="top"/>
          </w:tcPr>
          <w:p w14:paraId="1E20EAA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能记录分析病人的运动状态（提供证明材料）</w:t>
            </w:r>
            <w:r>
              <w:rPr>
                <w:rFonts w:hint="eastAsia" w:ascii="仿宋" w:hAnsi="仿宋" w:eastAsia="仿宋" w:cs="仿宋"/>
                <w:b w:val="0"/>
                <w:bCs w:val="0"/>
                <w:sz w:val="24"/>
                <w:szCs w:val="24"/>
                <w:lang w:eastAsia="zh-CN"/>
              </w:rPr>
              <w:t>；</w:t>
            </w:r>
          </w:p>
        </w:tc>
      </w:tr>
      <w:tr w14:paraId="61F40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08C522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4</w:t>
            </w:r>
          </w:p>
        </w:tc>
        <w:tc>
          <w:tcPr>
            <w:tcW w:w="0" w:type="auto"/>
            <w:noWrap w:val="0"/>
            <w:vAlign w:val="top"/>
          </w:tcPr>
          <w:p w14:paraId="5E243B4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能记录分析病人的体位状态（提供证明材料）</w:t>
            </w:r>
            <w:r>
              <w:rPr>
                <w:rFonts w:hint="eastAsia" w:ascii="仿宋" w:hAnsi="仿宋" w:eastAsia="仿宋" w:cs="仿宋"/>
                <w:b w:val="0"/>
                <w:bCs w:val="0"/>
                <w:sz w:val="24"/>
                <w:szCs w:val="24"/>
                <w:lang w:eastAsia="zh-CN"/>
              </w:rPr>
              <w:t>；</w:t>
            </w:r>
          </w:p>
        </w:tc>
      </w:tr>
      <w:tr w14:paraId="27F0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31AB81D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5</w:t>
            </w:r>
          </w:p>
        </w:tc>
        <w:tc>
          <w:tcPr>
            <w:tcW w:w="0" w:type="auto"/>
            <w:noWrap w:val="0"/>
            <w:vAlign w:val="top"/>
          </w:tcPr>
          <w:p w14:paraId="29FCB71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病例数据双层保护，即使误删软件，病例数据亦不会丢失</w:t>
            </w:r>
            <w:r>
              <w:rPr>
                <w:rFonts w:hint="eastAsia" w:ascii="仿宋" w:hAnsi="仿宋" w:eastAsia="仿宋" w:cs="仿宋"/>
                <w:b w:val="0"/>
                <w:bCs w:val="0"/>
                <w:sz w:val="24"/>
                <w:szCs w:val="24"/>
                <w:lang w:eastAsia="zh-CN"/>
              </w:rPr>
              <w:t>；</w:t>
            </w:r>
          </w:p>
        </w:tc>
      </w:tr>
    </w:tbl>
    <w:p w14:paraId="7B863F9C">
      <w:pPr>
        <w:numPr>
          <w:ilvl w:val="0"/>
          <w:numId w:val="2"/>
        </w:numPr>
        <w:spacing w:line="440" w:lineRule="exact"/>
        <w:rPr>
          <w:rFonts w:ascii="仿宋" w:hAnsi="仿宋" w:eastAsia="仿宋" w:cs="仿宋"/>
          <w:b/>
          <w:color w:val="000000"/>
          <w:sz w:val="24"/>
        </w:rPr>
      </w:pPr>
      <w:r>
        <w:rPr>
          <w:rFonts w:hint="eastAsia" w:ascii="仿宋" w:hAnsi="仿宋" w:eastAsia="仿宋" w:cs="仿宋"/>
          <w:b/>
          <w:color w:val="000000"/>
          <w:sz w:val="24"/>
        </w:rPr>
        <w:t>每套设备配置要求：</w:t>
      </w:r>
    </w:p>
    <w:tbl>
      <w:tblPr>
        <w:tblStyle w:val="9"/>
        <w:tblW w:w="84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350"/>
        <w:gridCol w:w="1746"/>
        <w:gridCol w:w="1629"/>
      </w:tblGrid>
      <w:tr w14:paraId="2DA5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3EF0CCBA">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4350" w:type="dxa"/>
            <w:noWrap w:val="0"/>
            <w:vAlign w:val="top"/>
          </w:tcPr>
          <w:p w14:paraId="0D072AD0">
            <w:pPr>
              <w:spacing w:line="440" w:lineRule="exact"/>
              <w:jc w:val="center"/>
              <w:rPr>
                <w:rFonts w:ascii="仿宋" w:hAnsi="仿宋" w:eastAsia="仿宋" w:cs="仿宋"/>
                <w:color w:val="000000"/>
                <w:sz w:val="24"/>
              </w:rPr>
            </w:pPr>
            <w:r>
              <w:rPr>
                <w:rFonts w:hint="eastAsia" w:ascii="仿宋" w:hAnsi="仿宋" w:eastAsia="仿宋" w:cs="仿宋"/>
                <w:color w:val="000000"/>
                <w:sz w:val="24"/>
              </w:rPr>
              <w:t>名称</w:t>
            </w:r>
          </w:p>
        </w:tc>
        <w:tc>
          <w:tcPr>
            <w:tcW w:w="1746" w:type="dxa"/>
            <w:noWrap w:val="0"/>
            <w:vAlign w:val="top"/>
          </w:tcPr>
          <w:p w14:paraId="32A04EFE">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w:t>
            </w:r>
          </w:p>
        </w:tc>
        <w:tc>
          <w:tcPr>
            <w:tcW w:w="1629" w:type="dxa"/>
            <w:noWrap w:val="0"/>
            <w:vAlign w:val="top"/>
          </w:tcPr>
          <w:p w14:paraId="0984BADA">
            <w:pPr>
              <w:spacing w:line="440" w:lineRule="exact"/>
              <w:jc w:val="center"/>
              <w:rPr>
                <w:rFonts w:ascii="仿宋" w:hAnsi="仿宋" w:eastAsia="仿宋" w:cs="仿宋"/>
                <w:color w:val="000000"/>
                <w:sz w:val="24"/>
              </w:rPr>
            </w:pPr>
            <w:r>
              <w:rPr>
                <w:rFonts w:hint="eastAsia" w:ascii="仿宋" w:hAnsi="仿宋" w:eastAsia="仿宋" w:cs="仿宋"/>
                <w:color w:val="000000"/>
                <w:sz w:val="24"/>
              </w:rPr>
              <w:t>单位</w:t>
            </w:r>
          </w:p>
        </w:tc>
      </w:tr>
      <w:tr w14:paraId="1471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70F9044B">
            <w:pPr>
              <w:spacing w:line="44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4350" w:type="dxa"/>
            <w:noWrap w:val="0"/>
            <w:vAlign w:val="top"/>
          </w:tcPr>
          <w:p w14:paraId="3AC462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动态血压监测仪</w:t>
            </w:r>
          </w:p>
        </w:tc>
        <w:tc>
          <w:tcPr>
            <w:tcW w:w="1746" w:type="dxa"/>
            <w:noWrap w:val="0"/>
            <w:vAlign w:val="top"/>
          </w:tcPr>
          <w:p w14:paraId="6F46E13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p>
        </w:tc>
        <w:tc>
          <w:tcPr>
            <w:tcW w:w="1629" w:type="dxa"/>
            <w:noWrap w:val="0"/>
            <w:vAlign w:val="top"/>
          </w:tcPr>
          <w:p w14:paraId="285B36AE">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台</w:t>
            </w:r>
          </w:p>
        </w:tc>
      </w:tr>
      <w:tr w14:paraId="40A8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32D1918E">
            <w:pPr>
              <w:spacing w:line="44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4350" w:type="dxa"/>
            <w:noWrap w:val="0"/>
            <w:vAlign w:val="top"/>
          </w:tcPr>
          <w:p w14:paraId="25F9499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袖套</w:t>
            </w:r>
          </w:p>
        </w:tc>
        <w:tc>
          <w:tcPr>
            <w:tcW w:w="1746" w:type="dxa"/>
            <w:noWrap w:val="0"/>
            <w:vAlign w:val="top"/>
          </w:tcPr>
          <w:p w14:paraId="571552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p>
        </w:tc>
        <w:tc>
          <w:tcPr>
            <w:tcW w:w="1629" w:type="dxa"/>
            <w:noWrap w:val="0"/>
            <w:vAlign w:val="top"/>
          </w:tcPr>
          <w:p w14:paraId="24FB5A7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套</w:t>
            </w:r>
          </w:p>
        </w:tc>
      </w:tr>
      <w:tr w14:paraId="251F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6D459568">
            <w:pPr>
              <w:spacing w:line="440" w:lineRule="exact"/>
              <w:jc w:val="center"/>
              <w:rPr>
                <w:rFonts w:ascii="仿宋" w:hAnsi="仿宋" w:eastAsia="仿宋" w:cs="仿宋"/>
                <w:color w:val="000000"/>
                <w:sz w:val="24"/>
              </w:rPr>
            </w:pPr>
            <w:r>
              <w:rPr>
                <w:rFonts w:hint="eastAsia" w:ascii="仿宋" w:hAnsi="仿宋" w:eastAsia="仿宋" w:cs="仿宋"/>
                <w:color w:val="000000"/>
                <w:sz w:val="24"/>
              </w:rPr>
              <w:t>3</w:t>
            </w:r>
          </w:p>
        </w:tc>
        <w:tc>
          <w:tcPr>
            <w:tcW w:w="4350" w:type="dxa"/>
            <w:noWrap w:val="0"/>
            <w:vAlign w:val="top"/>
          </w:tcPr>
          <w:p w14:paraId="57832E8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背包</w:t>
            </w:r>
          </w:p>
        </w:tc>
        <w:tc>
          <w:tcPr>
            <w:tcW w:w="1746" w:type="dxa"/>
            <w:noWrap w:val="0"/>
            <w:vAlign w:val="top"/>
          </w:tcPr>
          <w:p w14:paraId="29BA7B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p>
        </w:tc>
        <w:tc>
          <w:tcPr>
            <w:tcW w:w="1629" w:type="dxa"/>
            <w:noWrap w:val="0"/>
            <w:vAlign w:val="top"/>
          </w:tcPr>
          <w:p w14:paraId="0C336B6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个</w:t>
            </w:r>
          </w:p>
        </w:tc>
      </w:tr>
      <w:tr w14:paraId="6FC6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3544CF5A">
            <w:pPr>
              <w:spacing w:line="440" w:lineRule="exact"/>
              <w:jc w:val="center"/>
              <w:rPr>
                <w:rFonts w:ascii="仿宋" w:hAnsi="仿宋" w:eastAsia="仿宋" w:cs="仿宋"/>
                <w:color w:val="000000"/>
                <w:sz w:val="24"/>
              </w:rPr>
            </w:pPr>
            <w:r>
              <w:rPr>
                <w:rFonts w:hint="eastAsia" w:ascii="仿宋" w:hAnsi="仿宋" w:eastAsia="仿宋" w:cs="仿宋"/>
                <w:color w:val="000000"/>
                <w:sz w:val="24"/>
              </w:rPr>
              <w:t>4</w:t>
            </w:r>
          </w:p>
        </w:tc>
        <w:tc>
          <w:tcPr>
            <w:tcW w:w="4350" w:type="dxa"/>
            <w:noWrap w:val="0"/>
            <w:vAlign w:val="top"/>
          </w:tcPr>
          <w:p w14:paraId="0C84359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合格证</w:t>
            </w:r>
          </w:p>
        </w:tc>
        <w:tc>
          <w:tcPr>
            <w:tcW w:w="1746" w:type="dxa"/>
            <w:noWrap w:val="0"/>
            <w:vAlign w:val="top"/>
          </w:tcPr>
          <w:p w14:paraId="46727A8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p>
        </w:tc>
        <w:tc>
          <w:tcPr>
            <w:tcW w:w="1629" w:type="dxa"/>
            <w:noWrap w:val="0"/>
            <w:vAlign w:val="top"/>
          </w:tcPr>
          <w:p w14:paraId="06E0D4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份</w:t>
            </w:r>
          </w:p>
        </w:tc>
      </w:tr>
      <w:tr w14:paraId="60BA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49078C9A">
            <w:pPr>
              <w:spacing w:line="440" w:lineRule="exact"/>
              <w:jc w:val="center"/>
              <w:rPr>
                <w:rFonts w:ascii="仿宋" w:hAnsi="仿宋" w:eastAsia="仿宋" w:cs="仿宋"/>
                <w:color w:val="000000"/>
                <w:sz w:val="24"/>
              </w:rPr>
            </w:pPr>
            <w:r>
              <w:rPr>
                <w:rFonts w:hint="eastAsia" w:ascii="仿宋" w:hAnsi="仿宋" w:eastAsia="仿宋" w:cs="仿宋"/>
                <w:color w:val="000000"/>
                <w:sz w:val="24"/>
              </w:rPr>
              <w:t>5</w:t>
            </w:r>
          </w:p>
        </w:tc>
        <w:tc>
          <w:tcPr>
            <w:tcW w:w="4350" w:type="dxa"/>
            <w:noWrap w:val="0"/>
            <w:vAlign w:val="top"/>
          </w:tcPr>
          <w:p w14:paraId="2C0245A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保修卡</w:t>
            </w:r>
          </w:p>
        </w:tc>
        <w:tc>
          <w:tcPr>
            <w:tcW w:w="1746" w:type="dxa"/>
            <w:noWrap w:val="0"/>
            <w:vAlign w:val="top"/>
          </w:tcPr>
          <w:p w14:paraId="7A67D0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p>
        </w:tc>
        <w:tc>
          <w:tcPr>
            <w:tcW w:w="1629" w:type="dxa"/>
            <w:noWrap w:val="0"/>
            <w:vAlign w:val="top"/>
          </w:tcPr>
          <w:p w14:paraId="02A4337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份</w:t>
            </w:r>
          </w:p>
        </w:tc>
      </w:tr>
    </w:tbl>
    <w:p w14:paraId="1F20C535">
      <w:pPr>
        <w:pStyle w:val="12"/>
        <w:numPr>
          <w:ilvl w:val="0"/>
          <w:numId w:val="0"/>
        </w:numPr>
        <w:spacing w:line="440" w:lineRule="exact"/>
        <w:ind w:leftChars="0"/>
        <w:rPr>
          <w:rFonts w:ascii="仿宋" w:hAnsi="仿宋" w:eastAsia="仿宋" w:cs="仿宋"/>
          <w:b/>
          <w:color w:val="000000"/>
          <w:sz w:val="24"/>
        </w:rPr>
      </w:pPr>
      <w:r>
        <w:rPr>
          <w:rFonts w:hint="eastAsia" w:ascii="仿宋" w:hAnsi="仿宋" w:eastAsia="仿宋" w:cs="仿宋"/>
          <w:b/>
          <w:color w:val="000000"/>
          <w:sz w:val="24"/>
          <w:lang w:val="en-US" w:eastAsia="zh-CN"/>
        </w:rPr>
        <w:t>五、</w:t>
      </w:r>
      <w:r>
        <w:rPr>
          <w:rFonts w:hint="eastAsia" w:ascii="仿宋" w:hAnsi="仿宋" w:eastAsia="仿宋" w:cs="仿宋"/>
          <w:b/>
          <w:color w:val="000000"/>
          <w:sz w:val="24"/>
        </w:rPr>
        <w:t>商务要求：</w:t>
      </w:r>
    </w:p>
    <w:p w14:paraId="588EE29C">
      <w:pPr>
        <w:spacing w:line="440" w:lineRule="exact"/>
        <w:rPr>
          <w:rFonts w:ascii="仿宋" w:hAnsi="仿宋" w:eastAsia="仿宋" w:cs="仿宋"/>
          <w:b/>
          <w:color w:val="000000"/>
          <w:sz w:val="24"/>
        </w:rPr>
      </w:pPr>
      <w:r>
        <w:rPr>
          <w:rFonts w:hint="eastAsia" w:ascii="仿宋" w:hAnsi="仿宋" w:eastAsia="仿宋" w:cs="仿宋"/>
          <w:b/>
          <w:color w:val="000000"/>
          <w:sz w:val="24"/>
        </w:rPr>
        <w:t>1.交货及安装、验收要求</w:t>
      </w:r>
    </w:p>
    <w:p w14:paraId="1CB3C77B">
      <w:pPr>
        <w:spacing w:line="440" w:lineRule="exact"/>
        <w:rPr>
          <w:rFonts w:ascii="仿宋" w:hAnsi="仿宋" w:eastAsia="仿宋" w:cs="仿宋"/>
          <w:color w:val="000000"/>
          <w:sz w:val="24"/>
        </w:rPr>
      </w:pPr>
      <w:r>
        <w:rPr>
          <w:rFonts w:hint="eastAsia" w:ascii="仿宋" w:hAnsi="仿宋" w:eastAsia="仿宋" w:cs="仿宋"/>
          <w:color w:val="000000"/>
          <w:sz w:val="24"/>
        </w:rPr>
        <w:t>1.1交货地点：采购人指定地点。</w:t>
      </w:r>
    </w:p>
    <w:p w14:paraId="46063178">
      <w:pPr>
        <w:spacing w:line="440" w:lineRule="exact"/>
        <w:rPr>
          <w:rFonts w:hint="eastAsia" w:ascii="仿宋" w:hAnsi="仿宋" w:eastAsia="仿宋" w:cs="仿宋"/>
          <w:color w:val="000000"/>
          <w:sz w:val="24"/>
        </w:rPr>
      </w:pPr>
      <w:r>
        <w:rPr>
          <w:rFonts w:hint="eastAsia" w:ascii="仿宋" w:hAnsi="仿宋" w:eastAsia="仿宋" w:cs="仿宋"/>
          <w:color w:val="000000"/>
          <w:sz w:val="24"/>
        </w:rPr>
        <w:t>1.2交货期：中标供应商应当在中标通知书发出之日起30日内按招标文件及中标人的投标文件确定的事项与采购人签订合同，签订合同后</w:t>
      </w:r>
      <w:r>
        <w:rPr>
          <w:rFonts w:hint="eastAsia" w:ascii="仿宋" w:hAnsi="仿宋" w:eastAsia="仿宋" w:cs="仿宋"/>
          <w:color w:val="000000"/>
          <w:sz w:val="24"/>
          <w:highlight w:val="none"/>
          <w:u w:val="single"/>
        </w:rPr>
        <w:t xml:space="preserve">  30  </w:t>
      </w:r>
      <w:r>
        <w:rPr>
          <w:rFonts w:hint="eastAsia" w:ascii="仿宋" w:hAnsi="仿宋" w:eastAsia="仿宋" w:cs="仿宋"/>
          <w:color w:val="000000"/>
          <w:sz w:val="24"/>
          <w:highlight w:val="none"/>
        </w:rPr>
        <w:t>日</w:t>
      </w:r>
      <w:r>
        <w:rPr>
          <w:rFonts w:hint="eastAsia" w:ascii="仿宋" w:hAnsi="仿宋" w:eastAsia="仿宋" w:cs="仿宋"/>
          <w:color w:val="000000"/>
          <w:sz w:val="24"/>
        </w:rPr>
        <w:t>内完成设备的安装调试。</w:t>
      </w:r>
    </w:p>
    <w:p w14:paraId="37F390AB">
      <w:pPr>
        <w:spacing w:line="440" w:lineRule="exact"/>
        <w:rPr>
          <w:rFonts w:hint="eastAsia" w:ascii="仿宋" w:hAnsi="仿宋" w:eastAsia="仿宋" w:cs="仿宋"/>
          <w:color w:val="000000"/>
          <w:sz w:val="24"/>
          <w:highlight w:val="none"/>
        </w:rPr>
      </w:pPr>
      <w:r>
        <w:rPr>
          <w:rFonts w:hint="eastAsia" w:ascii="仿宋" w:hAnsi="仿宋" w:eastAsia="仿宋" w:cs="仿宋"/>
          <w:color w:val="000000"/>
          <w:sz w:val="24"/>
        </w:rPr>
        <w:t>1.3合同设备交付时中标供应商应提供合同设备真实有效的生产日期，且保证合</w:t>
      </w:r>
      <w:r>
        <w:rPr>
          <w:rFonts w:hint="eastAsia" w:ascii="仿宋" w:hAnsi="仿宋" w:eastAsia="仿宋" w:cs="仿宋"/>
          <w:color w:val="000000"/>
          <w:sz w:val="24"/>
          <w:highlight w:val="none"/>
        </w:rPr>
        <w:t>同设备的生产日期距交付时的时间差国产设备不超过</w:t>
      </w:r>
      <w:r>
        <w:rPr>
          <w:rFonts w:hint="eastAsia" w:ascii="仿宋" w:hAnsi="仿宋" w:eastAsia="仿宋" w:cs="仿宋"/>
          <w:color w:val="000000"/>
          <w:sz w:val="24"/>
          <w:highlight w:val="none"/>
          <w:u w:val="single"/>
        </w:rPr>
        <w:t>3</w:t>
      </w:r>
      <w:r>
        <w:rPr>
          <w:rFonts w:hint="eastAsia" w:ascii="仿宋" w:hAnsi="仿宋" w:eastAsia="仿宋" w:cs="仿宋"/>
          <w:color w:val="000000"/>
          <w:sz w:val="24"/>
          <w:highlight w:val="none"/>
        </w:rPr>
        <w:t>个月，进口设备不超过</w:t>
      </w:r>
      <w:r>
        <w:rPr>
          <w:rFonts w:hint="eastAsia" w:ascii="仿宋" w:hAnsi="仿宋" w:eastAsia="仿宋" w:cs="仿宋"/>
          <w:color w:val="000000"/>
          <w:sz w:val="24"/>
          <w:highlight w:val="none"/>
          <w:u w:val="single"/>
        </w:rPr>
        <w:t>12</w:t>
      </w:r>
      <w:r>
        <w:rPr>
          <w:rFonts w:hint="eastAsia" w:ascii="仿宋" w:hAnsi="仿宋" w:eastAsia="仿宋" w:cs="仿宋"/>
          <w:color w:val="000000"/>
          <w:sz w:val="24"/>
          <w:highlight w:val="none"/>
        </w:rPr>
        <w:t>个月。</w:t>
      </w:r>
    </w:p>
    <w:p w14:paraId="6D6093F7">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1.4中标供应商须保证中标后所提供的设备为原装、全新合格的产品。</w:t>
      </w:r>
    </w:p>
    <w:p w14:paraId="65963C6A">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1.5中标供应商负责派技术人员到现场进行安装调试，直至验收合格，安装调试所需费用应包含在投标总报价内；同时提供培训服务，必须保证需求科室操作人员融会贯通，培训所需费用全部包含在总报价内。</w:t>
      </w:r>
    </w:p>
    <w:p w14:paraId="4C9E1BE5">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1.6验收方式：按《小榄镇公立医院政府采购和验收办法》。</w:t>
      </w:r>
    </w:p>
    <w:p w14:paraId="52EDB4CC">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★1.7投标供应商须要在投标文件做出具承诺函，该承诺函包括但不限于以下内容:</w:t>
      </w:r>
    </w:p>
    <w:p w14:paraId="4485FE9F">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承诺中标后须在中标公告发布之日起五个工作日内提供设备制造厂商开具并盖章的合法有效的授权函原件（盖鲜章）、售后服务承诺函原件（盖鲜章）。</w:t>
      </w:r>
    </w:p>
    <w:p w14:paraId="23CDB822">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1.8乙方所投设备属于计量仪器的，需通过具有国家部门颁发专业检测资质证书的第三方计量检测单位检测并提供合格报告。</w:t>
      </w:r>
    </w:p>
    <w:p w14:paraId="17A1406D">
      <w:pPr>
        <w:spacing w:line="440" w:lineRule="exact"/>
        <w:rPr>
          <w:rFonts w:ascii="仿宋" w:hAnsi="仿宋" w:eastAsia="仿宋" w:cs="仿宋"/>
          <w:b/>
          <w:color w:val="000000"/>
          <w:sz w:val="24"/>
        </w:rPr>
      </w:pPr>
      <w:r>
        <w:rPr>
          <w:rFonts w:hint="eastAsia" w:ascii="仿宋" w:hAnsi="仿宋" w:eastAsia="仿宋" w:cs="仿宋"/>
          <w:b/>
          <w:color w:val="000000"/>
          <w:sz w:val="24"/>
        </w:rPr>
        <w:t>2.售后服务要求</w:t>
      </w:r>
    </w:p>
    <w:p w14:paraId="0C97A6F8">
      <w:pPr>
        <w:tabs>
          <w:tab w:val="left" w:pos="420"/>
        </w:tabs>
        <w:spacing w:line="440" w:lineRule="exact"/>
        <w:rPr>
          <w:rFonts w:ascii="仿宋" w:hAnsi="仿宋" w:eastAsia="仿宋" w:cs="仿宋"/>
          <w:color w:val="000000"/>
          <w:sz w:val="24"/>
        </w:rPr>
      </w:pPr>
      <w:r>
        <w:rPr>
          <w:rFonts w:hint="eastAsia" w:ascii="仿宋" w:hAnsi="仿宋" w:eastAsia="仿宋" w:cs="仿宋"/>
          <w:color w:val="000000"/>
          <w:sz w:val="24"/>
        </w:rPr>
        <w:t>2.1中标供应商必须在中国境内有售后服务机构，并附有售后服务能力说明。</w:t>
      </w:r>
    </w:p>
    <w:p w14:paraId="67635860">
      <w:pPr>
        <w:spacing w:line="440" w:lineRule="exact"/>
        <w:rPr>
          <w:rFonts w:ascii="仿宋" w:hAnsi="仿宋" w:eastAsia="仿宋" w:cs="仿宋"/>
          <w:color w:val="000000"/>
          <w:sz w:val="24"/>
        </w:rPr>
      </w:pPr>
      <w:r>
        <w:rPr>
          <w:rFonts w:hint="eastAsia" w:ascii="仿宋" w:hAnsi="仿宋" w:eastAsia="仿宋" w:cs="仿宋"/>
          <w:color w:val="000000"/>
          <w:sz w:val="24"/>
        </w:rPr>
        <w:t>★2.2中标供应商须提供设备原厂质保（设备原厂质量保修范围和保修期）至少</w:t>
      </w:r>
      <w:r>
        <w:rPr>
          <w:rFonts w:hint="eastAsia" w:ascii="仿宋" w:hAnsi="仿宋" w:eastAsia="仿宋" w:cs="仿宋"/>
          <w:color w:val="000000"/>
          <w:sz w:val="24"/>
          <w:highlight w:val="none"/>
        </w:rPr>
        <w:t>为</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3</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p>
    <w:p w14:paraId="54BADAD0">
      <w:pPr>
        <w:spacing w:line="440" w:lineRule="exact"/>
        <w:rPr>
          <w:rFonts w:ascii="仿宋" w:hAnsi="仿宋" w:eastAsia="仿宋" w:cs="仿宋"/>
          <w:color w:val="000000"/>
          <w:sz w:val="24"/>
        </w:rPr>
      </w:pPr>
      <w:r>
        <w:rPr>
          <w:rFonts w:hint="eastAsia" w:ascii="仿宋" w:hAnsi="仿宋" w:eastAsia="仿宋" w:cs="仿宋"/>
          <w:color w:val="000000"/>
          <w:sz w:val="24"/>
        </w:rPr>
        <w:t>2.3在售后期内，中标供应商在接到用户的维修通知，响应时间为半小时内，工程师到达现场时间为4小时内，排除故障时限为到达现场后8小时内。</w:t>
      </w:r>
    </w:p>
    <w:p w14:paraId="67A6639B">
      <w:pPr>
        <w:spacing w:line="440" w:lineRule="exact"/>
        <w:rPr>
          <w:rFonts w:ascii="仿宋" w:hAnsi="仿宋" w:eastAsia="仿宋" w:cs="仿宋"/>
          <w:color w:val="000000"/>
          <w:sz w:val="24"/>
        </w:rPr>
      </w:pPr>
      <w:r>
        <w:rPr>
          <w:rFonts w:hint="eastAsia" w:ascii="仿宋" w:hAnsi="仿宋" w:eastAsia="仿宋" w:cs="仿宋"/>
          <w:color w:val="000000"/>
          <w:sz w:val="24"/>
        </w:rPr>
        <w:t>2.4如果产品故障在检修12小时后仍无法排除，中标供应商应在24小时内提供不低于故障产品规格型号档次的备用产品供采购人使用，直至故障产品修复。</w:t>
      </w:r>
    </w:p>
    <w:p w14:paraId="0C59E5FD">
      <w:pPr>
        <w:spacing w:line="440" w:lineRule="exact"/>
        <w:rPr>
          <w:rFonts w:ascii="仿宋" w:hAnsi="仿宋" w:eastAsia="仿宋" w:cs="仿宋"/>
          <w:b/>
          <w:color w:val="000000"/>
          <w:sz w:val="24"/>
        </w:rPr>
      </w:pPr>
      <w:r>
        <w:rPr>
          <w:rFonts w:hint="eastAsia" w:ascii="仿宋" w:hAnsi="仿宋" w:eastAsia="仿宋" w:cs="仿宋"/>
          <w:b/>
          <w:color w:val="000000"/>
          <w:sz w:val="24"/>
        </w:rPr>
        <w:t>3.付款方式</w:t>
      </w:r>
    </w:p>
    <w:p w14:paraId="44F59B40">
      <w:pPr>
        <w:spacing w:line="440" w:lineRule="exact"/>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14:paraId="7EAA137D">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14:paraId="0DE17E2F">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14:paraId="3758FDF8">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14:paraId="61CB98B3">
      <w:pPr>
        <w:spacing w:line="440" w:lineRule="exact"/>
        <w:rPr>
          <w:rFonts w:hint="eastAsia"/>
          <w:b/>
          <w:sz w:val="32"/>
          <w:szCs w:val="32"/>
        </w:rPr>
      </w:pPr>
      <w:r>
        <w:rPr>
          <w:rFonts w:hint="eastAsia" w:ascii="仿宋" w:hAnsi="仿宋" w:eastAsia="仿宋" w:cs="仿宋"/>
          <w:color w:val="000000"/>
          <w:sz w:val="24"/>
          <w:highlight w:val="none"/>
        </w:rPr>
        <w:t>★3.2</w:t>
      </w:r>
      <w:r>
        <w:rPr>
          <w:rFonts w:hint="eastAsia" w:ascii="仿宋" w:hAnsi="仿宋" w:eastAsia="仿宋" w:cs="仿宋"/>
          <w:sz w:val="24"/>
          <w:highlight w:val="none"/>
        </w:rPr>
        <w:t>具体付款方式：本合同分</w:t>
      </w:r>
      <w:r>
        <w:rPr>
          <w:rFonts w:hint="eastAsia" w:ascii="仿宋" w:hAnsi="仿宋" w:eastAsia="仿宋" w:cs="仿宋"/>
          <w:sz w:val="24"/>
          <w:highlight w:val="none"/>
          <w:lang w:val="en-US" w:eastAsia="zh-CN"/>
        </w:rPr>
        <w:t>两</w:t>
      </w:r>
      <w:r>
        <w:rPr>
          <w:rFonts w:hint="eastAsia" w:ascii="仿宋" w:hAnsi="仿宋" w:eastAsia="仿宋" w:cs="仿宋"/>
          <w:sz w:val="24"/>
          <w:highlight w:val="none"/>
        </w:rPr>
        <w:t>期支付，第一期：乙方按合同协议时间提供货物，并经协议规定的验收人员书面确认验收合格后，开具全额发票，甲方确认无误后一个月内支付合同总金额的</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5%的款项。第</w:t>
      </w:r>
      <w:r>
        <w:rPr>
          <w:rFonts w:hint="eastAsia" w:ascii="仿宋" w:hAnsi="仿宋" w:eastAsia="仿宋" w:cs="仿宋"/>
          <w:sz w:val="24"/>
          <w:highlight w:val="none"/>
          <w:lang w:val="en-US" w:eastAsia="zh-CN"/>
        </w:rPr>
        <w:t>二</w:t>
      </w:r>
      <w:r>
        <w:rPr>
          <w:rFonts w:hint="eastAsia" w:ascii="仿宋" w:hAnsi="仿宋" w:eastAsia="仿宋" w:cs="仿宋"/>
          <w:sz w:val="24"/>
          <w:highlight w:val="none"/>
        </w:rPr>
        <w:t>期：合同总金额的5%的款项在</w:t>
      </w:r>
      <w:r>
        <w:rPr>
          <w:rFonts w:hint="eastAsia" w:ascii="仿宋" w:hAnsi="仿宋" w:eastAsia="仿宋" w:cs="仿宋"/>
          <w:sz w:val="24"/>
          <w:highlight w:val="none"/>
          <w:u w:val="single"/>
        </w:rPr>
        <w:t>质保期</w:t>
      </w:r>
      <w:r>
        <w:rPr>
          <w:rFonts w:hint="eastAsia" w:ascii="仿宋" w:hAnsi="仿宋" w:eastAsia="仿宋" w:cs="仿宋"/>
          <w:sz w:val="24"/>
          <w:highlight w:val="none"/>
        </w:rPr>
        <w:t>后无息支付。</w:t>
      </w:r>
    </w:p>
    <w:p w14:paraId="14DBBB1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E7C1D"/>
    <w:multiLevelType w:val="singleLevel"/>
    <w:tmpl w:val="18FE7C1D"/>
    <w:lvl w:ilvl="0" w:tentative="0">
      <w:start w:val="1"/>
      <w:numFmt w:val="decimal"/>
      <w:lvlText w:val="%1."/>
      <w:lvlJc w:val="left"/>
      <w:pPr>
        <w:tabs>
          <w:tab w:val="left" w:pos="312"/>
        </w:tabs>
      </w:pPr>
    </w:lvl>
  </w:abstractNum>
  <w:abstractNum w:abstractNumId="1">
    <w:nsid w:val="1E7E8738"/>
    <w:multiLevelType w:val="singleLevel"/>
    <w:tmpl w:val="1E7E873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M2OTU3OTk1ZjcwZjIwOWY2YjNlNzE3NTZjODBjMTA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5FA785B"/>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7F074E5"/>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5</Pages>
  <Words>432</Words>
  <Characters>493</Characters>
  <Lines>5</Lines>
  <Paragraphs>1</Paragraphs>
  <TotalTime>4</TotalTime>
  <ScaleCrop>false</ScaleCrop>
  <LinksUpToDate>false</LinksUpToDate>
  <CharactersWithSpaces>577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2024-08-07T03:05:17Z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3D822DBC6B0043ACAB372B0AB2E84D24</vt:lpwstr>
  </property>
</Properties>
</file>