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3"/>
        <w:ind w:left="0" w:leftChars="0" w:firstLine="0" w:firstLineChars="0"/>
        <w:rPr>
          <w:rFonts w:hint="eastAsia"/>
          <w:b/>
          <w:bCs/>
          <w:color w:val="0000FF"/>
          <w:sz w:val="24"/>
        </w:rPr>
      </w:pPr>
    </w:p>
    <w:p>
      <w:pPr>
        <w:pStyle w:val="3"/>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r>
              <w:rPr>
                <w:rFonts w:hint="eastAsia" w:ascii="仿宋" w:hAnsi="仿宋" w:eastAsia="仿宋" w:cs="仿宋"/>
                <w:color w:val="000000"/>
                <w:sz w:val="24"/>
                <w:lang w:val="en-US" w:eastAsia="zh-CN"/>
              </w:rPr>
              <w:t>台</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血栓弹力图仪</w:t>
            </w:r>
          </w:p>
        </w:tc>
        <w:tc>
          <w:tcPr>
            <w:tcW w:w="2268"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检验科</w:t>
            </w:r>
          </w:p>
        </w:tc>
        <w:tc>
          <w:tcPr>
            <w:tcW w:w="2508"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r>
    </w:tbl>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rPr>
        <w:t>核心产品：</w:t>
      </w:r>
      <w:r>
        <w:rPr>
          <w:rFonts w:hint="eastAsia" w:ascii="仿宋" w:hAnsi="仿宋" w:eastAsia="仿宋" w:cs="仿宋"/>
          <w:color w:val="000000"/>
          <w:sz w:val="24"/>
          <w:lang w:val="en-US" w:eastAsia="zh-CN"/>
        </w:rPr>
        <w:t>血栓弹力图仪</w:t>
      </w:r>
    </w:p>
    <w:p>
      <w:pPr>
        <w:spacing w:line="440" w:lineRule="exact"/>
        <w:rPr>
          <w:rFonts w:ascii="仿宋" w:hAnsi="仿宋" w:eastAsia="仿宋" w:cs="仿宋"/>
          <w:color w:val="000000"/>
          <w:sz w:val="24"/>
        </w:rPr>
      </w:pPr>
    </w:p>
    <w:p>
      <w:pPr>
        <w:numPr>
          <w:ilvl w:val="0"/>
          <w:numId w:val="0"/>
        </w:numPr>
        <w:spacing w:line="440" w:lineRule="exact"/>
        <w:rPr>
          <w:rFonts w:hint="eastAsia" w:hAnsi="宋体" w:eastAsia="仿宋" w:cs="宋体"/>
          <w:sz w:val="24"/>
          <w:lang w:eastAsia="zh-CN"/>
        </w:rPr>
      </w:pPr>
      <w:r>
        <w:rPr>
          <w:rFonts w:hint="eastAsia" w:ascii="仿宋" w:hAnsi="仿宋" w:eastAsia="仿宋" w:cs="仿宋"/>
          <w:color w:val="000000"/>
          <w:sz w:val="24"/>
        </w:rPr>
        <w:t>用途：用于指导临床成分输血和相关药物使用、多种情况下即时的凝血监测、预测静脉血栓风险</w:t>
      </w:r>
      <w:r>
        <w:rPr>
          <w:rFonts w:hint="eastAsia" w:ascii="仿宋" w:hAnsi="仿宋" w:eastAsia="仿宋" w:cs="仿宋"/>
          <w:color w:val="000000"/>
          <w:sz w:val="24"/>
          <w:lang w:val="en-US" w:eastAsia="zh-CN"/>
        </w:rPr>
        <w:t>等</w:t>
      </w:r>
      <w:r>
        <w:rPr>
          <w:rFonts w:hint="eastAsia" w:ascii="仿宋" w:hAnsi="仿宋" w:eastAsia="仿宋" w:cs="仿宋"/>
          <w:color w:val="000000"/>
          <w:sz w:val="24"/>
          <w:lang w:eastAsia="zh-CN"/>
        </w:rPr>
        <w:t>。</w:t>
      </w:r>
    </w:p>
    <w:p>
      <w:pPr>
        <w:spacing w:line="440" w:lineRule="exact"/>
        <w:rPr>
          <w:rFonts w:ascii="仿宋" w:hAnsi="仿宋" w:eastAsia="仿宋" w:cs="仿宋"/>
          <w:b/>
          <w:color w:val="000000"/>
          <w:sz w:val="24"/>
        </w:rPr>
      </w:pP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7599" w:type="dxa"/>
            <w:noWrap w:val="0"/>
            <w:vAlign w:val="top"/>
          </w:tcPr>
          <w:p>
            <w:pPr>
              <w:spacing w:line="44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sz w:val="24"/>
                <w:szCs w:val="24"/>
              </w:rPr>
              <w:t>▲检测方法及原理：悬垂丝法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7599" w:type="dxa"/>
            <w:noWrap w:val="0"/>
            <w:vAlign w:val="top"/>
          </w:tcPr>
          <w:p>
            <w:pPr>
              <w:spacing w:line="44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sz w:val="24"/>
                <w:szCs w:val="24"/>
              </w:rPr>
              <w:t>检测项目：普通杯检测；肝素杯检测；血小板聚集功能检测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w:t>
            </w:r>
          </w:p>
        </w:tc>
        <w:tc>
          <w:tcPr>
            <w:tcW w:w="7599" w:type="dxa"/>
            <w:noWrap w:val="0"/>
            <w:vAlign w:val="top"/>
          </w:tcPr>
          <w:p>
            <w:pPr>
              <w:spacing w:line="44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sz w:val="24"/>
                <w:szCs w:val="24"/>
              </w:rPr>
              <w:t>检测时间：检测速度可≥15测试/小时，每次检测全血用量        0.1-0.4ML，自动摇匀标本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4</w:t>
            </w:r>
          </w:p>
        </w:tc>
        <w:tc>
          <w:tcPr>
            <w:tcW w:w="7599" w:type="dxa"/>
            <w:noWrap w:val="0"/>
            <w:vAlign w:val="top"/>
          </w:tcPr>
          <w:p>
            <w:pPr>
              <w:spacing w:line="44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sz w:val="24"/>
                <w:szCs w:val="24"/>
              </w:rPr>
              <w:t>检测通道：≥8个独立运行通道，完全自动化检测，试剂和样本均无需手动前处理。自动放置试剂，自动装杯卸杯，自动加样加试剂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5</w:t>
            </w:r>
          </w:p>
        </w:tc>
        <w:tc>
          <w:tcPr>
            <w:tcW w:w="7599" w:type="dxa"/>
            <w:noWrap w:val="0"/>
            <w:vAlign w:val="top"/>
          </w:tcPr>
          <w:p>
            <w:pPr>
              <w:spacing w:line="44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sz w:val="24"/>
                <w:szCs w:val="24"/>
                <w:lang w:eastAsia="zh-CN"/>
              </w:rPr>
              <w:t>样本位：可一次性装载</w:t>
            </w:r>
            <w:r>
              <w:rPr>
                <w:rFonts w:hint="eastAsia" w:ascii="仿宋" w:hAnsi="仿宋" w:eastAsia="仿宋" w:cs="仿宋"/>
                <w:sz w:val="24"/>
                <w:szCs w:val="24"/>
              </w:rPr>
              <w:t>≥</w:t>
            </w:r>
            <w:r>
              <w:rPr>
                <w:rFonts w:hint="eastAsia" w:ascii="仿宋" w:hAnsi="仿宋" w:eastAsia="仿宋" w:cs="仿宋"/>
                <w:sz w:val="24"/>
                <w:szCs w:val="24"/>
                <w:lang w:val="en-US" w:eastAsia="zh-CN"/>
              </w:rPr>
              <w:t>24</w:t>
            </w:r>
            <w:r>
              <w:rPr>
                <w:rFonts w:hint="eastAsia" w:ascii="仿宋" w:hAnsi="仿宋" w:eastAsia="仿宋" w:cs="仿宋"/>
                <w:sz w:val="24"/>
                <w:szCs w:val="24"/>
                <w:lang w:eastAsia="zh-CN"/>
              </w:rPr>
              <w:t>个样本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6</w:t>
            </w:r>
          </w:p>
        </w:tc>
        <w:tc>
          <w:tcPr>
            <w:tcW w:w="7599" w:type="dxa"/>
            <w:noWrap w:val="0"/>
            <w:vAlign w:val="top"/>
          </w:tcPr>
          <w:p>
            <w:pPr>
              <w:spacing w:line="44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sz w:val="24"/>
                <w:szCs w:val="24"/>
              </w:rPr>
              <w:t>样本要求：枸橼酸钠全血、肝素抗凝全血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7</w:t>
            </w:r>
          </w:p>
        </w:tc>
        <w:tc>
          <w:tcPr>
            <w:tcW w:w="7599" w:type="dxa"/>
            <w:noWrap w:val="0"/>
            <w:vAlign w:val="top"/>
          </w:tcPr>
          <w:p>
            <w:pPr>
              <w:spacing w:line="440" w:lineRule="exact"/>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试剂位：</w:t>
            </w:r>
            <w:r>
              <w:rPr>
                <w:rFonts w:hint="eastAsia" w:ascii="仿宋" w:hAnsi="仿宋" w:eastAsia="仿宋" w:cs="仿宋"/>
                <w:sz w:val="24"/>
                <w:szCs w:val="24"/>
              </w:rPr>
              <w:t>≥</w:t>
            </w:r>
            <w:r>
              <w:rPr>
                <w:rFonts w:hint="eastAsia" w:ascii="仿宋" w:hAnsi="仿宋" w:eastAsia="仿宋" w:cs="仿宋"/>
                <w:sz w:val="24"/>
                <w:szCs w:val="24"/>
                <w:lang w:eastAsia="zh-CN"/>
              </w:rPr>
              <w:t>7个试剂位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8</w:t>
            </w:r>
          </w:p>
        </w:tc>
        <w:tc>
          <w:tcPr>
            <w:tcW w:w="7599" w:type="dxa"/>
            <w:noWrap w:val="0"/>
            <w:vAlign w:val="top"/>
          </w:tcPr>
          <w:p>
            <w:pPr>
              <w:spacing w:line="440" w:lineRule="exact"/>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温度控制：每个通道均由独立温度控制系统，可根据需要调节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9</w:t>
            </w:r>
          </w:p>
        </w:tc>
        <w:tc>
          <w:tcPr>
            <w:tcW w:w="7599" w:type="dxa"/>
            <w:noWrap w:val="0"/>
            <w:vAlign w:val="top"/>
          </w:tcPr>
          <w:p>
            <w:pPr>
              <w:spacing w:line="440" w:lineRule="exact"/>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rPr>
              <w:t>★具有原厂生产的血栓弹力图专用质控品。满足各等级评审及ISO</w:t>
            </w:r>
            <w:r>
              <w:rPr>
                <w:rFonts w:hint="eastAsia" w:ascii="仿宋" w:hAnsi="仿宋" w:eastAsia="仿宋" w:cs="仿宋"/>
                <w:sz w:val="24"/>
                <w:szCs w:val="24"/>
                <w:lang w:val="en-US" w:eastAsia="zh-CN"/>
              </w:rPr>
              <w:t>15189</w:t>
            </w:r>
            <w:r>
              <w:rPr>
                <w:rFonts w:hint="eastAsia" w:ascii="仿宋" w:hAnsi="仿宋" w:eastAsia="仿宋" w:cs="仿宋"/>
                <w:sz w:val="24"/>
                <w:szCs w:val="24"/>
              </w:rPr>
              <w:t>对质控的要求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10</w:t>
            </w:r>
          </w:p>
        </w:tc>
        <w:tc>
          <w:tcPr>
            <w:tcW w:w="7599" w:type="dxa"/>
            <w:noWrap w:val="0"/>
            <w:vAlign w:val="top"/>
          </w:tcPr>
          <w:p>
            <w:pPr>
              <w:spacing w:line="440" w:lineRule="exact"/>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rPr>
              <w:t>★提供有溯源性的有证校准物，每年按相关行业标</w:t>
            </w:r>
            <w:r>
              <w:rPr>
                <w:rFonts w:hint="eastAsia" w:ascii="仿宋" w:hAnsi="仿宋" w:eastAsia="仿宋" w:cs="仿宋"/>
                <w:sz w:val="24"/>
                <w:szCs w:val="24"/>
                <w:highlight w:val="none"/>
              </w:rPr>
              <w:t>准免费</w:t>
            </w:r>
            <w:r>
              <w:rPr>
                <w:rFonts w:hint="eastAsia" w:ascii="仿宋" w:hAnsi="仿宋" w:eastAsia="仿宋" w:cs="仿宋"/>
                <w:sz w:val="24"/>
                <w:szCs w:val="24"/>
              </w:rPr>
              <w:t>对</w:t>
            </w:r>
            <w:r>
              <w:rPr>
                <w:rFonts w:hint="eastAsia" w:ascii="仿宋" w:hAnsi="仿宋" w:eastAsia="仿宋" w:cs="仿宋"/>
                <w:sz w:val="24"/>
                <w:szCs w:val="24"/>
                <w:lang w:val="en-US" w:eastAsia="zh-CN"/>
              </w:rPr>
              <w:t>血栓弹力图仪</w:t>
            </w:r>
            <w:r>
              <w:rPr>
                <w:rFonts w:hint="eastAsia" w:ascii="仿宋" w:hAnsi="仿宋" w:eastAsia="仿宋" w:cs="仿宋"/>
                <w:sz w:val="24"/>
                <w:szCs w:val="24"/>
              </w:rPr>
              <w:t>进行校准。若因仪器性能不佳导致无法满足实验室质量要求时，应适当增加校准次数，保证仪器的正常使用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11</w:t>
            </w:r>
          </w:p>
        </w:tc>
        <w:tc>
          <w:tcPr>
            <w:tcW w:w="7599" w:type="dxa"/>
            <w:noWrap w:val="0"/>
            <w:vAlign w:val="top"/>
          </w:tcPr>
          <w:p>
            <w:pPr>
              <w:spacing w:line="440" w:lineRule="exact"/>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rPr>
              <w:t>★按相关行业标准和实验室管理要求，免费完成仪器启用前的性能验证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12</w:t>
            </w:r>
          </w:p>
        </w:tc>
        <w:tc>
          <w:tcPr>
            <w:tcW w:w="7599" w:type="dxa"/>
            <w:noWrap w:val="0"/>
            <w:vAlign w:val="top"/>
          </w:tcPr>
          <w:p>
            <w:pPr>
              <w:spacing w:line="440" w:lineRule="exact"/>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sz w:val="24"/>
                <w:szCs w:val="24"/>
                <w:highlight w:val="none"/>
              </w:rPr>
              <w:t>试剂和耗材支持：开展检测项目所需</w:t>
            </w:r>
            <w:r>
              <w:rPr>
                <w:rFonts w:hint="eastAsia" w:ascii="仿宋" w:hAnsi="仿宋" w:eastAsia="仿宋" w:cs="仿宋"/>
                <w:sz w:val="24"/>
                <w:szCs w:val="24"/>
                <w:highlight w:val="none"/>
                <w:lang w:val="en-US" w:eastAsia="zh-CN"/>
              </w:rPr>
              <w:t>所有的</w:t>
            </w:r>
            <w:r>
              <w:rPr>
                <w:rFonts w:hint="eastAsia" w:ascii="仿宋" w:hAnsi="仿宋" w:eastAsia="仿宋" w:cs="仿宋"/>
                <w:sz w:val="24"/>
                <w:szCs w:val="24"/>
                <w:highlight w:val="none"/>
              </w:rPr>
              <w:t>试剂耗材成本不高于《中山市非营利性医疗机构医疗服务价格》现行版本中收费标准的</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w:t>
            </w:r>
            <w:r>
              <w:rPr>
                <w:rFonts w:hint="eastAsia" w:ascii="仿宋" w:hAnsi="仿宋" w:eastAsia="仿宋" w:cs="仿宋"/>
                <w:sz w:val="24"/>
                <w:szCs w:val="24"/>
              </w:rPr>
              <w:t>。要求提供仪器设备所需要购买的试剂、耗材等物品的清单（包括试剂、质控品、</w:t>
            </w:r>
            <w:r>
              <w:rPr>
                <w:rFonts w:hint="eastAsia" w:ascii="仿宋" w:hAnsi="仿宋" w:eastAsia="仿宋" w:cs="仿宋"/>
                <w:sz w:val="24"/>
                <w:szCs w:val="24"/>
                <w:lang w:val="en-US" w:eastAsia="zh-CN"/>
              </w:rPr>
              <w:t>校</w:t>
            </w:r>
            <w:r>
              <w:rPr>
                <w:rFonts w:hint="eastAsia" w:ascii="仿宋" w:hAnsi="仿宋" w:eastAsia="仿宋" w:cs="仿宋"/>
                <w:sz w:val="24"/>
                <w:szCs w:val="24"/>
              </w:rPr>
              <w:t>准品及其它耗材等消耗品的种类、规格型号、价格等清单，提供测试/个计算依据，并提供测试/个的价格清单</w:t>
            </w:r>
            <w:r>
              <w:rPr>
                <w:rFonts w:hint="eastAsia" w:ascii="仿宋" w:hAnsi="仿宋" w:eastAsia="仿宋" w:cs="仿宋"/>
                <w:sz w:val="24"/>
                <w:szCs w:val="24"/>
                <w:lang w:eastAsia="zh-CN"/>
              </w:rPr>
              <w:t>）</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13</w:t>
            </w:r>
          </w:p>
        </w:tc>
        <w:tc>
          <w:tcPr>
            <w:tcW w:w="7599" w:type="dxa"/>
            <w:noWrap w:val="0"/>
            <w:vAlign w:val="top"/>
          </w:tcPr>
          <w:p>
            <w:pPr>
              <w:spacing w:line="440" w:lineRule="exact"/>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rPr>
              <w:t>软件功能：专用配套软件，自动记录检测结果，具有数据导出功能，报告单编辑和打印功能，方便临床医师提取和查询，显示初步诊断结果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14</w:t>
            </w:r>
          </w:p>
        </w:tc>
        <w:tc>
          <w:tcPr>
            <w:tcW w:w="7599" w:type="dxa"/>
            <w:noWrap w:val="0"/>
            <w:vAlign w:val="top"/>
          </w:tcPr>
          <w:p>
            <w:pPr>
              <w:spacing w:line="440" w:lineRule="exact"/>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rPr>
              <w:t>★（1）提供标准R232数据接口，仪器配置样品条形识别装置，配置匹配该设备使用的最新版本产前筛查软件，为独立的中间体软件，接口软件可与实验室信息管理系统LIS 系统实现双向通信，所需费用由成交供应商负责。提供工作电脑，并按实验室要求与医院现有LIS 系统连接，由成交供应商负责LIS 等连接的所有费用。若因仪器接入而需对医院现有LIS系统进行改造或升级，所产生的费用也由成交供应商负责。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15</w:t>
            </w:r>
          </w:p>
        </w:tc>
        <w:tc>
          <w:tcPr>
            <w:tcW w:w="7599" w:type="dxa"/>
            <w:noWrap w:val="0"/>
            <w:vAlign w:val="top"/>
          </w:tcPr>
          <w:p>
            <w:pPr>
              <w:spacing w:line="440" w:lineRule="exact"/>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rPr>
              <w:t>配备原厂中文报告及数据处理系统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16</w:t>
            </w:r>
          </w:p>
        </w:tc>
        <w:tc>
          <w:tcPr>
            <w:tcW w:w="759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设备使用年限≥5年</w:t>
            </w:r>
          </w:p>
        </w:tc>
      </w:tr>
    </w:tbl>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46"/>
        <w:gridCol w:w="4178"/>
        <w:gridCol w:w="9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446"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417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要求</w:t>
            </w:r>
          </w:p>
        </w:tc>
        <w:tc>
          <w:tcPr>
            <w:tcW w:w="96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92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144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0"/>
                <w:sz w:val="24"/>
                <w:szCs w:val="24"/>
              </w:rPr>
              <w:t>电脑</w:t>
            </w:r>
          </w:p>
        </w:tc>
        <w:tc>
          <w:tcPr>
            <w:tcW w:w="417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0"/>
                <w:sz w:val="24"/>
                <w:szCs w:val="24"/>
              </w:rPr>
              <w:t>操作平台为近两年市场上主流品牌配置平台（硬盘容量≥500 G），显示器≥24寸，操作系统正版windows7以上，操作软件为中文/英文，可多窗口操作；</w:t>
            </w:r>
          </w:p>
        </w:tc>
        <w:tc>
          <w:tcPr>
            <w:tcW w:w="96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w:t>
            </w: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144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UPS</w:t>
            </w:r>
          </w:p>
        </w:tc>
        <w:tc>
          <w:tcPr>
            <w:tcW w:w="417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免费提供仪器所需的UPS ，AC 220V（波动≤10%），其它参数至少满足仪器说明书要求；</w:t>
            </w:r>
          </w:p>
        </w:tc>
        <w:tc>
          <w:tcPr>
            <w:tcW w:w="96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w:t>
            </w: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144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使用说明书</w:t>
            </w:r>
          </w:p>
        </w:tc>
        <w:tc>
          <w:tcPr>
            <w:tcW w:w="417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符合仪器使用需求</w:t>
            </w:r>
          </w:p>
        </w:tc>
        <w:tc>
          <w:tcPr>
            <w:tcW w:w="96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1</w:t>
            </w: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144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设备清单</w:t>
            </w:r>
          </w:p>
        </w:tc>
        <w:tc>
          <w:tcPr>
            <w:tcW w:w="417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提供主要配件及耗材规格型号、价格等清单</w:t>
            </w:r>
          </w:p>
        </w:tc>
        <w:tc>
          <w:tcPr>
            <w:tcW w:w="96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1</w:t>
            </w: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144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工作椅子</w:t>
            </w:r>
          </w:p>
        </w:tc>
        <w:tc>
          <w:tcPr>
            <w:tcW w:w="417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rPr>
              <w:t>有靠背，有扶手</w:t>
            </w:r>
          </w:p>
        </w:tc>
        <w:tc>
          <w:tcPr>
            <w:tcW w:w="96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3</w:t>
            </w: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张</w:t>
            </w:r>
          </w:p>
        </w:tc>
      </w:tr>
    </w:tbl>
    <w:p>
      <w:pPr>
        <w:pStyle w:val="12"/>
        <w:numPr>
          <w:ilvl w:val="0"/>
          <w:numId w:val="5"/>
        </w:numPr>
        <w:spacing w:line="440" w:lineRule="exact"/>
        <w:ind w:firstLineChars="0"/>
        <w:rPr>
          <w:rFonts w:hint="eastAsia" w:ascii="仿宋" w:hAnsi="仿宋" w:eastAsia="仿宋" w:cs="仿宋"/>
          <w:b/>
          <w:color w:val="000000"/>
          <w:sz w:val="24"/>
        </w:rPr>
      </w:pPr>
      <w:r>
        <w:rPr>
          <w:rFonts w:ascii="仿宋" w:hAnsi="仿宋" w:eastAsia="仿宋" w:cs="仿宋"/>
          <w:b/>
          <w:color w:val="000000"/>
          <w:sz w:val="24"/>
        </w:rPr>
        <w:t>设备配套耗材</w:t>
      </w:r>
      <w:r>
        <w:rPr>
          <w:rFonts w:hint="eastAsia" w:ascii="仿宋" w:hAnsi="仿宋" w:eastAsia="仿宋" w:cs="仿宋"/>
          <w:b/>
          <w:color w:val="000000"/>
          <w:sz w:val="24"/>
        </w:rPr>
        <w:t>/试剂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103"/>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410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耗材/试剂名称</w:t>
            </w:r>
          </w:p>
        </w:tc>
        <w:tc>
          <w:tcPr>
            <w:tcW w:w="3418"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4103" w:type="dxa"/>
            <w:noWrap w:val="0"/>
            <w:vAlign w:val="center"/>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活化凝血检测试剂盒（凝固法）</w:t>
            </w:r>
          </w:p>
        </w:tc>
        <w:tc>
          <w:tcPr>
            <w:tcW w:w="3418" w:type="dxa"/>
            <w:noWrap w:val="0"/>
            <w:vAlign w:val="top"/>
          </w:tcPr>
          <w:p>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90</w:t>
            </w:r>
            <w:r>
              <w:rPr>
                <w:rFonts w:hint="eastAsia" w:ascii="仿宋" w:hAnsi="仿宋" w:eastAsia="仿宋" w:cs="仿宋"/>
                <w:sz w:val="24"/>
                <w:szCs w:val="24"/>
              </w:rPr>
              <w:t>元/</w:t>
            </w:r>
            <w:r>
              <w:rPr>
                <w:rFonts w:hint="eastAsia" w:ascii="仿宋" w:hAnsi="仿宋" w:eastAsia="仿宋" w:cs="仿宋"/>
                <w:sz w:val="24"/>
                <w:szCs w:val="24"/>
                <w:lang w:val="en-US" w:eastAsia="zh-CN"/>
              </w:rPr>
              <w:t>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4103" w:type="dxa"/>
            <w:noWrap w:val="0"/>
            <w:vAlign w:val="center"/>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质控品</w:t>
            </w:r>
          </w:p>
        </w:tc>
        <w:tc>
          <w:tcPr>
            <w:tcW w:w="3418" w:type="dxa"/>
            <w:noWrap w:val="0"/>
            <w:vAlign w:val="top"/>
          </w:tcPr>
          <w:p>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4103" w:type="dxa"/>
            <w:noWrap w:val="0"/>
            <w:vAlign w:val="center"/>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Tips头</w:t>
            </w:r>
          </w:p>
        </w:tc>
        <w:tc>
          <w:tcPr>
            <w:tcW w:w="3418" w:type="dxa"/>
            <w:noWrap w:val="0"/>
            <w:vAlign w:val="top"/>
          </w:tcPr>
          <w:p>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3.5元</w:t>
            </w:r>
            <w:r>
              <w:rPr>
                <w:rFonts w:hint="eastAsia" w:ascii="仿宋" w:hAnsi="仿宋" w:eastAsia="仿宋" w:cs="仿宋"/>
                <w:sz w:val="24"/>
                <w:szCs w:val="24"/>
              </w:rPr>
              <w:t>/</w:t>
            </w:r>
            <w:r>
              <w:rPr>
                <w:rFonts w:hint="eastAsia" w:ascii="仿宋" w:hAnsi="仿宋" w:eastAsia="仿宋" w:cs="仿宋"/>
                <w:sz w:val="24"/>
                <w:szCs w:val="24"/>
                <w:lang w:val="en-US" w:eastAsia="zh-CN"/>
              </w:rPr>
              <w:t>人份</w:t>
            </w:r>
          </w:p>
        </w:tc>
      </w:tr>
    </w:tbl>
    <w:p>
      <w:pPr>
        <w:spacing w:line="440" w:lineRule="exact"/>
        <w:rPr>
          <w:rFonts w:hint="eastAsia"/>
        </w:rPr>
      </w:pPr>
      <w:r>
        <w:rPr>
          <w:rFonts w:hint="eastAsia" w:ascii="仿宋" w:hAnsi="仿宋" w:eastAsia="仿宋" w:cs="仿宋"/>
          <w:bCs/>
          <w:color w:val="000000"/>
          <w:sz w:val="24"/>
        </w:rPr>
        <w:t>★1.所有耗材必须在广东省药品电子交易平台交易并且不高于平台的限价。</w:t>
      </w:r>
    </w:p>
    <w:p>
      <w:pPr>
        <w:pStyle w:val="4"/>
        <w:rPr>
          <w:rFonts w:hint="eastAsia" w:ascii="仿宋" w:hAnsi="仿宋" w:eastAsia="仿宋" w:cs="仿宋"/>
          <w:b/>
          <w:color w:val="000000"/>
          <w:sz w:val="24"/>
          <w:lang w:val="en-US" w:eastAsia="zh-CN"/>
        </w:rPr>
      </w:pPr>
      <w:r>
        <w:rPr>
          <w:rFonts w:hint="eastAsia" w:ascii="仿宋" w:hAnsi="仿宋" w:eastAsia="仿宋" w:cs="仿宋"/>
          <w:bCs/>
          <w:sz w:val="24"/>
        </w:rPr>
        <w:t>★2.</w:t>
      </w:r>
      <w:r>
        <w:rPr>
          <w:rFonts w:ascii="仿宋" w:hAnsi="仿宋" w:eastAsia="仿宋" w:cs="仿宋"/>
          <w:bCs/>
          <w:sz w:val="24"/>
        </w:rPr>
        <w:t>所投设备的配套耗材必须有正规国家医保耗材码</w:t>
      </w:r>
      <w:r>
        <w:rPr>
          <w:rFonts w:hint="eastAsia" w:ascii="仿宋" w:hAnsi="仿宋" w:eastAsia="仿宋" w:cs="仿宋"/>
          <w:bCs/>
          <w:sz w:val="24"/>
        </w:rPr>
        <w:t>。</w:t>
      </w:r>
    </w:p>
    <w:p>
      <w:pPr>
        <w:pStyle w:val="12"/>
        <w:numPr>
          <w:ilvl w:val="0"/>
          <w:numId w:val="0"/>
        </w:numPr>
        <w:spacing w:line="440" w:lineRule="exact"/>
        <w:ind w:leftChars="0"/>
        <w:rPr>
          <w:rFonts w:ascii="仿宋" w:hAnsi="仿宋" w:eastAsia="仿宋" w:cs="仿宋"/>
          <w:b/>
          <w:color w:val="000000"/>
          <w:sz w:val="24"/>
        </w:rPr>
      </w:pPr>
      <w:r>
        <w:rPr>
          <w:rFonts w:hint="eastAsia" w:ascii="仿宋" w:hAnsi="仿宋" w:eastAsia="仿宋" w:cs="仿宋"/>
          <w:b/>
          <w:color w:val="000000"/>
          <w:sz w:val="24"/>
          <w:lang w:val="en-US" w:eastAsia="zh-CN"/>
        </w:rPr>
        <w:t>六、</w:t>
      </w: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highlight w:val="none"/>
          <w:u w:val="single"/>
        </w:rPr>
        <w:t>3</w:t>
      </w:r>
      <w:r>
        <w:rPr>
          <w:rFonts w:hint="eastAsia" w:ascii="仿宋" w:hAnsi="仿宋" w:eastAsia="仿宋" w:cs="仿宋"/>
          <w:color w:val="000000"/>
          <w:sz w:val="24"/>
          <w:highlight w:val="none"/>
        </w:rPr>
        <w:t>个月，进口设备不超过</w:t>
      </w:r>
      <w:r>
        <w:rPr>
          <w:rFonts w:hint="eastAsia" w:ascii="仿宋" w:hAnsi="仿宋" w:eastAsia="仿宋" w:cs="仿宋"/>
          <w:color w:val="000000"/>
          <w:sz w:val="24"/>
          <w:highlight w:val="none"/>
          <w:u w:val="single"/>
        </w:rPr>
        <w:t>12</w:t>
      </w:r>
      <w:r>
        <w:rPr>
          <w:rFonts w:hint="eastAsia" w:ascii="仿宋" w:hAnsi="仿宋" w:eastAsia="仿宋" w:cs="仿宋"/>
          <w:color w:val="000000"/>
          <w:sz w:val="24"/>
          <w:highlight w:val="none"/>
        </w:rPr>
        <w:t>个月。</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1.4中标供应商须保证中标后所提供的设备为原装、全新合格的产品。</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1.5中标供应商负责派技术人员到现场进行安装调试，直至验收合格，安装调试所需费用应包含在投标总报价内；同时提供培训服务，必须保证需求科室操作人员融会贯通，培训所需费用全部包含在总报价内。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1.6验收方式：按《小榄镇公立医院政府采购和验收办法》。</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★1.7投标供应商须要在投标文件做出具承诺函，该承诺函包括但不限于以下内容:</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1.8乙方所投设备属于计量仪器的，需通过具有国家部门颁发专业检测资质证书的第三方计量检测单位检测并提供合格报告。</w:t>
      </w:r>
    </w:p>
    <w:p>
      <w:pPr>
        <w:spacing w:line="440" w:lineRule="exact"/>
        <w:rPr>
          <w:rFonts w:ascii="仿宋" w:hAnsi="仿宋" w:eastAsia="仿宋" w:cs="仿宋"/>
          <w:b/>
          <w:color w:val="000000"/>
          <w:sz w:val="24"/>
          <w:highlight w:val="none"/>
        </w:rPr>
      </w:pPr>
      <w:r>
        <w:rPr>
          <w:rFonts w:hint="eastAsia" w:ascii="仿宋" w:hAnsi="仿宋" w:eastAsia="仿宋" w:cs="仿宋"/>
          <w:b/>
          <w:color w:val="000000"/>
          <w:sz w:val="24"/>
          <w:highlight w:val="none"/>
        </w:rPr>
        <w:t>2.售后服务要求</w:t>
      </w:r>
    </w:p>
    <w:p>
      <w:pPr>
        <w:tabs>
          <w:tab w:val="left" w:pos="420"/>
        </w:tabs>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2.1中标供应商必须在中国境内有售后服务机构，并附有售后服务能力说明。</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★2.2中标供应商须提供设备原厂质保（</w:t>
      </w:r>
      <w:r>
        <w:rPr>
          <w:rFonts w:hint="eastAsia" w:ascii="仿宋" w:hAnsi="仿宋" w:eastAsia="仿宋" w:cs="仿宋"/>
          <w:color w:val="000000"/>
          <w:sz w:val="24"/>
          <w:highlight w:val="none"/>
          <w:lang w:val="en-US" w:eastAsia="zh-CN"/>
        </w:rPr>
        <w:t>包括原厂配件更换，</w:t>
      </w:r>
      <w:r>
        <w:rPr>
          <w:rFonts w:hint="eastAsia" w:ascii="仿宋" w:hAnsi="仿宋" w:eastAsia="仿宋" w:cs="仿宋"/>
          <w:color w:val="000000"/>
          <w:sz w:val="24"/>
          <w:highlight w:val="none"/>
        </w:rPr>
        <w:t>设备原厂质量保修范围和保修期）至少为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3</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hint="eastAsia" w:ascii="仿宋" w:hAnsi="仿宋" w:eastAsia="仿宋" w:cs="仿宋"/>
          <w:sz w:val="24"/>
          <w:highlight w:val="none"/>
        </w:rPr>
      </w:pPr>
      <w:r>
        <w:rPr>
          <w:rFonts w:hint="eastAsia" w:ascii="仿宋" w:hAnsi="仿宋" w:eastAsia="仿宋" w:cs="仿宋"/>
          <w:color w:val="000000"/>
          <w:sz w:val="24"/>
          <w:highlight w:val="none"/>
        </w:rPr>
        <w:t>★3.2</w:t>
      </w:r>
      <w:r>
        <w:rPr>
          <w:rFonts w:hint="eastAsia" w:ascii="仿宋" w:hAnsi="仿宋" w:eastAsia="仿宋" w:cs="仿宋"/>
          <w:sz w:val="24"/>
          <w:highlight w:val="none"/>
        </w:rPr>
        <w:t>具体付款方式：本合同分三期支付，第一期：合同签订后，乙方提供合同总金额的20%的款项的预收款收据，甲方支付该笔预付款；第二期：乙方按合同协议时间提供货物，并经协议规定的验收人员书面确认验收合格后，开具全额发票，甲方确认无误后一个月内支付合同总金额的75%的款项。第三期：合同总金额的5%的款项在</w:t>
      </w:r>
      <w:r>
        <w:rPr>
          <w:rFonts w:hint="eastAsia" w:ascii="仿宋" w:hAnsi="仿宋" w:eastAsia="仿宋" w:cs="仿宋"/>
          <w:sz w:val="24"/>
          <w:highlight w:val="none"/>
          <w:u w:val="single"/>
        </w:rPr>
        <w:t>质保期</w:t>
      </w:r>
      <w:r>
        <w:rPr>
          <w:rFonts w:hint="eastAsia" w:ascii="仿宋" w:hAnsi="仿宋" w:eastAsia="仿宋" w:cs="仿宋"/>
          <w:sz w:val="24"/>
          <w:highlight w:val="none"/>
        </w:rPr>
        <w:t>后无息支付。</w:t>
      </w:r>
    </w:p>
    <w:p>
      <w:pPr>
        <w:pStyle w:val="3"/>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OTU3OTk1ZjcwZjIwOWY2YjNlNzE3NTZjODBjMTA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116287B"/>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8</Pages>
  <Words>655</Words>
  <Characters>742</Characters>
  <Lines>5</Lines>
  <Paragraphs>1</Paragraphs>
  <TotalTime>0</TotalTime>
  <ScaleCrop>false</ScaleCrop>
  <LinksUpToDate>false</LinksUpToDate>
  <CharactersWithSpaces>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2024-07-10T07:57:03Z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3D822DBC6B0043ACAB372B0AB2E84D24</vt:lpwstr>
  </property>
</Properties>
</file>