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r>
        <w:rPr>
          <w:rFonts w:hint="eastAsia"/>
          <w:b/>
          <w:bCs/>
          <w:color w:val="0000FF"/>
          <w:sz w:val="21"/>
          <w:szCs w:val="21"/>
          <w:lang w:val="en-US" w:eastAsia="zh-CN"/>
        </w:rPr>
        <w:t>用户名单（业绩）</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5"/>
        <w:ind w:left="0" w:leftChars="0" w:firstLine="0" w:firstLineChars="0"/>
        <w:rPr>
          <w:rFonts w:hint="eastAsia"/>
          <w:b/>
          <w:bCs/>
          <w:color w:val="0000FF"/>
          <w:sz w:val="24"/>
        </w:rPr>
      </w:pPr>
    </w:p>
    <w:p>
      <w:pPr>
        <w:pStyle w:val="5"/>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1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8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8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000" w:type="pct"/>
            <w:gridSpan w:val="11"/>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yellow"/>
                <w:u w:val="none"/>
                <w:lang w:val="en-US" w:eastAsia="zh-CN"/>
              </w:rPr>
              <w:t>合计每人份价格：      元/人份</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宋体" w:hAnsi="宋体" w:cs="仿宋"/>
          <w:b/>
          <w:color w:val="000000"/>
          <w:sz w:val="24"/>
        </w:rPr>
      </w:pPr>
      <w:r>
        <w:rPr>
          <w:rFonts w:hint="eastAsia" w:ascii="宋体" w:hAnsi="宋体" w:cs="仿宋"/>
          <w:b/>
          <w:color w:val="000000"/>
          <w:sz w:val="24"/>
        </w:rPr>
        <w:t>总则：</w:t>
      </w:r>
    </w:p>
    <w:p>
      <w:pPr>
        <w:spacing w:line="440" w:lineRule="exact"/>
        <w:rPr>
          <w:rFonts w:ascii="宋体" w:hAnsi="宋体" w:cs="仿宋"/>
          <w:color w:val="000000"/>
          <w:sz w:val="24"/>
        </w:rPr>
      </w:pPr>
      <w:r>
        <w:rPr>
          <w:rFonts w:hint="eastAsia" w:ascii="宋体" w:hAnsi="宋体"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宋体" w:hAnsi="宋体" w:cs="仿宋"/>
          <w:color w:val="000000"/>
          <w:sz w:val="24"/>
        </w:rPr>
      </w:pPr>
      <w:r>
        <w:rPr>
          <w:rFonts w:hint="eastAsia" w:ascii="宋体" w:hAnsi="宋体"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宋体" w:hAnsi="宋体" w:cs="仿宋"/>
          <w:color w:val="000000"/>
          <w:sz w:val="24"/>
        </w:rPr>
      </w:pPr>
      <w:r>
        <w:rPr>
          <w:rFonts w:hint="eastAsia" w:ascii="宋体" w:hAnsi="宋体" w:cs="仿宋"/>
          <w:color w:val="000000"/>
          <w:sz w:val="24"/>
        </w:rPr>
        <w:t>3.本项目不接受联合体投标，中标供应商不得以任何方式转包本项目。</w:t>
      </w:r>
    </w:p>
    <w:p>
      <w:pPr>
        <w:spacing w:line="440" w:lineRule="exact"/>
        <w:rPr>
          <w:rFonts w:ascii="宋体" w:hAnsi="宋体" w:cs="仿宋"/>
          <w:color w:val="000000"/>
          <w:sz w:val="24"/>
        </w:rPr>
      </w:pPr>
      <w:r>
        <w:rPr>
          <w:rFonts w:hint="eastAsia" w:ascii="宋体" w:hAnsi="宋体" w:cs="仿宋"/>
          <w:color w:val="000000"/>
          <w:sz w:val="24"/>
        </w:rPr>
        <w:t>4.单位负责人为同一人或者存在直接控股、关联关系的不同投标人，不得参加同一项目下的招标活动。</w:t>
      </w:r>
    </w:p>
    <w:p>
      <w:pPr>
        <w:spacing w:line="440" w:lineRule="exact"/>
        <w:rPr>
          <w:rFonts w:ascii="宋体" w:hAnsi="宋体" w:cs="仿宋"/>
          <w:color w:val="000000"/>
          <w:sz w:val="24"/>
        </w:rPr>
      </w:pPr>
      <w:r>
        <w:rPr>
          <w:rFonts w:hint="eastAsia" w:ascii="宋体" w:hAnsi="宋体"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ascii="宋体" w:hAnsi="宋体" w:cs="仿宋"/>
          <w:color w:val="000000"/>
          <w:sz w:val="24"/>
        </w:rPr>
      </w:pPr>
      <w:r>
        <w:rPr>
          <w:rFonts w:hint="eastAsia" w:ascii="宋体" w:hAnsi="宋体" w:cs="仿宋"/>
          <w:color w:val="000000"/>
          <w:sz w:val="24"/>
        </w:rPr>
        <w:t>6.本文的“质保期”是指中标标的物经约定的验收机构完成验收之日起算，截止中标人承诺的期限。</w:t>
      </w:r>
    </w:p>
    <w:p>
      <w:pPr>
        <w:numPr>
          <w:ilvl w:val="0"/>
          <w:numId w:val="4"/>
        </w:numPr>
        <w:spacing w:line="440" w:lineRule="exact"/>
        <w:rPr>
          <w:rFonts w:ascii="宋体" w:hAnsi="宋体" w:cs="仿宋"/>
          <w:b/>
          <w:color w:val="000000"/>
          <w:sz w:val="24"/>
        </w:rPr>
      </w:pPr>
      <w:r>
        <w:rPr>
          <w:rFonts w:hint="eastAsia" w:ascii="宋体" w:hAnsi="宋体"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center"/>
          </w:tcPr>
          <w:p>
            <w:pPr>
              <w:spacing w:line="440" w:lineRule="exact"/>
              <w:jc w:val="center"/>
              <w:rPr>
                <w:rFonts w:ascii="宋体" w:hAnsi="宋体" w:cs="仿宋"/>
                <w:color w:val="000000"/>
                <w:sz w:val="24"/>
              </w:rPr>
            </w:pPr>
            <w:r>
              <w:rPr>
                <w:rFonts w:hint="eastAsia" w:ascii="宋体" w:hAnsi="宋体" w:cs="仿宋"/>
                <w:color w:val="000000"/>
                <w:sz w:val="24"/>
              </w:rPr>
              <w:t>项目名称</w:t>
            </w:r>
          </w:p>
        </w:tc>
        <w:tc>
          <w:tcPr>
            <w:tcW w:w="2268" w:type="dxa"/>
            <w:noWrap w:val="0"/>
            <w:vAlign w:val="center"/>
          </w:tcPr>
          <w:p>
            <w:pPr>
              <w:spacing w:line="440" w:lineRule="exact"/>
              <w:jc w:val="center"/>
              <w:rPr>
                <w:rFonts w:ascii="宋体" w:hAnsi="宋体" w:cs="仿宋"/>
                <w:color w:val="000000"/>
                <w:sz w:val="24"/>
              </w:rPr>
            </w:pPr>
            <w:r>
              <w:rPr>
                <w:rFonts w:hint="eastAsia" w:ascii="宋体" w:hAnsi="宋体" w:cs="仿宋"/>
                <w:color w:val="000000"/>
                <w:sz w:val="24"/>
              </w:rPr>
              <w:t>需求科室/部门</w:t>
            </w:r>
          </w:p>
        </w:tc>
        <w:tc>
          <w:tcPr>
            <w:tcW w:w="2508" w:type="dxa"/>
            <w:noWrap w:val="0"/>
            <w:vAlign w:val="center"/>
          </w:tcPr>
          <w:p>
            <w:pPr>
              <w:spacing w:line="440" w:lineRule="exact"/>
              <w:jc w:val="center"/>
              <w:rPr>
                <w:rFonts w:ascii="宋体" w:hAnsi="宋体" w:cs="仿宋"/>
                <w:color w:val="000000"/>
                <w:sz w:val="24"/>
              </w:rPr>
            </w:pPr>
            <w:r>
              <w:rPr>
                <w:rFonts w:hint="eastAsia" w:ascii="宋体" w:hAnsi="宋体"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center"/>
          </w:tcPr>
          <w:p>
            <w:pPr>
              <w:spacing w:line="440" w:lineRule="exact"/>
              <w:jc w:val="center"/>
              <w:rPr>
                <w:rFonts w:ascii="宋体" w:hAnsi="宋体" w:cs="仿宋"/>
                <w:color w:val="000000"/>
                <w:sz w:val="24"/>
              </w:rPr>
            </w:pPr>
            <w:r>
              <w:rPr>
                <w:rFonts w:hint="eastAsia" w:ascii="宋体" w:hAnsi="宋体" w:cs="仿宋"/>
                <w:color w:val="000000"/>
                <w:sz w:val="24"/>
              </w:rPr>
              <w:t>听性脑干诱发仪诊断型</w:t>
            </w:r>
          </w:p>
        </w:tc>
        <w:tc>
          <w:tcPr>
            <w:tcW w:w="2268" w:type="dxa"/>
            <w:noWrap w:val="0"/>
            <w:vAlign w:val="center"/>
          </w:tcPr>
          <w:p>
            <w:pPr>
              <w:spacing w:line="440" w:lineRule="exact"/>
              <w:jc w:val="center"/>
              <w:rPr>
                <w:rFonts w:ascii="宋体" w:hAnsi="宋体" w:cs="仿宋"/>
                <w:color w:val="000000"/>
                <w:sz w:val="24"/>
              </w:rPr>
            </w:pPr>
            <w:bookmarkStart w:id="2" w:name="_GoBack"/>
            <w:bookmarkEnd w:id="2"/>
            <w:r>
              <w:rPr>
                <w:rFonts w:hint="eastAsia" w:ascii="宋体" w:hAnsi="宋体" w:cs="仿宋"/>
                <w:color w:val="000000"/>
                <w:sz w:val="24"/>
              </w:rPr>
              <w:t>耳鼻喉</w:t>
            </w:r>
          </w:p>
        </w:tc>
        <w:tc>
          <w:tcPr>
            <w:tcW w:w="2508" w:type="dxa"/>
            <w:noWrap w:val="0"/>
            <w:vAlign w:val="center"/>
          </w:tcPr>
          <w:p>
            <w:pPr>
              <w:spacing w:line="440" w:lineRule="exact"/>
              <w:jc w:val="center"/>
              <w:rPr>
                <w:rFonts w:ascii="宋体" w:hAnsi="宋体" w:cs="仿宋"/>
                <w:color w:val="000000"/>
                <w:sz w:val="24"/>
              </w:rPr>
            </w:pPr>
            <w:r>
              <w:rPr>
                <w:rFonts w:hint="eastAsia" w:ascii="宋体" w:hAnsi="宋体" w:cs="仿宋"/>
                <w:color w:val="000000"/>
                <w:sz w:val="24"/>
              </w:rPr>
              <w:t>1套</w:t>
            </w:r>
          </w:p>
        </w:tc>
      </w:tr>
    </w:tbl>
    <w:p>
      <w:pPr>
        <w:spacing w:line="440" w:lineRule="exact"/>
        <w:rPr>
          <w:rFonts w:hint="eastAsia" w:ascii="宋体" w:hAnsi="宋体" w:cs="仿宋"/>
          <w:color w:val="000000"/>
          <w:sz w:val="24"/>
        </w:rPr>
      </w:pPr>
      <w:r>
        <w:rPr>
          <w:rFonts w:hint="eastAsia" w:ascii="宋体" w:hAnsi="宋体" w:cs="仿宋"/>
          <w:sz w:val="24"/>
        </w:rPr>
        <w:t>用途：听觉诱发电位仪能为耳科手术提供量化的准确数据；</w:t>
      </w:r>
      <w:r>
        <w:rPr>
          <w:rFonts w:hint="eastAsia" w:ascii="宋体" w:hAnsi="宋体" w:cs="仿宋"/>
          <w:color w:val="auto"/>
          <w:sz w:val="24"/>
        </w:rPr>
        <w:t>是听力障碍的确诊、</w:t>
      </w:r>
      <w:r>
        <w:rPr>
          <w:rFonts w:hint="eastAsia" w:ascii="宋体" w:hAnsi="宋体" w:cs="仿宋"/>
          <w:sz w:val="24"/>
        </w:rPr>
        <w:t>定位</w:t>
      </w:r>
      <w:r>
        <w:rPr>
          <w:rFonts w:hint="eastAsia" w:ascii="宋体" w:hAnsi="宋体" w:cs="仿宋"/>
          <w:color w:val="000000"/>
          <w:sz w:val="24"/>
        </w:rPr>
        <w:t>诊断、听神经瘤的诊断。设备用于测量新生儿、幼儿、成人的听力损失程度的判断，评估患者从外耳到脑干听通路的功能，用于听力障碍的确诊、定位诊断、听神经瘤的诊断，对各种前庭神经、听神经疾病的诊断及研究听神经瘤、多发性硬化、前庭神经炎、迟发性膜迷路积水、上半规管裂开综合症等诊断、梅尼埃病诊断等。</w:t>
      </w:r>
    </w:p>
    <w:p>
      <w:pPr>
        <w:pStyle w:val="2"/>
        <w:rPr>
          <w:rFonts w:hint="eastAsia"/>
        </w:rPr>
      </w:pPr>
    </w:p>
    <w:p>
      <w:pPr>
        <w:pStyle w:val="3"/>
      </w:pPr>
    </w:p>
    <w:p>
      <w:pPr>
        <w:rPr>
          <w:rFonts w:hint="eastAsia"/>
        </w:rPr>
      </w:pPr>
    </w:p>
    <w:p>
      <w:pPr>
        <w:numPr>
          <w:ilvl w:val="0"/>
          <w:numId w:val="4"/>
        </w:numPr>
        <w:spacing w:line="440" w:lineRule="exact"/>
        <w:rPr>
          <w:rFonts w:ascii="宋体" w:hAnsi="宋体" w:cs="仿宋"/>
          <w:b/>
          <w:color w:val="000000"/>
          <w:sz w:val="24"/>
        </w:rPr>
      </w:pPr>
      <w:r>
        <w:rPr>
          <w:rFonts w:hint="eastAsia" w:ascii="宋体" w:hAnsi="宋体"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ascii="宋体" w:hAnsi="宋体" w:cs="仿宋"/>
                <w:color w:val="000000"/>
                <w:sz w:val="24"/>
              </w:rPr>
            </w:pPr>
            <w:r>
              <w:rPr>
                <w:rFonts w:hint="eastAsia" w:ascii="宋体" w:hAnsi="宋体" w:cs="仿宋"/>
                <w:color w:val="000000"/>
                <w:sz w:val="24"/>
              </w:rPr>
              <w:t>序号</w:t>
            </w:r>
          </w:p>
        </w:tc>
        <w:tc>
          <w:tcPr>
            <w:tcW w:w="7586" w:type="dxa"/>
            <w:noWrap w:val="0"/>
            <w:vAlign w:val="top"/>
          </w:tcPr>
          <w:p>
            <w:pPr>
              <w:spacing w:line="440" w:lineRule="exact"/>
              <w:jc w:val="center"/>
              <w:rPr>
                <w:rFonts w:ascii="宋体" w:hAnsi="宋体" w:cs="仿宋"/>
                <w:color w:val="000000"/>
                <w:sz w:val="24"/>
              </w:rPr>
            </w:pPr>
            <w:r>
              <w:rPr>
                <w:rFonts w:hint="eastAsia" w:ascii="宋体" w:hAnsi="宋体"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ascii="宋体" w:hAnsi="宋体" w:cs="仿宋"/>
                <w:color w:val="000000"/>
                <w:sz w:val="24"/>
              </w:rPr>
            </w:pPr>
            <w:r>
              <w:rPr>
                <w:rFonts w:hint="eastAsia" w:ascii="宋体" w:hAnsi="宋体" w:cs="仿宋"/>
                <w:color w:val="000000"/>
                <w:sz w:val="24"/>
              </w:rPr>
              <w:t>（一）</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ascii="宋体" w:hAnsi="宋体" w:cs="仿宋"/>
                <w:color w:val="000000"/>
                <w:sz w:val="24"/>
              </w:rPr>
            </w:pPr>
            <w:r>
              <w:rPr>
                <w:rFonts w:hint="eastAsia" w:ascii="宋体" w:hAnsi="宋体" w:cs="仿宋"/>
                <w:color w:val="000000"/>
                <w:sz w:val="24"/>
              </w:rPr>
              <w:t>1</w:t>
            </w:r>
          </w:p>
        </w:tc>
        <w:tc>
          <w:tcPr>
            <w:tcW w:w="7586" w:type="dxa"/>
            <w:noWrap w:val="0"/>
            <w:vAlign w:val="top"/>
          </w:tcPr>
          <w:p>
            <w:pPr>
              <w:tabs>
                <w:tab w:val="left" w:pos="420"/>
              </w:tabs>
              <w:spacing w:line="360" w:lineRule="auto"/>
              <w:ind w:firstLine="240" w:firstLineChars="100"/>
              <w:jc w:val="left"/>
              <w:rPr>
                <w:rFonts w:ascii="宋体" w:hAnsi="宋体"/>
                <w:sz w:val="24"/>
              </w:rPr>
            </w:pPr>
            <w:r>
              <w:rPr>
                <w:rStyle w:val="16"/>
                <w:rFonts w:ascii="宋体" w:hAnsi="宋体"/>
                <w:sz w:val="24"/>
              </w:rPr>
              <w:t>▲听性脑干（ABR）</w:t>
            </w:r>
            <w:r>
              <w:rPr>
                <w:rStyle w:val="16"/>
                <w:rFonts w:hint="eastAsia" w:ascii="宋体" w:hAnsi="宋体"/>
                <w:sz w:val="24"/>
              </w:rPr>
              <w:t>P300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ascii="宋体" w:hAnsi="宋体" w:cs="仿宋"/>
                <w:color w:val="000000"/>
                <w:sz w:val="24"/>
              </w:rPr>
            </w:pPr>
            <w:r>
              <w:rPr>
                <w:rFonts w:hint="eastAsia" w:ascii="宋体" w:hAnsi="宋体" w:cs="仿宋"/>
                <w:color w:val="000000"/>
                <w:sz w:val="24"/>
              </w:rPr>
              <w:t>2</w:t>
            </w:r>
          </w:p>
        </w:tc>
        <w:tc>
          <w:tcPr>
            <w:tcW w:w="7586" w:type="dxa"/>
            <w:noWrap w:val="0"/>
            <w:vAlign w:val="top"/>
          </w:tcPr>
          <w:p>
            <w:pPr>
              <w:tabs>
                <w:tab w:val="left" w:pos="420"/>
              </w:tabs>
              <w:spacing w:line="360" w:lineRule="auto"/>
              <w:ind w:firstLine="240" w:firstLineChars="100"/>
              <w:jc w:val="left"/>
              <w:rPr>
                <w:rFonts w:ascii="宋体" w:hAnsi="宋体"/>
                <w:sz w:val="24"/>
              </w:rPr>
            </w:pPr>
            <w:r>
              <w:rPr>
                <w:rStyle w:val="16"/>
                <w:rFonts w:ascii="宋体" w:hAnsi="宋体"/>
                <w:sz w:val="24"/>
              </w:rPr>
              <w:t>▲Chirp声刺激</w:t>
            </w:r>
            <w:r>
              <w:rPr>
                <w:rStyle w:val="16"/>
                <w:rFonts w:hint="eastAsia" w:ascii="宋体" w:hAnsi="宋体"/>
                <w:sz w:val="24"/>
              </w:rPr>
              <w:t>（</w:t>
            </w:r>
            <w:r>
              <w:rPr>
                <w:rStyle w:val="16"/>
                <w:rFonts w:ascii="宋体" w:hAnsi="宋体"/>
                <w:sz w:val="24"/>
              </w:rPr>
              <w:t>ABR</w:t>
            </w:r>
            <w:r>
              <w:rPr>
                <w:rStyle w:val="16"/>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ascii="宋体" w:hAnsi="宋体" w:cs="仿宋"/>
                <w:color w:val="000000"/>
                <w:sz w:val="24"/>
              </w:rPr>
            </w:pPr>
            <w:r>
              <w:rPr>
                <w:rFonts w:hint="eastAsia" w:ascii="宋体" w:hAnsi="宋体" w:cs="仿宋"/>
                <w:color w:val="000000"/>
                <w:sz w:val="24"/>
              </w:rPr>
              <w:t>3</w:t>
            </w:r>
          </w:p>
        </w:tc>
        <w:tc>
          <w:tcPr>
            <w:tcW w:w="7586" w:type="dxa"/>
            <w:noWrap w:val="0"/>
            <w:vAlign w:val="top"/>
          </w:tcPr>
          <w:p>
            <w:pPr>
              <w:spacing w:line="360" w:lineRule="auto"/>
              <w:ind w:firstLine="240" w:firstLineChars="100"/>
              <w:rPr>
                <w:rFonts w:ascii="宋体" w:hAnsi="宋体"/>
                <w:sz w:val="24"/>
              </w:rPr>
            </w:pPr>
            <w:r>
              <w:rPr>
                <w:rStyle w:val="16"/>
                <w:rFonts w:ascii="宋体" w:hAnsi="宋体"/>
                <w:sz w:val="24"/>
              </w:rPr>
              <w:t>▲耳蜗电图（ECochG）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ascii="宋体" w:hAnsi="宋体" w:cs="仿宋"/>
                <w:color w:val="000000"/>
                <w:sz w:val="24"/>
              </w:rPr>
            </w:pPr>
            <w:r>
              <w:rPr>
                <w:rFonts w:hint="eastAsia" w:ascii="宋体" w:hAnsi="宋体" w:cs="仿宋"/>
                <w:color w:val="000000"/>
                <w:sz w:val="24"/>
              </w:rPr>
              <w:t>4</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微音电位图（CM）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5</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中潜伏期（MLR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6</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长潜伏期（LLR）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7</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听性脑干慢负相反应（SN10）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8</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40Hz相关电位测试（40HzAEP）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9</w:t>
            </w:r>
          </w:p>
        </w:tc>
        <w:tc>
          <w:tcPr>
            <w:tcW w:w="7586" w:type="dxa"/>
            <w:noWrap w:val="0"/>
            <w:vAlign w:val="top"/>
          </w:tcPr>
          <w:p>
            <w:pPr>
              <w:spacing w:line="360" w:lineRule="auto"/>
              <w:ind w:firstLine="240" w:firstLineChars="100"/>
              <w:rPr>
                <w:rFonts w:ascii="宋体" w:hAnsi="宋体"/>
                <w:sz w:val="24"/>
              </w:rPr>
            </w:pPr>
            <w:bookmarkStart w:id="0" w:name="_Hlk161991281"/>
            <w:r>
              <w:rPr>
                <w:rStyle w:val="16"/>
                <w:rFonts w:ascii="宋体" w:hAnsi="宋体"/>
                <w:sz w:val="24"/>
              </w:rPr>
              <w:t>▲</w:t>
            </w:r>
            <w:bookmarkEnd w:id="0"/>
            <w:r>
              <w:rPr>
                <w:rStyle w:val="16"/>
                <w:rFonts w:ascii="宋体" w:hAnsi="宋体"/>
                <w:sz w:val="24"/>
              </w:rPr>
              <w:t>多频听觉稳态诱发反应（ASSR）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10</w:t>
            </w:r>
          </w:p>
        </w:tc>
        <w:tc>
          <w:tcPr>
            <w:tcW w:w="7586" w:type="dxa"/>
            <w:noWrap w:val="0"/>
            <w:vAlign w:val="top"/>
          </w:tcPr>
          <w:p>
            <w:pPr>
              <w:spacing w:line="360" w:lineRule="auto"/>
              <w:ind w:firstLine="240" w:firstLineChars="100"/>
              <w:rPr>
                <w:rFonts w:ascii="宋体" w:hAnsi="宋体"/>
                <w:sz w:val="24"/>
              </w:rPr>
            </w:pPr>
            <w:r>
              <w:rPr>
                <w:rStyle w:val="16"/>
                <w:rFonts w:ascii="宋体" w:hAnsi="宋体"/>
                <w:sz w:val="24"/>
              </w:rPr>
              <w:t>▲前庭诱发肌源电位测试（cVEMP、oVEMP）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11</w:t>
            </w:r>
          </w:p>
        </w:tc>
        <w:tc>
          <w:tcPr>
            <w:tcW w:w="7586" w:type="dxa"/>
            <w:noWrap w:val="0"/>
            <w:vAlign w:val="top"/>
          </w:tcPr>
          <w:p>
            <w:pPr>
              <w:spacing w:line="360" w:lineRule="auto"/>
              <w:ind w:firstLine="240" w:firstLineChars="100"/>
              <w:rPr>
                <w:rFonts w:ascii="宋体" w:hAnsi="宋体"/>
                <w:sz w:val="24"/>
              </w:rPr>
            </w:pPr>
            <w:r>
              <w:rPr>
                <w:rStyle w:val="16"/>
                <w:rFonts w:ascii="宋体" w:hAnsi="宋体"/>
                <w:sz w:val="24"/>
              </w:rPr>
              <w:t>▲耳声发射测试（TEOAE、DPOAE、TBOAE、SOAE）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12</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术中听神经监护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（二）</w:t>
            </w:r>
          </w:p>
        </w:tc>
        <w:tc>
          <w:tcPr>
            <w:tcW w:w="7586" w:type="dxa"/>
            <w:noWrap w:val="0"/>
            <w:vAlign w:val="top"/>
          </w:tcPr>
          <w:p>
            <w:pPr>
              <w:spacing w:line="300" w:lineRule="auto"/>
              <w:rPr>
                <w:rFonts w:ascii="宋体" w:hAnsi="宋体"/>
                <w:sz w:val="24"/>
              </w:rPr>
            </w:pPr>
            <w:r>
              <w:rPr>
                <w:rStyle w:val="16"/>
                <w:rFonts w:ascii="宋体" w:hAnsi="宋体"/>
                <w:sz w:val="24"/>
              </w:rPr>
              <w:t>软、硬件要求：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▲内置于主机中的芯片式放大器，增强抗干扰能力；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2</w:t>
            </w:r>
          </w:p>
        </w:tc>
        <w:tc>
          <w:tcPr>
            <w:tcW w:w="7586" w:type="dxa"/>
            <w:noWrap w:val="0"/>
            <w:vAlign w:val="top"/>
          </w:tcPr>
          <w:p>
            <w:pPr>
              <w:spacing w:line="360" w:lineRule="auto"/>
              <w:rPr>
                <w:rFonts w:ascii="宋体" w:hAnsi="宋体"/>
                <w:sz w:val="24"/>
              </w:rPr>
            </w:pPr>
            <w:r>
              <w:rPr>
                <w:rStyle w:val="16"/>
                <w:rFonts w:ascii="宋体" w:hAnsi="宋体"/>
                <w:sz w:val="24"/>
              </w:rPr>
              <w:t>▲具有频谱分析功能：可对刺激声和诱发电位反应分别进行频谱分析；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3</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可预设测试程序，自动进行测试，实时显示测试曲线；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4</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刺激声强度与潜伏期函数，用于区分感音神经性聋与传导性聋；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5</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增加信噪比：包括伪迹剔除技术、重复测试、平均技术、时间变换滤波等；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6</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具有正常人和新生儿的频谱及正常值数据库；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7</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具有自校准及自动保存功能；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8</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可任意选择中文界面和英文界面，可用中文输入病人信息、诊断结果等；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9</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设备与电脑采用USB接口进行数据传输。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（三）</w:t>
            </w:r>
          </w:p>
        </w:tc>
        <w:tc>
          <w:tcPr>
            <w:tcW w:w="7586" w:type="dxa"/>
            <w:noWrap w:val="0"/>
            <w:vAlign w:val="top"/>
          </w:tcPr>
          <w:p>
            <w:pPr>
              <w:spacing w:line="300" w:lineRule="auto"/>
              <w:rPr>
                <w:rFonts w:ascii="宋体" w:hAnsi="宋体"/>
                <w:sz w:val="24"/>
              </w:rPr>
            </w:pPr>
            <w:r>
              <w:rPr>
                <w:rStyle w:val="16"/>
                <w:rFonts w:ascii="宋体" w:hAnsi="宋体"/>
                <w:sz w:val="24"/>
              </w:rPr>
              <w:t>AEP技术参数：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分析时窗：≥-8000ms ~ 8000ms；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2</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A/D分辨率:16比特；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3</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通道:双通道采集；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4</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刺激声强：0dB SPL ~ 137dB SPL，1dB步进；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5</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增益范围：5K ~ 200K；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6</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采集叠加：1 ~ 51711次/秒；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7</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共模抑制比：≥110dB；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8</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输入阻抗:＞10Mohm；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9</w:t>
            </w:r>
          </w:p>
        </w:tc>
        <w:tc>
          <w:tcPr>
            <w:tcW w:w="7586" w:type="dxa"/>
            <w:noWrap w:val="0"/>
            <w:vAlign w:val="top"/>
          </w:tcPr>
          <w:p>
            <w:pPr>
              <w:spacing w:line="360" w:lineRule="auto"/>
              <w:rPr>
                <w:rFonts w:ascii="宋体" w:hAnsi="宋体"/>
                <w:sz w:val="24"/>
              </w:rPr>
            </w:pPr>
            <w:bookmarkStart w:id="1" w:name="_Hlk161991799"/>
            <w:r>
              <w:rPr>
                <w:rStyle w:val="16"/>
                <w:rFonts w:ascii="宋体" w:hAnsi="宋体"/>
                <w:sz w:val="24"/>
              </w:rPr>
              <w:t>▲</w:t>
            </w:r>
            <w:bookmarkEnd w:id="1"/>
            <w:r>
              <w:rPr>
                <w:rStyle w:val="16"/>
                <w:rFonts w:ascii="宋体" w:hAnsi="宋体"/>
                <w:sz w:val="24"/>
              </w:rPr>
              <w:t>多种刺激方式：a.短声（Click），b.纯音（Pure Tone）， c.短纯音（toneburst,TB）， d.短音(Tonepip)，刺激函数可根据需要编辑调整，用于科研及临床分析；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10</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掩蔽信号：白噪声(宽带噪声)或自定义；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11</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刺激速率：0-1000次/秒；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12</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数字滤波方式：低频滤波器（高通）设置和高频滤波器（低通）设置；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13</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听性脑干反应ABR：可标记I，II，III，IV，V，VI，VII的潜伏期；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14</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耳蜗电图EcochG：可标记SP，AP，Base的潜伏期，耳蜗电图振幅比和面积比。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（四）</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ASSR技术参数：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可检查项目：客观听力图 、相位图 、频谱图；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2</w:t>
            </w:r>
          </w:p>
        </w:tc>
        <w:tc>
          <w:tcPr>
            <w:tcW w:w="7586" w:type="dxa"/>
            <w:noWrap w:val="0"/>
            <w:vAlign w:val="top"/>
          </w:tcPr>
          <w:p>
            <w:pPr>
              <w:spacing w:line="360" w:lineRule="auto"/>
              <w:ind w:firstLine="240" w:firstLineChars="100"/>
              <w:rPr>
                <w:rFonts w:ascii="宋体" w:hAnsi="宋体"/>
                <w:sz w:val="24"/>
              </w:rPr>
            </w:pPr>
            <w:r>
              <w:rPr>
                <w:rStyle w:val="16"/>
                <w:rFonts w:ascii="宋体" w:hAnsi="宋体"/>
                <w:sz w:val="24"/>
              </w:rPr>
              <w:t>▲测试频率：250-8KHz任意频率；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3</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可同时双耳12个或单耳6个频率刺激；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4</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可任意编写刺激波形文件，刺激方式还可选用Click刺激模式，在双耳同时给声时，左右耳给声强度和给声频率可以不同；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5</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可将复合的刺激频率分离成单独频率点进行分析比较；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6</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刺激声强：-10～130dB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7</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反应阈值步长5dB；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8</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可修改设置任何频率刺激或半贝频率，达到科研目的。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（五）</w:t>
            </w:r>
          </w:p>
        </w:tc>
        <w:tc>
          <w:tcPr>
            <w:tcW w:w="7586" w:type="dxa"/>
            <w:noWrap w:val="0"/>
            <w:vAlign w:val="top"/>
          </w:tcPr>
          <w:p>
            <w:pPr>
              <w:spacing w:line="440" w:lineRule="exact"/>
              <w:rPr>
                <w:rFonts w:ascii="宋体" w:hAnsi="宋体" w:cs="仿宋"/>
                <w:b/>
                <w:color w:val="000000"/>
                <w:sz w:val="24"/>
              </w:rPr>
            </w:pPr>
            <w:r>
              <w:rPr>
                <w:rStyle w:val="17"/>
              </w:rPr>
              <w:t>VEMP 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w:t>
            </w:r>
          </w:p>
        </w:tc>
        <w:tc>
          <w:tcPr>
            <w:tcW w:w="7586" w:type="dxa"/>
            <w:noWrap w:val="0"/>
            <w:vAlign w:val="top"/>
          </w:tcPr>
          <w:p>
            <w:pPr>
              <w:spacing w:line="360" w:lineRule="auto"/>
              <w:rPr>
                <w:rFonts w:ascii="宋体" w:hAnsi="宋体"/>
                <w:sz w:val="24"/>
              </w:rPr>
            </w:pPr>
            <w:r>
              <w:rPr>
                <w:rStyle w:val="16"/>
                <w:rFonts w:ascii="宋体" w:hAnsi="宋体"/>
                <w:sz w:val="24"/>
              </w:rPr>
              <w:t>▲前庭诱发肌源性电位VEMP：可标记P1，N1的潜伏期，可实时观察患者肌肉紧张度；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2</w:t>
            </w:r>
          </w:p>
        </w:tc>
        <w:tc>
          <w:tcPr>
            <w:tcW w:w="7586" w:type="dxa"/>
            <w:noWrap w:val="0"/>
            <w:vAlign w:val="top"/>
          </w:tcPr>
          <w:p>
            <w:pPr>
              <w:spacing w:line="440" w:lineRule="exact"/>
              <w:rPr>
                <w:rFonts w:ascii="宋体" w:hAnsi="宋体" w:cs="仿宋"/>
                <w:b/>
                <w:color w:val="000000"/>
                <w:sz w:val="24"/>
              </w:rPr>
            </w:pPr>
            <w:r>
              <w:rPr>
                <w:rStyle w:val="17"/>
              </w:rPr>
              <w:t>刺激声： 0.1 毫秒的 click 声或者 500Hz 的纯音；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3</w:t>
            </w:r>
          </w:p>
        </w:tc>
        <w:tc>
          <w:tcPr>
            <w:tcW w:w="7586" w:type="dxa"/>
            <w:noWrap w:val="0"/>
            <w:vAlign w:val="top"/>
          </w:tcPr>
          <w:p>
            <w:pPr>
              <w:spacing w:line="440" w:lineRule="exact"/>
              <w:rPr>
                <w:rFonts w:ascii="宋体" w:hAnsi="宋体" w:cs="仿宋"/>
                <w:b/>
                <w:color w:val="000000"/>
                <w:sz w:val="24"/>
              </w:rPr>
            </w:pPr>
            <w:r>
              <w:rPr>
                <w:rStyle w:val="17"/>
              </w:rPr>
              <w:t>刺激速率： 3.1 或者 5 次每秒；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4</w:t>
            </w:r>
          </w:p>
        </w:tc>
        <w:tc>
          <w:tcPr>
            <w:tcW w:w="7586" w:type="dxa"/>
            <w:noWrap w:val="0"/>
            <w:vAlign w:val="top"/>
          </w:tcPr>
          <w:p>
            <w:pPr>
              <w:spacing w:line="440" w:lineRule="exact"/>
              <w:rPr>
                <w:rFonts w:ascii="宋体" w:hAnsi="宋体" w:cs="仿宋"/>
                <w:b/>
                <w:color w:val="000000"/>
                <w:sz w:val="24"/>
              </w:rPr>
            </w:pPr>
            <w:r>
              <w:rPr>
                <w:rStyle w:val="17"/>
              </w:rPr>
              <w:t>相位： click 声时用疏波， 纯音时用密波；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5</w:t>
            </w:r>
          </w:p>
        </w:tc>
        <w:tc>
          <w:tcPr>
            <w:tcW w:w="7586" w:type="dxa"/>
            <w:noWrap w:val="0"/>
            <w:vAlign w:val="top"/>
          </w:tcPr>
          <w:p>
            <w:pPr>
              <w:spacing w:line="440" w:lineRule="exact"/>
              <w:rPr>
                <w:rFonts w:ascii="宋体" w:hAnsi="宋体" w:cs="仿宋"/>
                <w:b/>
                <w:color w:val="000000"/>
                <w:sz w:val="24"/>
              </w:rPr>
            </w:pPr>
            <w:r>
              <w:rPr>
                <w:rStyle w:val="17"/>
              </w:rPr>
              <w:t>刺激器： 插入式耳机或头戴式耳机；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6</w:t>
            </w:r>
          </w:p>
        </w:tc>
        <w:tc>
          <w:tcPr>
            <w:tcW w:w="7586" w:type="dxa"/>
            <w:noWrap w:val="0"/>
            <w:vAlign w:val="top"/>
          </w:tcPr>
          <w:p>
            <w:pPr>
              <w:spacing w:line="440" w:lineRule="exact"/>
              <w:rPr>
                <w:rFonts w:ascii="宋体" w:hAnsi="宋体" w:cs="仿宋"/>
                <w:b/>
                <w:color w:val="000000"/>
                <w:sz w:val="24"/>
              </w:rPr>
            </w:pPr>
            <w:r>
              <w:rPr>
                <w:rStyle w:val="17"/>
              </w:rPr>
              <w:t>声强： 95dB nHL 以上的 click 声， 107dB nHL 的 500Hz 纯音；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7</w:t>
            </w:r>
          </w:p>
        </w:tc>
        <w:tc>
          <w:tcPr>
            <w:tcW w:w="7586" w:type="dxa"/>
            <w:noWrap w:val="0"/>
            <w:vAlign w:val="top"/>
          </w:tcPr>
          <w:p>
            <w:pPr>
              <w:spacing w:line="440" w:lineRule="exact"/>
              <w:rPr>
                <w:rFonts w:ascii="宋体" w:hAnsi="宋体" w:cs="仿宋"/>
                <w:b/>
                <w:color w:val="000000"/>
                <w:sz w:val="24"/>
              </w:rPr>
            </w:pPr>
            <w:r>
              <w:rPr>
                <w:rStyle w:val="17"/>
              </w:rPr>
              <w:t>放大器增益：5K；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8</w:t>
            </w:r>
          </w:p>
        </w:tc>
        <w:tc>
          <w:tcPr>
            <w:tcW w:w="7586" w:type="dxa"/>
            <w:noWrap w:val="0"/>
            <w:vAlign w:val="top"/>
          </w:tcPr>
          <w:p>
            <w:pPr>
              <w:spacing w:line="440" w:lineRule="exact"/>
              <w:rPr>
                <w:rFonts w:ascii="宋体" w:hAnsi="宋体" w:cs="仿宋"/>
                <w:b/>
                <w:color w:val="000000"/>
                <w:sz w:val="24"/>
              </w:rPr>
            </w:pPr>
            <w:r>
              <w:rPr>
                <w:rStyle w:val="17"/>
              </w:rPr>
              <w:t>滤波范围： 30-1599Hz；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9</w:t>
            </w:r>
          </w:p>
        </w:tc>
        <w:tc>
          <w:tcPr>
            <w:tcW w:w="7586" w:type="dxa"/>
            <w:noWrap w:val="0"/>
            <w:vAlign w:val="top"/>
          </w:tcPr>
          <w:p>
            <w:pPr>
              <w:spacing w:line="440" w:lineRule="exact"/>
              <w:rPr>
                <w:rFonts w:ascii="宋体" w:hAnsi="宋体" w:cs="仿宋"/>
                <w:b/>
                <w:color w:val="000000"/>
                <w:sz w:val="24"/>
              </w:rPr>
            </w:pPr>
            <w:r>
              <w:rPr>
                <w:rStyle w:val="17"/>
              </w:rPr>
              <w:t>叠加： 75-200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（六）</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OAE技术参数：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w:t>
            </w:r>
          </w:p>
        </w:tc>
        <w:tc>
          <w:tcPr>
            <w:tcW w:w="7586" w:type="dxa"/>
            <w:noWrap w:val="0"/>
            <w:vAlign w:val="top"/>
          </w:tcPr>
          <w:p>
            <w:pPr>
              <w:spacing w:line="360" w:lineRule="auto"/>
              <w:ind w:firstLine="240" w:firstLineChars="100"/>
              <w:rPr>
                <w:rFonts w:ascii="宋体" w:hAnsi="宋体"/>
                <w:sz w:val="24"/>
              </w:rPr>
            </w:pPr>
            <w:r>
              <w:rPr>
                <w:rStyle w:val="16"/>
                <w:rFonts w:ascii="宋体" w:hAnsi="宋体"/>
                <w:sz w:val="24"/>
              </w:rPr>
              <w:t>畸变产物耳声发射（DPOAE）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1.1</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刺激强度：0dB SPL ~ 95dB SPL；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1.2</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▲频率范围：500Hz ~ 10kHz；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1.3</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采集顺序：可以设置测试频率由高到低或者由低到高；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1.4</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叠加次数：1-1024次可选；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1.5</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采样点：每个倍频程1 ~ 10个点可选；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1.6</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最大校正值：3dB SPL ~ 20dB SPL；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1.7</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可同屏显示双耳对照波形及正常值范围；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1.8</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具有输入/输出（I/O）曲线。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2</w:t>
            </w:r>
          </w:p>
        </w:tc>
        <w:tc>
          <w:tcPr>
            <w:tcW w:w="7586" w:type="dxa"/>
            <w:noWrap w:val="0"/>
            <w:vAlign w:val="top"/>
          </w:tcPr>
          <w:p>
            <w:pPr>
              <w:spacing w:line="440" w:lineRule="exact"/>
              <w:ind w:firstLine="240" w:firstLineChars="100"/>
              <w:rPr>
                <w:rFonts w:ascii="宋体" w:hAnsi="宋体" w:cs="仿宋"/>
                <w:b/>
                <w:color w:val="000000"/>
                <w:sz w:val="24"/>
              </w:rPr>
            </w:pPr>
            <w:r>
              <w:rPr>
                <w:rStyle w:val="16"/>
                <w:rFonts w:ascii="宋体" w:hAnsi="宋体"/>
                <w:sz w:val="24"/>
              </w:rPr>
              <w:t>瞬态声诱发耳声发射（TEOAE）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2.1</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刺激强度：0dB SPL ~ 95dB SPL，精度为1dB；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2.2</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叠加次数：1 ~ 8192次可选；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2.3</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刺激速率：1 ~ 50次/秒可选；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2.4</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刺激声：Click；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2.5</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采集模式：线性瞬态耳声发射，非线性瞬态耳声发射，自发性耳声发射；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2.6</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波形显示：时域的耳声反应图、频域的耳声反应-噪声图。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3</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短纯音耳声发射（TBOAE）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3.1</w:t>
            </w:r>
          </w:p>
        </w:tc>
        <w:tc>
          <w:tcPr>
            <w:tcW w:w="7586" w:type="dxa"/>
            <w:noWrap w:val="0"/>
            <w:vAlign w:val="top"/>
          </w:tcPr>
          <w:p>
            <w:pPr>
              <w:spacing w:line="440" w:lineRule="exact"/>
              <w:rPr>
                <w:rFonts w:ascii="宋体" w:hAnsi="宋体" w:cs="仿宋"/>
                <w:b/>
                <w:color w:val="000000"/>
                <w:sz w:val="24"/>
              </w:rPr>
            </w:pPr>
            <w:r>
              <w:rPr>
                <w:rStyle w:val="16"/>
                <w:rFonts w:ascii="宋体" w:hAnsi="宋体"/>
              </w:rPr>
              <w:t>刺激强度：0dB SPL ~ 95dB SPL，精度为1dB；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3.2</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叠加次数：1 ~ 8192次可选；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3.3</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刺激速率：1 ~ 50次/秒可选；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spacing w:line="440" w:lineRule="exact"/>
              <w:jc w:val="center"/>
              <w:rPr>
                <w:rFonts w:hint="eastAsia" w:ascii="宋体" w:hAnsi="宋体" w:cs="仿宋"/>
                <w:color w:val="000000"/>
                <w:sz w:val="24"/>
              </w:rPr>
            </w:pPr>
            <w:r>
              <w:rPr>
                <w:rFonts w:hint="eastAsia" w:ascii="宋体" w:hAnsi="宋体" w:cs="仿宋"/>
                <w:color w:val="000000"/>
                <w:sz w:val="24"/>
              </w:rPr>
              <w:t>3.4</w:t>
            </w:r>
          </w:p>
        </w:tc>
        <w:tc>
          <w:tcPr>
            <w:tcW w:w="7586" w:type="dxa"/>
            <w:noWrap w:val="0"/>
            <w:vAlign w:val="top"/>
          </w:tcPr>
          <w:p>
            <w:pPr>
              <w:spacing w:line="440" w:lineRule="exact"/>
              <w:rPr>
                <w:rFonts w:ascii="宋体" w:hAnsi="宋体" w:cs="仿宋"/>
                <w:b/>
                <w:color w:val="000000"/>
                <w:sz w:val="24"/>
              </w:rPr>
            </w:pPr>
            <w:r>
              <w:rPr>
                <w:rStyle w:val="16"/>
                <w:rFonts w:ascii="宋体" w:hAnsi="宋体"/>
                <w:sz w:val="24"/>
              </w:rPr>
              <w:t>刺激声：Tone Burst和可编辑刺激声。</w:t>
            </w:r>
          </w:p>
        </w:tc>
      </w:tr>
    </w:tbl>
    <w:p>
      <w:pPr>
        <w:spacing w:line="440" w:lineRule="exact"/>
        <w:rPr>
          <w:rFonts w:hint="eastAsia" w:ascii="宋体" w:hAnsi="宋体" w:cs="仿宋"/>
          <w:b/>
          <w:color w:val="000000"/>
          <w:sz w:val="24"/>
        </w:rPr>
      </w:pPr>
    </w:p>
    <w:p>
      <w:pPr>
        <w:pStyle w:val="2"/>
      </w:pPr>
    </w:p>
    <w:p>
      <w:pPr>
        <w:pStyle w:val="3"/>
        <w:rPr>
          <w:rFonts w:hint="eastAsia"/>
        </w:rPr>
      </w:pPr>
    </w:p>
    <w:p>
      <w:pPr>
        <w:pStyle w:val="3"/>
        <w:rPr>
          <w:rFonts w:hint="eastAsia"/>
        </w:rPr>
      </w:pPr>
    </w:p>
    <w:p>
      <w:pPr>
        <w:numPr>
          <w:ilvl w:val="0"/>
          <w:numId w:val="4"/>
        </w:numPr>
        <w:spacing w:line="440" w:lineRule="exact"/>
        <w:rPr>
          <w:rFonts w:ascii="宋体" w:hAnsi="宋体" w:cs="仿宋"/>
          <w:b/>
          <w:sz w:val="24"/>
        </w:rPr>
      </w:pPr>
      <w:r>
        <w:rPr>
          <w:rFonts w:hint="eastAsia" w:ascii="宋体" w:hAnsi="宋体" w:cs="仿宋"/>
          <w:b/>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01"/>
        <w:gridCol w:w="3423"/>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ascii="宋体" w:hAnsi="宋体" w:cs="仿宋"/>
                <w:sz w:val="24"/>
              </w:rPr>
            </w:pPr>
            <w:r>
              <w:rPr>
                <w:rFonts w:hint="eastAsia" w:ascii="宋体" w:hAnsi="宋体" w:cs="仿宋"/>
                <w:sz w:val="24"/>
              </w:rPr>
              <w:t>序号</w:t>
            </w:r>
          </w:p>
        </w:tc>
        <w:tc>
          <w:tcPr>
            <w:tcW w:w="2201" w:type="dxa"/>
            <w:noWrap w:val="0"/>
            <w:vAlign w:val="center"/>
          </w:tcPr>
          <w:p>
            <w:pPr>
              <w:spacing w:line="440" w:lineRule="exact"/>
              <w:jc w:val="center"/>
              <w:rPr>
                <w:rFonts w:ascii="宋体" w:hAnsi="宋体" w:cs="仿宋"/>
                <w:sz w:val="24"/>
              </w:rPr>
            </w:pPr>
            <w:r>
              <w:rPr>
                <w:rFonts w:hint="eastAsia" w:ascii="宋体" w:hAnsi="宋体" w:cs="仿宋"/>
                <w:sz w:val="24"/>
              </w:rPr>
              <w:t>名称</w:t>
            </w:r>
          </w:p>
        </w:tc>
        <w:tc>
          <w:tcPr>
            <w:tcW w:w="3423" w:type="dxa"/>
            <w:noWrap w:val="0"/>
            <w:vAlign w:val="center"/>
          </w:tcPr>
          <w:p>
            <w:pPr>
              <w:spacing w:line="440" w:lineRule="exact"/>
              <w:jc w:val="center"/>
              <w:rPr>
                <w:rFonts w:ascii="宋体" w:hAnsi="宋体" w:cs="仿宋"/>
                <w:sz w:val="24"/>
              </w:rPr>
            </w:pPr>
            <w:r>
              <w:rPr>
                <w:rFonts w:hint="eastAsia" w:ascii="宋体" w:hAnsi="宋体" w:cs="仿宋"/>
                <w:sz w:val="24"/>
              </w:rPr>
              <w:t>要求</w:t>
            </w:r>
          </w:p>
        </w:tc>
        <w:tc>
          <w:tcPr>
            <w:tcW w:w="969" w:type="dxa"/>
            <w:noWrap w:val="0"/>
            <w:vAlign w:val="center"/>
          </w:tcPr>
          <w:p>
            <w:pPr>
              <w:spacing w:line="440" w:lineRule="exact"/>
              <w:jc w:val="center"/>
              <w:rPr>
                <w:rFonts w:ascii="宋体" w:hAnsi="宋体" w:cs="仿宋"/>
                <w:sz w:val="24"/>
              </w:rPr>
            </w:pPr>
            <w:r>
              <w:rPr>
                <w:rFonts w:hint="eastAsia" w:ascii="宋体" w:hAnsi="宋体" w:cs="仿宋"/>
                <w:sz w:val="24"/>
              </w:rPr>
              <w:t>数量</w:t>
            </w:r>
          </w:p>
        </w:tc>
        <w:tc>
          <w:tcPr>
            <w:tcW w:w="920" w:type="dxa"/>
            <w:noWrap w:val="0"/>
            <w:vAlign w:val="center"/>
          </w:tcPr>
          <w:p>
            <w:pPr>
              <w:spacing w:line="440" w:lineRule="exact"/>
              <w:jc w:val="center"/>
              <w:rPr>
                <w:rFonts w:ascii="宋体" w:hAnsi="宋体" w:cs="仿宋"/>
                <w:sz w:val="24"/>
              </w:rPr>
            </w:pPr>
            <w:r>
              <w:rPr>
                <w:rFonts w:hint="eastAsia" w:ascii="宋体" w:hAnsi="宋体" w:cs="仿宋"/>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ascii="宋体" w:hAnsi="宋体" w:cs="仿宋"/>
                <w:sz w:val="24"/>
              </w:rPr>
            </w:pPr>
            <w:r>
              <w:rPr>
                <w:rFonts w:hint="eastAsia" w:ascii="宋体" w:hAnsi="宋体" w:cs="仿宋"/>
                <w:sz w:val="24"/>
              </w:rPr>
              <w:t>1</w:t>
            </w:r>
          </w:p>
        </w:tc>
        <w:tc>
          <w:tcPr>
            <w:tcW w:w="2201" w:type="dxa"/>
            <w:noWrap w:val="0"/>
            <w:vAlign w:val="center"/>
          </w:tcPr>
          <w:p>
            <w:pPr>
              <w:jc w:val="left"/>
              <w:rPr>
                <w:rStyle w:val="16"/>
                <w:rFonts w:ascii="宋体" w:hAnsi="宋体"/>
                <w:sz w:val="24"/>
                <w:highlight w:val="darkYellow"/>
              </w:rPr>
            </w:pPr>
            <w:r>
              <w:rPr>
                <w:rStyle w:val="16"/>
                <w:rFonts w:ascii="宋体" w:hAnsi="宋体"/>
                <w:sz w:val="24"/>
              </w:rPr>
              <w:t>内置放大器式主机</w:t>
            </w:r>
          </w:p>
        </w:tc>
        <w:tc>
          <w:tcPr>
            <w:tcW w:w="3423" w:type="dxa"/>
            <w:noWrap w:val="0"/>
            <w:vAlign w:val="center"/>
          </w:tcPr>
          <w:p>
            <w:pPr>
              <w:jc w:val="left"/>
              <w:rPr>
                <w:rStyle w:val="16"/>
                <w:rFonts w:hint="eastAsia" w:ascii="宋体" w:hAnsi="宋体"/>
                <w:sz w:val="24"/>
              </w:rPr>
            </w:pPr>
            <w:r>
              <w:rPr>
                <w:rStyle w:val="16"/>
                <w:rFonts w:hint="eastAsia" w:ascii="宋体" w:hAnsi="宋体"/>
                <w:sz w:val="24"/>
              </w:rPr>
              <w:t>/</w:t>
            </w:r>
          </w:p>
        </w:tc>
        <w:tc>
          <w:tcPr>
            <w:tcW w:w="969" w:type="dxa"/>
            <w:noWrap w:val="0"/>
            <w:vAlign w:val="center"/>
          </w:tcPr>
          <w:p>
            <w:pPr>
              <w:jc w:val="center"/>
              <w:rPr>
                <w:rStyle w:val="16"/>
                <w:rFonts w:ascii="宋体" w:hAnsi="宋体"/>
                <w:sz w:val="24"/>
              </w:rPr>
            </w:pPr>
            <w:r>
              <w:rPr>
                <w:rStyle w:val="16"/>
                <w:rFonts w:ascii="宋体" w:hAnsi="宋体"/>
                <w:sz w:val="24"/>
              </w:rPr>
              <w:t>1</w:t>
            </w:r>
          </w:p>
        </w:tc>
        <w:tc>
          <w:tcPr>
            <w:tcW w:w="920" w:type="dxa"/>
            <w:noWrap w:val="0"/>
            <w:vAlign w:val="center"/>
          </w:tcPr>
          <w:p>
            <w:pPr>
              <w:jc w:val="center"/>
              <w:rPr>
                <w:rStyle w:val="16"/>
                <w:rFonts w:ascii="宋体" w:hAnsi="宋体"/>
                <w:sz w:val="24"/>
              </w:rPr>
            </w:pPr>
            <w:r>
              <w:rPr>
                <w:rStyle w:val="16"/>
                <w:rFonts w:ascii="宋体" w:hAnsi="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ascii="宋体" w:hAnsi="宋体" w:cs="仿宋"/>
                <w:sz w:val="24"/>
              </w:rPr>
            </w:pPr>
            <w:r>
              <w:rPr>
                <w:rFonts w:hint="eastAsia" w:ascii="宋体" w:hAnsi="宋体" w:cs="仿宋"/>
                <w:sz w:val="24"/>
              </w:rPr>
              <w:t>2</w:t>
            </w:r>
          </w:p>
        </w:tc>
        <w:tc>
          <w:tcPr>
            <w:tcW w:w="2201" w:type="dxa"/>
            <w:noWrap w:val="0"/>
            <w:vAlign w:val="center"/>
          </w:tcPr>
          <w:p>
            <w:pPr>
              <w:jc w:val="left"/>
              <w:rPr>
                <w:rStyle w:val="16"/>
                <w:rFonts w:ascii="宋体" w:hAnsi="宋体"/>
                <w:sz w:val="24"/>
              </w:rPr>
            </w:pPr>
            <w:r>
              <w:rPr>
                <w:rStyle w:val="16"/>
                <w:rFonts w:ascii="宋体" w:hAnsi="宋体"/>
                <w:sz w:val="24"/>
              </w:rPr>
              <w:t>插入式耳机</w:t>
            </w:r>
          </w:p>
        </w:tc>
        <w:tc>
          <w:tcPr>
            <w:tcW w:w="3423" w:type="dxa"/>
            <w:noWrap w:val="0"/>
            <w:vAlign w:val="center"/>
          </w:tcPr>
          <w:p>
            <w:pPr>
              <w:jc w:val="left"/>
              <w:rPr>
                <w:rStyle w:val="16"/>
                <w:rFonts w:ascii="宋体" w:hAnsi="宋体"/>
                <w:sz w:val="24"/>
              </w:rPr>
            </w:pPr>
            <w:r>
              <w:rPr>
                <w:rStyle w:val="16"/>
                <w:rFonts w:hint="eastAsia" w:ascii="宋体" w:hAnsi="宋体"/>
                <w:sz w:val="24"/>
              </w:rPr>
              <w:t>与主机同一品牌</w:t>
            </w:r>
          </w:p>
        </w:tc>
        <w:tc>
          <w:tcPr>
            <w:tcW w:w="969" w:type="dxa"/>
            <w:noWrap w:val="0"/>
            <w:vAlign w:val="center"/>
          </w:tcPr>
          <w:p>
            <w:pPr>
              <w:jc w:val="center"/>
              <w:rPr>
                <w:rStyle w:val="16"/>
                <w:rFonts w:ascii="宋体" w:hAnsi="宋体"/>
                <w:sz w:val="24"/>
              </w:rPr>
            </w:pPr>
            <w:r>
              <w:rPr>
                <w:rStyle w:val="16"/>
                <w:rFonts w:ascii="宋体" w:hAnsi="宋体"/>
                <w:sz w:val="24"/>
              </w:rPr>
              <w:t>1</w:t>
            </w:r>
          </w:p>
        </w:tc>
        <w:tc>
          <w:tcPr>
            <w:tcW w:w="920" w:type="dxa"/>
            <w:noWrap w:val="0"/>
            <w:vAlign w:val="center"/>
          </w:tcPr>
          <w:p>
            <w:pPr>
              <w:jc w:val="center"/>
              <w:rPr>
                <w:rStyle w:val="16"/>
                <w:rFonts w:ascii="宋体" w:hAnsi="宋体"/>
                <w:sz w:val="24"/>
              </w:rPr>
            </w:pPr>
            <w:r>
              <w:rPr>
                <w:rStyle w:val="16"/>
                <w:rFonts w:ascii="宋体" w:hAnsi="宋体"/>
                <w:sz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ascii="宋体" w:hAnsi="宋体" w:cs="仿宋"/>
                <w:sz w:val="24"/>
              </w:rPr>
            </w:pPr>
            <w:r>
              <w:rPr>
                <w:rFonts w:hint="eastAsia" w:ascii="宋体" w:hAnsi="宋体" w:cs="仿宋"/>
                <w:sz w:val="24"/>
              </w:rPr>
              <w:t>3</w:t>
            </w:r>
          </w:p>
        </w:tc>
        <w:tc>
          <w:tcPr>
            <w:tcW w:w="2201" w:type="dxa"/>
            <w:noWrap w:val="0"/>
            <w:vAlign w:val="center"/>
          </w:tcPr>
          <w:p>
            <w:pPr>
              <w:jc w:val="left"/>
              <w:rPr>
                <w:rStyle w:val="16"/>
                <w:rFonts w:ascii="宋体" w:hAnsi="宋体"/>
                <w:sz w:val="24"/>
                <w:highlight w:val="darkYellow"/>
              </w:rPr>
            </w:pPr>
            <w:r>
              <w:rPr>
                <w:rStyle w:val="16"/>
                <w:rFonts w:ascii="宋体" w:hAnsi="宋体"/>
                <w:sz w:val="24"/>
              </w:rPr>
              <w:t>听诱发电位软件包</w:t>
            </w:r>
          </w:p>
        </w:tc>
        <w:tc>
          <w:tcPr>
            <w:tcW w:w="3423" w:type="dxa"/>
            <w:noWrap w:val="0"/>
            <w:vAlign w:val="center"/>
          </w:tcPr>
          <w:p>
            <w:pPr>
              <w:jc w:val="left"/>
              <w:rPr>
                <w:rStyle w:val="16"/>
                <w:rFonts w:hint="eastAsia" w:ascii="宋体" w:hAnsi="宋体"/>
                <w:sz w:val="24"/>
              </w:rPr>
            </w:pPr>
            <w:r>
              <w:rPr>
                <w:rStyle w:val="16"/>
                <w:rFonts w:hint="eastAsia" w:ascii="宋体" w:hAnsi="宋体"/>
                <w:sz w:val="24"/>
              </w:rPr>
              <w:t>具有</w:t>
            </w:r>
            <w:r>
              <w:rPr>
                <w:rStyle w:val="16"/>
                <w:rFonts w:ascii="宋体" w:hAnsi="宋体"/>
                <w:sz w:val="24"/>
              </w:rPr>
              <w:t>ASSR、AEP、OAE</w:t>
            </w:r>
            <w:r>
              <w:rPr>
                <w:rStyle w:val="16"/>
                <w:rFonts w:hint="eastAsia" w:ascii="宋体" w:hAnsi="宋体"/>
                <w:sz w:val="24"/>
              </w:rPr>
              <w:t>等功能</w:t>
            </w:r>
          </w:p>
        </w:tc>
        <w:tc>
          <w:tcPr>
            <w:tcW w:w="969" w:type="dxa"/>
            <w:noWrap w:val="0"/>
            <w:vAlign w:val="center"/>
          </w:tcPr>
          <w:p>
            <w:pPr>
              <w:jc w:val="center"/>
              <w:rPr>
                <w:rStyle w:val="16"/>
                <w:rFonts w:ascii="宋体" w:hAnsi="宋体"/>
                <w:sz w:val="24"/>
              </w:rPr>
            </w:pPr>
            <w:r>
              <w:rPr>
                <w:rStyle w:val="16"/>
                <w:rFonts w:ascii="宋体" w:hAnsi="宋体"/>
                <w:sz w:val="24"/>
              </w:rPr>
              <w:t>1</w:t>
            </w:r>
          </w:p>
        </w:tc>
        <w:tc>
          <w:tcPr>
            <w:tcW w:w="920" w:type="dxa"/>
            <w:noWrap w:val="0"/>
            <w:vAlign w:val="center"/>
          </w:tcPr>
          <w:p>
            <w:pPr>
              <w:jc w:val="center"/>
              <w:rPr>
                <w:rStyle w:val="16"/>
                <w:rFonts w:hint="eastAsia" w:ascii="宋体" w:hAnsi="宋体"/>
                <w:sz w:val="24"/>
              </w:rPr>
            </w:pPr>
            <w:r>
              <w:rPr>
                <w:rStyle w:val="16"/>
                <w:rFonts w:hint="eastAsia" w:ascii="宋体" w:hAnsi="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ascii="宋体" w:hAnsi="宋体" w:cs="仿宋"/>
                <w:sz w:val="24"/>
              </w:rPr>
            </w:pPr>
            <w:r>
              <w:rPr>
                <w:rFonts w:hint="eastAsia" w:ascii="宋体" w:hAnsi="宋体" w:cs="仿宋"/>
                <w:sz w:val="24"/>
              </w:rPr>
              <w:t>4</w:t>
            </w:r>
          </w:p>
        </w:tc>
        <w:tc>
          <w:tcPr>
            <w:tcW w:w="2201" w:type="dxa"/>
            <w:noWrap w:val="0"/>
            <w:vAlign w:val="center"/>
          </w:tcPr>
          <w:p>
            <w:pPr>
              <w:jc w:val="left"/>
              <w:rPr>
                <w:rStyle w:val="16"/>
                <w:rFonts w:ascii="宋体" w:hAnsi="宋体"/>
                <w:sz w:val="24"/>
              </w:rPr>
            </w:pPr>
            <w:r>
              <w:rPr>
                <w:rStyle w:val="16"/>
                <w:rFonts w:ascii="宋体" w:hAnsi="宋体"/>
                <w:sz w:val="24"/>
              </w:rPr>
              <w:t>探头</w:t>
            </w:r>
          </w:p>
        </w:tc>
        <w:tc>
          <w:tcPr>
            <w:tcW w:w="3423" w:type="dxa"/>
            <w:noWrap w:val="0"/>
            <w:vAlign w:val="center"/>
          </w:tcPr>
          <w:p>
            <w:pPr>
              <w:jc w:val="left"/>
              <w:rPr>
                <w:rStyle w:val="16"/>
                <w:rFonts w:ascii="宋体" w:hAnsi="宋体"/>
                <w:sz w:val="24"/>
              </w:rPr>
            </w:pPr>
            <w:r>
              <w:rPr>
                <w:rStyle w:val="16"/>
                <w:rFonts w:hint="eastAsia" w:ascii="宋体" w:hAnsi="宋体"/>
                <w:sz w:val="24"/>
              </w:rPr>
              <w:t>与主机同一品牌</w:t>
            </w:r>
          </w:p>
        </w:tc>
        <w:tc>
          <w:tcPr>
            <w:tcW w:w="969" w:type="dxa"/>
            <w:noWrap w:val="0"/>
            <w:vAlign w:val="center"/>
          </w:tcPr>
          <w:p>
            <w:pPr>
              <w:jc w:val="center"/>
              <w:rPr>
                <w:rStyle w:val="16"/>
                <w:rFonts w:ascii="宋体" w:hAnsi="宋体"/>
                <w:sz w:val="24"/>
              </w:rPr>
            </w:pPr>
            <w:r>
              <w:rPr>
                <w:rStyle w:val="16"/>
                <w:rFonts w:ascii="宋体" w:hAnsi="宋体"/>
                <w:sz w:val="24"/>
              </w:rPr>
              <w:t>1</w:t>
            </w:r>
          </w:p>
        </w:tc>
        <w:tc>
          <w:tcPr>
            <w:tcW w:w="920" w:type="dxa"/>
            <w:noWrap w:val="0"/>
            <w:vAlign w:val="center"/>
          </w:tcPr>
          <w:p>
            <w:pPr>
              <w:jc w:val="center"/>
              <w:rPr>
                <w:rStyle w:val="16"/>
                <w:rFonts w:ascii="宋体" w:hAnsi="宋体"/>
                <w:sz w:val="24"/>
              </w:rPr>
            </w:pPr>
            <w:r>
              <w:rPr>
                <w:rStyle w:val="16"/>
                <w:rFonts w:ascii="宋体" w:hAnsi="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hint="eastAsia" w:ascii="宋体" w:hAnsi="宋体" w:cs="仿宋"/>
                <w:sz w:val="24"/>
              </w:rPr>
            </w:pPr>
            <w:r>
              <w:rPr>
                <w:rFonts w:hint="eastAsia" w:ascii="宋体" w:hAnsi="宋体" w:cs="仿宋"/>
                <w:sz w:val="24"/>
              </w:rPr>
              <w:t>5</w:t>
            </w:r>
          </w:p>
        </w:tc>
        <w:tc>
          <w:tcPr>
            <w:tcW w:w="2201" w:type="dxa"/>
            <w:noWrap w:val="0"/>
            <w:vAlign w:val="center"/>
          </w:tcPr>
          <w:p>
            <w:pPr>
              <w:rPr>
                <w:rStyle w:val="16"/>
                <w:rFonts w:ascii="宋体" w:hAnsi="宋体"/>
                <w:sz w:val="24"/>
                <w:highlight w:val="darkYellow"/>
              </w:rPr>
            </w:pPr>
            <w:r>
              <w:rPr>
                <w:rStyle w:val="16"/>
                <w:rFonts w:ascii="宋体" w:hAnsi="宋体"/>
                <w:sz w:val="24"/>
              </w:rPr>
              <w:t>耳蜗电片</w:t>
            </w:r>
          </w:p>
        </w:tc>
        <w:tc>
          <w:tcPr>
            <w:tcW w:w="3423" w:type="dxa"/>
            <w:noWrap w:val="0"/>
            <w:vAlign w:val="center"/>
          </w:tcPr>
          <w:p>
            <w:pPr>
              <w:jc w:val="left"/>
              <w:rPr>
                <w:rStyle w:val="16"/>
                <w:rFonts w:ascii="宋体" w:hAnsi="宋体"/>
                <w:sz w:val="24"/>
              </w:rPr>
            </w:pPr>
            <w:r>
              <w:rPr>
                <w:rStyle w:val="16"/>
                <w:rFonts w:ascii="宋体" w:hAnsi="宋体"/>
                <w:sz w:val="24"/>
              </w:rPr>
              <w:t>鼓膜贴附式耳蜗电片</w:t>
            </w:r>
          </w:p>
        </w:tc>
        <w:tc>
          <w:tcPr>
            <w:tcW w:w="969" w:type="dxa"/>
            <w:noWrap w:val="0"/>
            <w:vAlign w:val="center"/>
          </w:tcPr>
          <w:p>
            <w:pPr>
              <w:jc w:val="center"/>
              <w:rPr>
                <w:rStyle w:val="16"/>
                <w:rFonts w:ascii="宋体" w:hAnsi="宋体"/>
                <w:sz w:val="24"/>
              </w:rPr>
            </w:pPr>
            <w:r>
              <w:rPr>
                <w:rStyle w:val="16"/>
                <w:rFonts w:ascii="宋体" w:hAnsi="宋体"/>
                <w:sz w:val="24"/>
              </w:rPr>
              <w:t>2</w:t>
            </w:r>
          </w:p>
        </w:tc>
        <w:tc>
          <w:tcPr>
            <w:tcW w:w="920" w:type="dxa"/>
            <w:noWrap w:val="0"/>
            <w:vAlign w:val="center"/>
          </w:tcPr>
          <w:p>
            <w:pPr>
              <w:jc w:val="center"/>
              <w:rPr>
                <w:rStyle w:val="16"/>
                <w:rFonts w:ascii="宋体" w:hAnsi="宋体"/>
                <w:sz w:val="24"/>
              </w:rPr>
            </w:pPr>
            <w:r>
              <w:rPr>
                <w:rStyle w:val="16"/>
                <w:rFonts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hint="eastAsia" w:ascii="宋体" w:hAnsi="宋体" w:cs="仿宋"/>
                <w:sz w:val="24"/>
              </w:rPr>
            </w:pPr>
            <w:r>
              <w:rPr>
                <w:rFonts w:hint="eastAsia" w:ascii="宋体" w:hAnsi="宋体" w:cs="仿宋"/>
                <w:sz w:val="24"/>
              </w:rPr>
              <w:t>6</w:t>
            </w:r>
          </w:p>
        </w:tc>
        <w:tc>
          <w:tcPr>
            <w:tcW w:w="2201" w:type="dxa"/>
            <w:noWrap w:val="0"/>
            <w:vAlign w:val="center"/>
          </w:tcPr>
          <w:p>
            <w:pPr>
              <w:jc w:val="left"/>
              <w:rPr>
                <w:rStyle w:val="16"/>
                <w:rFonts w:ascii="宋体" w:hAnsi="宋体"/>
                <w:sz w:val="24"/>
                <w:highlight w:val="darkYellow"/>
              </w:rPr>
            </w:pPr>
            <w:r>
              <w:rPr>
                <w:rStyle w:val="16"/>
                <w:rFonts w:ascii="宋体" w:hAnsi="宋体"/>
                <w:sz w:val="24"/>
              </w:rPr>
              <w:t>耳蜗电极线</w:t>
            </w:r>
          </w:p>
        </w:tc>
        <w:tc>
          <w:tcPr>
            <w:tcW w:w="3423" w:type="dxa"/>
            <w:noWrap w:val="0"/>
            <w:vAlign w:val="center"/>
          </w:tcPr>
          <w:p>
            <w:pPr>
              <w:jc w:val="left"/>
              <w:rPr>
                <w:rStyle w:val="16"/>
                <w:rFonts w:ascii="宋体" w:hAnsi="宋体"/>
                <w:sz w:val="24"/>
              </w:rPr>
            </w:pPr>
            <w:r>
              <w:rPr>
                <w:rStyle w:val="16"/>
                <w:rFonts w:ascii="宋体" w:hAnsi="宋体"/>
                <w:sz w:val="24"/>
              </w:rPr>
              <w:t>鼓膜贴附式耳蜗电极线</w:t>
            </w:r>
          </w:p>
        </w:tc>
        <w:tc>
          <w:tcPr>
            <w:tcW w:w="969" w:type="dxa"/>
            <w:noWrap w:val="0"/>
            <w:vAlign w:val="center"/>
          </w:tcPr>
          <w:p>
            <w:pPr>
              <w:jc w:val="center"/>
              <w:rPr>
                <w:rStyle w:val="16"/>
                <w:rFonts w:ascii="宋体" w:hAnsi="宋体"/>
                <w:sz w:val="24"/>
              </w:rPr>
            </w:pPr>
            <w:r>
              <w:rPr>
                <w:rStyle w:val="16"/>
                <w:rFonts w:ascii="宋体" w:hAnsi="宋体"/>
                <w:sz w:val="24"/>
              </w:rPr>
              <w:t>1</w:t>
            </w:r>
          </w:p>
        </w:tc>
        <w:tc>
          <w:tcPr>
            <w:tcW w:w="920" w:type="dxa"/>
            <w:noWrap w:val="0"/>
            <w:vAlign w:val="center"/>
          </w:tcPr>
          <w:p>
            <w:pPr>
              <w:jc w:val="center"/>
              <w:rPr>
                <w:rStyle w:val="16"/>
                <w:rFonts w:ascii="宋体" w:hAnsi="宋体"/>
                <w:sz w:val="24"/>
              </w:rPr>
            </w:pPr>
            <w:r>
              <w:rPr>
                <w:rStyle w:val="16"/>
                <w:rFonts w:ascii="宋体" w:hAnsi="宋体"/>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hint="eastAsia" w:ascii="宋体" w:hAnsi="宋体" w:cs="仿宋"/>
                <w:sz w:val="24"/>
              </w:rPr>
            </w:pPr>
            <w:r>
              <w:rPr>
                <w:rFonts w:hint="eastAsia" w:ascii="宋体" w:hAnsi="宋体" w:cs="仿宋"/>
                <w:sz w:val="24"/>
              </w:rPr>
              <w:t>7</w:t>
            </w:r>
          </w:p>
        </w:tc>
        <w:tc>
          <w:tcPr>
            <w:tcW w:w="2201" w:type="dxa"/>
            <w:noWrap w:val="0"/>
            <w:vAlign w:val="center"/>
          </w:tcPr>
          <w:p>
            <w:pPr>
              <w:jc w:val="left"/>
              <w:rPr>
                <w:rStyle w:val="16"/>
                <w:rFonts w:ascii="宋体" w:hAnsi="宋体"/>
                <w:sz w:val="24"/>
              </w:rPr>
            </w:pPr>
            <w:r>
              <w:rPr>
                <w:rStyle w:val="16"/>
                <w:rFonts w:ascii="宋体" w:hAnsi="宋体"/>
                <w:sz w:val="24"/>
              </w:rPr>
              <w:t>电极线</w:t>
            </w:r>
          </w:p>
        </w:tc>
        <w:tc>
          <w:tcPr>
            <w:tcW w:w="3423" w:type="dxa"/>
            <w:noWrap w:val="0"/>
            <w:vAlign w:val="center"/>
          </w:tcPr>
          <w:p>
            <w:pPr>
              <w:jc w:val="left"/>
              <w:rPr>
                <w:rStyle w:val="16"/>
                <w:rFonts w:ascii="宋体" w:hAnsi="宋体"/>
                <w:sz w:val="24"/>
              </w:rPr>
            </w:pPr>
            <w:r>
              <w:rPr>
                <w:rStyle w:val="16"/>
                <w:rFonts w:ascii="宋体" w:hAnsi="宋体"/>
                <w:sz w:val="24"/>
              </w:rPr>
              <w:t>纽扣电极线</w:t>
            </w:r>
          </w:p>
        </w:tc>
        <w:tc>
          <w:tcPr>
            <w:tcW w:w="969" w:type="dxa"/>
            <w:noWrap w:val="0"/>
            <w:vAlign w:val="center"/>
          </w:tcPr>
          <w:p>
            <w:pPr>
              <w:jc w:val="center"/>
              <w:rPr>
                <w:rStyle w:val="16"/>
                <w:rFonts w:ascii="宋体" w:hAnsi="宋体"/>
                <w:sz w:val="24"/>
              </w:rPr>
            </w:pPr>
            <w:r>
              <w:rPr>
                <w:rStyle w:val="16"/>
                <w:rFonts w:ascii="宋体" w:hAnsi="宋体"/>
                <w:sz w:val="24"/>
              </w:rPr>
              <w:t>5</w:t>
            </w:r>
          </w:p>
        </w:tc>
        <w:tc>
          <w:tcPr>
            <w:tcW w:w="920" w:type="dxa"/>
            <w:noWrap w:val="0"/>
            <w:vAlign w:val="center"/>
          </w:tcPr>
          <w:p>
            <w:pPr>
              <w:jc w:val="center"/>
              <w:rPr>
                <w:rStyle w:val="16"/>
                <w:rFonts w:ascii="宋体" w:hAnsi="宋体"/>
                <w:sz w:val="24"/>
              </w:rPr>
            </w:pPr>
            <w:r>
              <w:rPr>
                <w:rStyle w:val="16"/>
                <w:rFonts w:ascii="宋体" w:hAnsi="宋体"/>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hint="eastAsia" w:ascii="宋体" w:hAnsi="宋体" w:cs="仿宋"/>
                <w:sz w:val="24"/>
              </w:rPr>
            </w:pPr>
            <w:r>
              <w:rPr>
                <w:rFonts w:hint="eastAsia" w:ascii="宋体" w:hAnsi="宋体" w:cs="仿宋"/>
                <w:sz w:val="24"/>
              </w:rPr>
              <w:t>8</w:t>
            </w:r>
          </w:p>
        </w:tc>
        <w:tc>
          <w:tcPr>
            <w:tcW w:w="2201" w:type="dxa"/>
            <w:noWrap w:val="0"/>
            <w:vAlign w:val="center"/>
          </w:tcPr>
          <w:p>
            <w:pPr>
              <w:jc w:val="left"/>
              <w:rPr>
                <w:rStyle w:val="16"/>
                <w:rFonts w:ascii="宋体" w:hAnsi="宋体"/>
                <w:sz w:val="24"/>
              </w:rPr>
            </w:pPr>
            <w:r>
              <w:rPr>
                <w:rStyle w:val="16"/>
                <w:rFonts w:ascii="宋体" w:hAnsi="宋体"/>
                <w:sz w:val="24"/>
              </w:rPr>
              <w:t>电缆</w:t>
            </w:r>
          </w:p>
        </w:tc>
        <w:tc>
          <w:tcPr>
            <w:tcW w:w="3423" w:type="dxa"/>
            <w:noWrap w:val="0"/>
            <w:vAlign w:val="center"/>
          </w:tcPr>
          <w:p>
            <w:pPr>
              <w:jc w:val="left"/>
              <w:rPr>
                <w:rStyle w:val="16"/>
                <w:rFonts w:ascii="宋体" w:hAnsi="宋体"/>
                <w:sz w:val="24"/>
              </w:rPr>
            </w:pPr>
            <w:r>
              <w:rPr>
                <w:rStyle w:val="16"/>
                <w:rFonts w:ascii="宋体" w:hAnsi="宋体"/>
                <w:sz w:val="24"/>
              </w:rPr>
              <w:t>Y型电缆</w:t>
            </w:r>
          </w:p>
        </w:tc>
        <w:tc>
          <w:tcPr>
            <w:tcW w:w="969" w:type="dxa"/>
            <w:noWrap w:val="0"/>
            <w:vAlign w:val="center"/>
          </w:tcPr>
          <w:p>
            <w:pPr>
              <w:jc w:val="center"/>
              <w:rPr>
                <w:rStyle w:val="16"/>
                <w:rFonts w:ascii="宋体" w:hAnsi="宋体"/>
                <w:sz w:val="24"/>
              </w:rPr>
            </w:pPr>
            <w:r>
              <w:rPr>
                <w:rStyle w:val="16"/>
                <w:rFonts w:ascii="宋体" w:hAnsi="宋体"/>
                <w:sz w:val="24"/>
              </w:rPr>
              <w:t>1</w:t>
            </w:r>
          </w:p>
        </w:tc>
        <w:tc>
          <w:tcPr>
            <w:tcW w:w="920" w:type="dxa"/>
            <w:noWrap w:val="0"/>
            <w:vAlign w:val="center"/>
          </w:tcPr>
          <w:p>
            <w:pPr>
              <w:jc w:val="center"/>
              <w:rPr>
                <w:rStyle w:val="16"/>
                <w:rFonts w:ascii="宋体" w:hAnsi="宋体"/>
                <w:sz w:val="24"/>
              </w:rPr>
            </w:pPr>
            <w:r>
              <w:rPr>
                <w:rStyle w:val="16"/>
                <w:rFonts w:ascii="宋体" w:hAnsi="宋体"/>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hint="eastAsia" w:ascii="宋体" w:hAnsi="宋体" w:cs="仿宋"/>
                <w:sz w:val="24"/>
              </w:rPr>
            </w:pPr>
            <w:r>
              <w:rPr>
                <w:rFonts w:hint="eastAsia" w:ascii="宋体" w:hAnsi="宋体" w:cs="仿宋"/>
                <w:sz w:val="24"/>
              </w:rPr>
              <w:t>9</w:t>
            </w:r>
          </w:p>
        </w:tc>
        <w:tc>
          <w:tcPr>
            <w:tcW w:w="2201" w:type="dxa"/>
            <w:noWrap w:val="0"/>
            <w:vAlign w:val="center"/>
          </w:tcPr>
          <w:p>
            <w:pPr>
              <w:spacing w:line="380" w:lineRule="exact"/>
              <w:rPr>
                <w:rStyle w:val="16"/>
                <w:rFonts w:ascii="宋体" w:hAnsi="宋体"/>
                <w:sz w:val="24"/>
              </w:rPr>
            </w:pPr>
            <w:r>
              <w:rPr>
                <w:rStyle w:val="16"/>
                <w:rFonts w:ascii="宋体" w:hAnsi="宋体"/>
                <w:sz w:val="24"/>
              </w:rPr>
              <w:t>耳塞</w:t>
            </w:r>
          </w:p>
        </w:tc>
        <w:tc>
          <w:tcPr>
            <w:tcW w:w="3423" w:type="dxa"/>
            <w:noWrap w:val="0"/>
            <w:vAlign w:val="center"/>
          </w:tcPr>
          <w:p>
            <w:pPr>
              <w:jc w:val="left"/>
              <w:rPr>
                <w:rStyle w:val="16"/>
                <w:rFonts w:ascii="宋体" w:hAnsi="宋体"/>
                <w:sz w:val="24"/>
              </w:rPr>
            </w:pPr>
            <w:r>
              <w:rPr>
                <w:rStyle w:val="16"/>
                <w:rFonts w:ascii="宋体" w:hAnsi="宋体"/>
                <w:sz w:val="24"/>
              </w:rPr>
              <w:t>耳塞</w:t>
            </w:r>
          </w:p>
        </w:tc>
        <w:tc>
          <w:tcPr>
            <w:tcW w:w="969" w:type="dxa"/>
            <w:noWrap w:val="0"/>
            <w:vAlign w:val="center"/>
          </w:tcPr>
          <w:p>
            <w:pPr>
              <w:jc w:val="center"/>
              <w:rPr>
                <w:rStyle w:val="16"/>
                <w:rFonts w:ascii="宋体" w:hAnsi="宋体"/>
                <w:sz w:val="24"/>
              </w:rPr>
            </w:pPr>
            <w:r>
              <w:rPr>
                <w:rStyle w:val="16"/>
                <w:rFonts w:ascii="宋体" w:hAnsi="宋体"/>
                <w:sz w:val="24"/>
              </w:rPr>
              <w:t>1</w:t>
            </w:r>
          </w:p>
        </w:tc>
        <w:tc>
          <w:tcPr>
            <w:tcW w:w="920" w:type="dxa"/>
            <w:noWrap w:val="0"/>
            <w:vAlign w:val="center"/>
          </w:tcPr>
          <w:p>
            <w:pPr>
              <w:jc w:val="center"/>
              <w:rPr>
                <w:rStyle w:val="16"/>
                <w:rFonts w:ascii="宋体" w:hAnsi="宋体"/>
                <w:sz w:val="24"/>
              </w:rPr>
            </w:pPr>
            <w:r>
              <w:rPr>
                <w:rStyle w:val="16"/>
                <w:rFonts w:ascii="宋体" w:hAnsi="宋体"/>
                <w:sz w:val="24"/>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hint="eastAsia" w:ascii="宋体" w:hAnsi="宋体" w:cs="仿宋"/>
                <w:sz w:val="24"/>
              </w:rPr>
            </w:pPr>
            <w:r>
              <w:rPr>
                <w:rFonts w:hint="eastAsia" w:ascii="宋体" w:hAnsi="宋体" w:cs="仿宋"/>
                <w:sz w:val="24"/>
              </w:rPr>
              <w:t>10</w:t>
            </w:r>
          </w:p>
        </w:tc>
        <w:tc>
          <w:tcPr>
            <w:tcW w:w="2201" w:type="dxa"/>
            <w:noWrap w:val="0"/>
            <w:vAlign w:val="center"/>
          </w:tcPr>
          <w:p>
            <w:pPr>
              <w:rPr>
                <w:rStyle w:val="16"/>
                <w:rFonts w:ascii="宋体" w:hAnsi="宋体"/>
                <w:sz w:val="24"/>
                <w:highlight w:val="darkYellow"/>
              </w:rPr>
            </w:pPr>
            <w:r>
              <w:rPr>
                <w:rStyle w:val="16"/>
                <w:rFonts w:ascii="宋体" w:hAnsi="宋体"/>
                <w:sz w:val="24"/>
              </w:rPr>
              <w:t>导联线</w:t>
            </w:r>
          </w:p>
        </w:tc>
        <w:tc>
          <w:tcPr>
            <w:tcW w:w="3423" w:type="dxa"/>
            <w:noWrap w:val="0"/>
            <w:vAlign w:val="center"/>
          </w:tcPr>
          <w:p>
            <w:pPr>
              <w:jc w:val="left"/>
              <w:rPr>
                <w:rStyle w:val="16"/>
                <w:rFonts w:ascii="宋体" w:hAnsi="宋体"/>
                <w:sz w:val="24"/>
              </w:rPr>
            </w:pPr>
            <w:r>
              <w:rPr>
                <w:rStyle w:val="16"/>
                <w:rFonts w:ascii="宋体" w:hAnsi="宋体"/>
                <w:sz w:val="24"/>
              </w:rPr>
              <w:t>5孔导联线</w:t>
            </w:r>
          </w:p>
        </w:tc>
        <w:tc>
          <w:tcPr>
            <w:tcW w:w="969" w:type="dxa"/>
            <w:noWrap w:val="0"/>
            <w:vAlign w:val="center"/>
          </w:tcPr>
          <w:p>
            <w:pPr>
              <w:jc w:val="center"/>
              <w:rPr>
                <w:rStyle w:val="16"/>
                <w:rFonts w:ascii="宋体" w:hAnsi="宋体"/>
                <w:sz w:val="24"/>
              </w:rPr>
            </w:pPr>
            <w:r>
              <w:rPr>
                <w:rStyle w:val="16"/>
                <w:rFonts w:ascii="宋体" w:hAnsi="宋体"/>
                <w:sz w:val="24"/>
              </w:rPr>
              <w:t>1</w:t>
            </w:r>
          </w:p>
        </w:tc>
        <w:tc>
          <w:tcPr>
            <w:tcW w:w="920" w:type="dxa"/>
            <w:noWrap w:val="0"/>
            <w:vAlign w:val="center"/>
          </w:tcPr>
          <w:p>
            <w:pPr>
              <w:jc w:val="center"/>
              <w:rPr>
                <w:rStyle w:val="16"/>
                <w:rFonts w:ascii="宋体" w:hAnsi="宋体"/>
                <w:sz w:val="24"/>
              </w:rPr>
            </w:pPr>
            <w:r>
              <w:rPr>
                <w:rStyle w:val="16"/>
                <w:rFonts w:ascii="宋体" w:hAnsi="宋体"/>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hint="eastAsia" w:ascii="宋体" w:hAnsi="宋体" w:cs="仿宋"/>
                <w:sz w:val="24"/>
              </w:rPr>
            </w:pPr>
            <w:r>
              <w:rPr>
                <w:rFonts w:hint="eastAsia" w:ascii="宋体" w:hAnsi="宋体" w:cs="仿宋"/>
                <w:sz w:val="24"/>
              </w:rPr>
              <w:t>11</w:t>
            </w:r>
          </w:p>
        </w:tc>
        <w:tc>
          <w:tcPr>
            <w:tcW w:w="2201" w:type="dxa"/>
            <w:noWrap w:val="0"/>
            <w:vAlign w:val="center"/>
          </w:tcPr>
          <w:p>
            <w:pPr>
              <w:rPr>
                <w:rStyle w:val="16"/>
                <w:rFonts w:ascii="宋体" w:hAnsi="宋体"/>
                <w:sz w:val="24"/>
              </w:rPr>
            </w:pPr>
            <w:r>
              <w:rPr>
                <w:rStyle w:val="16"/>
                <w:rFonts w:ascii="宋体" w:hAnsi="宋体"/>
                <w:sz w:val="24"/>
              </w:rPr>
              <w:t>导联线</w:t>
            </w:r>
          </w:p>
        </w:tc>
        <w:tc>
          <w:tcPr>
            <w:tcW w:w="3423" w:type="dxa"/>
            <w:noWrap w:val="0"/>
            <w:vAlign w:val="center"/>
          </w:tcPr>
          <w:p>
            <w:pPr>
              <w:jc w:val="left"/>
              <w:rPr>
                <w:rStyle w:val="16"/>
                <w:rFonts w:ascii="宋体" w:hAnsi="宋体"/>
                <w:sz w:val="24"/>
              </w:rPr>
            </w:pPr>
            <w:r>
              <w:rPr>
                <w:rStyle w:val="16"/>
                <w:rFonts w:ascii="宋体" w:hAnsi="宋体"/>
                <w:sz w:val="24"/>
              </w:rPr>
              <w:t>4孔导联线</w:t>
            </w:r>
          </w:p>
        </w:tc>
        <w:tc>
          <w:tcPr>
            <w:tcW w:w="969" w:type="dxa"/>
            <w:noWrap w:val="0"/>
            <w:vAlign w:val="center"/>
          </w:tcPr>
          <w:p>
            <w:pPr>
              <w:jc w:val="center"/>
              <w:rPr>
                <w:rStyle w:val="16"/>
                <w:rFonts w:ascii="宋体" w:hAnsi="宋体"/>
                <w:sz w:val="24"/>
              </w:rPr>
            </w:pPr>
            <w:r>
              <w:rPr>
                <w:rStyle w:val="16"/>
                <w:rFonts w:ascii="宋体" w:hAnsi="宋体"/>
                <w:sz w:val="24"/>
              </w:rPr>
              <w:t>1</w:t>
            </w:r>
          </w:p>
        </w:tc>
        <w:tc>
          <w:tcPr>
            <w:tcW w:w="920" w:type="dxa"/>
            <w:noWrap w:val="0"/>
            <w:vAlign w:val="center"/>
          </w:tcPr>
          <w:p>
            <w:pPr>
              <w:jc w:val="center"/>
              <w:rPr>
                <w:rStyle w:val="16"/>
                <w:rFonts w:ascii="宋体" w:hAnsi="宋体"/>
                <w:sz w:val="24"/>
              </w:rPr>
            </w:pPr>
            <w:r>
              <w:rPr>
                <w:rStyle w:val="16"/>
                <w:rFonts w:ascii="宋体" w:hAnsi="宋体"/>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40" w:lineRule="exact"/>
              <w:jc w:val="center"/>
              <w:rPr>
                <w:rFonts w:hint="eastAsia" w:ascii="宋体" w:hAnsi="宋体" w:cs="仿宋"/>
                <w:sz w:val="24"/>
              </w:rPr>
            </w:pPr>
            <w:r>
              <w:rPr>
                <w:rFonts w:hint="eastAsia" w:ascii="宋体" w:hAnsi="宋体" w:cs="仿宋"/>
                <w:sz w:val="24"/>
              </w:rPr>
              <w:t>12</w:t>
            </w:r>
          </w:p>
        </w:tc>
        <w:tc>
          <w:tcPr>
            <w:tcW w:w="2201" w:type="dxa"/>
            <w:noWrap w:val="0"/>
            <w:vAlign w:val="center"/>
          </w:tcPr>
          <w:p>
            <w:pPr>
              <w:jc w:val="left"/>
              <w:rPr>
                <w:rStyle w:val="16"/>
                <w:rFonts w:ascii="宋体" w:hAnsi="宋体"/>
                <w:sz w:val="24"/>
              </w:rPr>
            </w:pPr>
            <w:r>
              <w:rPr>
                <w:rStyle w:val="16"/>
                <w:rFonts w:hint="eastAsia" w:ascii="宋体" w:hAnsi="宋体"/>
                <w:sz w:val="24"/>
              </w:rPr>
              <w:t>工作站</w:t>
            </w:r>
          </w:p>
        </w:tc>
        <w:tc>
          <w:tcPr>
            <w:tcW w:w="3423" w:type="dxa"/>
            <w:noWrap w:val="0"/>
            <w:vAlign w:val="center"/>
          </w:tcPr>
          <w:p>
            <w:pPr>
              <w:jc w:val="left"/>
              <w:rPr>
                <w:rStyle w:val="16"/>
                <w:rFonts w:ascii="宋体" w:hAnsi="宋体"/>
                <w:sz w:val="24"/>
              </w:rPr>
            </w:pPr>
            <w:r>
              <w:rPr>
                <w:rStyle w:val="16"/>
                <w:rFonts w:hint="eastAsia" w:ascii="宋体" w:hAnsi="宋体"/>
                <w:sz w:val="24"/>
              </w:rPr>
              <w:t>笔记本工作站</w:t>
            </w:r>
          </w:p>
        </w:tc>
        <w:tc>
          <w:tcPr>
            <w:tcW w:w="969" w:type="dxa"/>
            <w:noWrap w:val="0"/>
            <w:vAlign w:val="center"/>
          </w:tcPr>
          <w:p>
            <w:pPr>
              <w:jc w:val="center"/>
              <w:rPr>
                <w:rStyle w:val="16"/>
                <w:rFonts w:ascii="宋体" w:hAnsi="宋体"/>
                <w:sz w:val="24"/>
              </w:rPr>
            </w:pPr>
            <w:r>
              <w:rPr>
                <w:rStyle w:val="16"/>
                <w:rFonts w:ascii="宋体" w:hAnsi="宋体"/>
                <w:sz w:val="24"/>
              </w:rPr>
              <w:t>1</w:t>
            </w:r>
          </w:p>
        </w:tc>
        <w:tc>
          <w:tcPr>
            <w:tcW w:w="920" w:type="dxa"/>
            <w:noWrap w:val="0"/>
            <w:vAlign w:val="center"/>
          </w:tcPr>
          <w:p>
            <w:pPr>
              <w:jc w:val="center"/>
              <w:rPr>
                <w:rStyle w:val="16"/>
                <w:rFonts w:ascii="宋体" w:hAnsi="宋体"/>
                <w:sz w:val="24"/>
              </w:rPr>
            </w:pPr>
            <w:r>
              <w:rPr>
                <w:rStyle w:val="16"/>
                <w:rFonts w:hint="eastAsia" w:ascii="宋体" w:hAnsi="宋体"/>
                <w:sz w:val="24"/>
              </w:rPr>
              <w:t>套</w:t>
            </w:r>
          </w:p>
        </w:tc>
      </w:tr>
    </w:tbl>
    <w:p>
      <w:pPr>
        <w:spacing w:line="440" w:lineRule="exact"/>
        <w:rPr>
          <w:rFonts w:ascii="宋体" w:hAnsi="宋体" w:cs="仿宋"/>
          <w:b/>
          <w:color w:val="000000"/>
          <w:sz w:val="24"/>
        </w:rPr>
      </w:pPr>
    </w:p>
    <w:p>
      <w:pPr>
        <w:pStyle w:val="12"/>
        <w:numPr>
          <w:ilvl w:val="0"/>
          <w:numId w:val="5"/>
        </w:numPr>
        <w:spacing w:line="440" w:lineRule="exact"/>
        <w:ind w:firstLineChars="0"/>
        <w:rPr>
          <w:rFonts w:ascii="宋体" w:hAnsi="宋体" w:cs="仿宋"/>
          <w:b/>
          <w:color w:val="000000"/>
          <w:sz w:val="24"/>
        </w:rPr>
      </w:pPr>
      <w:r>
        <w:rPr>
          <w:rFonts w:hint="eastAsia" w:ascii="宋体" w:hAnsi="宋体" w:cs="仿宋"/>
          <w:b/>
          <w:color w:val="000000"/>
          <w:sz w:val="24"/>
        </w:rPr>
        <w:t>商务要求：</w:t>
      </w:r>
    </w:p>
    <w:p>
      <w:pPr>
        <w:spacing w:line="440" w:lineRule="exact"/>
        <w:rPr>
          <w:rFonts w:ascii="宋体" w:hAnsi="宋体" w:cs="仿宋"/>
          <w:b/>
          <w:color w:val="000000"/>
          <w:sz w:val="24"/>
        </w:rPr>
      </w:pPr>
      <w:r>
        <w:rPr>
          <w:rFonts w:hint="eastAsia" w:ascii="宋体" w:hAnsi="宋体" w:cs="仿宋"/>
          <w:b/>
          <w:color w:val="000000"/>
          <w:sz w:val="24"/>
        </w:rPr>
        <w:t>1.交货及安装、验收要求</w:t>
      </w:r>
    </w:p>
    <w:p>
      <w:pPr>
        <w:spacing w:line="440" w:lineRule="exact"/>
        <w:rPr>
          <w:rFonts w:ascii="宋体" w:hAnsi="宋体" w:cs="仿宋"/>
          <w:color w:val="000000"/>
          <w:sz w:val="24"/>
        </w:rPr>
      </w:pPr>
      <w:r>
        <w:rPr>
          <w:rFonts w:hint="eastAsia" w:ascii="宋体" w:hAnsi="宋体" w:cs="仿宋"/>
          <w:color w:val="000000"/>
          <w:sz w:val="24"/>
        </w:rPr>
        <w:t>1.1交货地点：采购人指定地点。</w:t>
      </w:r>
    </w:p>
    <w:p>
      <w:pPr>
        <w:spacing w:line="440" w:lineRule="exact"/>
        <w:rPr>
          <w:rFonts w:hint="eastAsia" w:ascii="宋体" w:hAnsi="宋体" w:cs="仿宋"/>
          <w:color w:val="000000"/>
          <w:sz w:val="24"/>
        </w:rPr>
      </w:pPr>
      <w:r>
        <w:rPr>
          <w:rFonts w:hint="eastAsia" w:ascii="宋体" w:hAnsi="宋体" w:cs="仿宋"/>
          <w:color w:val="000000"/>
          <w:sz w:val="24"/>
        </w:rPr>
        <w:t>1.2交货期：中标供应商应当在中标通知书发出之日起30日内按招标文件及中标人的投标文件确定的事项与采购人签订合同，签订合同后</w:t>
      </w:r>
      <w:r>
        <w:rPr>
          <w:rFonts w:hint="eastAsia" w:ascii="宋体" w:hAnsi="宋体" w:cs="仿宋"/>
          <w:color w:val="000000"/>
          <w:sz w:val="24"/>
          <w:highlight w:val="none"/>
          <w:u w:val="single"/>
        </w:rPr>
        <w:t xml:space="preserve">  30  </w:t>
      </w:r>
      <w:r>
        <w:rPr>
          <w:rFonts w:hint="eastAsia" w:ascii="宋体" w:hAnsi="宋体" w:cs="仿宋"/>
          <w:color w:val="000000"/>
          <w:sz w:val="24"/>
          <w:highlight w:val="none"/>
        </w:rPr>
        <w:t>日</w:t>
      </w:r>
      <w:r>
        <w:rPr>
          <w:rFonts w:hint="eastAsia" w:ascii="宋体" w:hAnsi="宋体" w:cs="仿宋"/>
          <w:color w:val="000000"/>
          <w:sz w:val="24"/>
        </w:rPr>
        <w:t>内完成设备的安装调试。</w:t>
      </w:r>
    </w:p>
    <w:p>
      <w:pPr>
        <w:spacing w:line="440" w:lineRule="exact"/>
        <w:rPr>
          <w:rFonts w:hint="eastAsia" w:ascii="宋体" w:hAnsi="宋体" w:cs="仿宋"/>
          <w:color w:val="000000"/>
          <w:sz w:val="24"/>
        </w:rPr>
      </w:pPr>
      <w:r>
        <w:rPr>
          <w:rFonts w:hint="eastAsia" w:ascii="宋体" w:hAnsi="宋体" w:cs="仿宋"/>
          <w:color w:val="000000"/>
          <w:sz w:val="24"/>
        </w:rPr>
        <w:t>1.3合同设备交付时中标供应商应提供合同设备真实有效的生产日期，且保证合同设备的生产日期距交付时的时间差国产设备不超过</w:t>
      </w:r>
      <w:r>
        <w:rPr>
          <w:rFonts w:hint="eastAsia" w:ascii="宋体" w:hAnsi="宋体" w:cs="仿宋"/>
          <w:color w:val="000000"/>
          <w:sz w:val="24"/>
          <w:u w:val="single"/>
        </w:rPr>
        <w:t>3</w:t>
      </w:r>
      <w:r>
        <w:rPr>
          <w:rFonts w:hint="eastAsia" w:ascii="宋体" w:hAnsi="宋体" w:cs="仿宋"/>
          <w:color w:val="000000"/>
          <w:sz w:val="24"/>
        </w:rPr>
        <w:t>个月，进口设备不超过</w:t>
      </w:r>
      <w:r>
        <w:rPr>
          <w:rFonts w:hint="eastAsia" w:ascii="宋体" w:hAnsi="宋体" w:cs="仿宋"/>
          <w:color w:val="000000"/>
          <w:sz w:val="24"/>
          <w:u w:val="single"/>
        </w:rPr>
        <w:t>12</w:t>
      </w:r>
      <w:r>
        <w:rPr>
          <w:rFonts w:hint="eastAsia" w:ascii="宋体" w:hAnsi="宋体" w:cs="仿宋"/>
          <w:color w:val="000000"/>
          <w:sz w:val="24"/>
        </w:rPr>
        <w:t>个月。</w:t>
      </w:r>
    </w:p>
    <w:p>
      <w:pPr>
        <w:spacing w:line="440" w:lineRule="exact"/>
        <w:rPr>
          <w:rFonts w:ascii="宋体" w:hAnsi="宋体" w:cs="仿宋"/>
          <w:color w:val="000000"/>
          <w:sz w:val="24"/>
          <w:highlight w:val="yellow"/>
        </w:rPr>
      </w:pPr>
      <w:r>
        <w:rPr>
          <w:rFonts w:hint="eastAsia" w:ascii="宋体" w:hAnsi="宋体" w:cs="仿宋"/>
          <w:color w:val="000000"/>
          <w:sz w:val="24"/>
        </w:rPr>
        <w:t>1.4中标供应商须保证中标后所提供的设备为原装、全新合格的产品。</w:t>
      </w:r>
    </w:p>
    <w:p>
      <w:pPr>
        <w:spacing w:line="440" w:lineRule="exact"/>
        <w:rPr>
          <w:rFonts w:ascii="宋体" w:hAnsi="宋体" w:cs="仿宋"/>
          <w:color w:val="000000"/>
          <w:sz w:val="24"/>
        </w:rPr>
      </w:pPr>
      <w:r>
        <w:rPr>
          <w:rFonts w:hint="eastAsia" w:ascii="宋体" w:hAnsi="宋体"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宋体" w:hAnsi="宋体" w:cs="仿宋"/>
          <w:color w:val="000000"/>
          <w:sz w:val="24"/>
        </w:rPr>
      </w:pPr>
      <w:r>
        <w:rPr>
          <w:rFonts w:hint="eastAsia" w:ascii="宋体" w:hAnsi="宋体" w:cs="仿宋"/>
          <w:color w:val="000000"/>
          <w:sz w:val="24"/>
        </w:rPr>
        <w:t>1.6验收方式：按《小榄镇公立医院政府采购和验收办法》。</w:t>
      </w:r>
    </w:p>
    <w:p>
      <w:pPr>
        <w:spacing w:line="440" w:lineRule="exact"/>
        <w:rPr>
          <w:rFonts w:ascii="宋体" w:hAnsi="宋体" w:cs="仿宋"/>
          <w:color w:val="000000"/>
          <w:sz w:val="24"/>
        </w:rPr>
      </w:pPr>
      <w:r>
        <w:rPr>
          <w:rFonts w:hint="eastAsia" w:ascii="宋体" w:hAnsi="宋体" w:cs="仿宋"/>
          <w:color w:val="000000"/>
          <w:sz w:val="24"/>
        </w:rPr>
        <w:t>★1.7投标供应商须要在投标文件做出具承诺函，该承诺函包括但不限于以下内容:</w:t>
      </w:r>
    </w:p>
    <w:p>
      <w:pPr>
        <w:spacing w:line="440" w:lineRule="exact"/>
        <w:rPr>
          <w:rFonts w:ascii="宋体" w:hAnsi="宋体" w:cs="仿宋"/>
          <w:color w:val="000000"/>
          <w:sz w:val="24"/>
        </w:rPr>
      </w:pPr>
      <w:r>
        <w:rPr>
          <w:rFonts w:hint="eastAsia" w:ascii="宋体" w:hAnsi="宋体"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宋体" w:hAnsi="宋体" w:cs="仿宋"/>
          <w:color w:val="000000"/>
          <w:sz w:val="24"/>
          <w:highlight w:val="none"/>
        </w:rPr>
      </w:pPr>
      <w:r>
        <w:rPr>
          <w:rFonts w:hint="eastAsia" w:ascii="宋体" w:hAnsi="宋体" w:cs="仿宋"/>
          <w:color w:val="000000"/>
          <w:sz w:val="24"/>
          <w:highlight w:val="none"/>
        </w:rPr>
        <w:t>1.8乙方所投设备属于计量仪器的，需通过具有国家部门颁发专业检测资质证书的第三方计量检测单位检测并提供合格报告。</w:t>
      </w:r>
    </w:p>
    <w:p>
      <w:pPr>
        <w:spacing w:line="440" w:lineRule="exact"/>
        <w:rPr>
          <w:rFonts w:ascii="宋体" w:hAnsi="宋体" w:cs="仿宋"/>
          <w:b/>
          <w:color w:val="000000"/>
          <w:sz w:val="24"/>
        </w:rPr>
      </w:pPr>
      <w:r>
        <w:rPr>
          <w:rFonts w:hint="eastAsia" w:ascii="宋体" w:hAnsi="宋体" w:cs="仿宋"/>
          <w:b/>
          <w:color w:val="000000"/>
          <w:sz w:val="24"/>
        </w:rPr>
        <w:t>2.售后服务要求</w:t>
      </w:r>
    </w:p>
    <w:p>
      <w:pPr>
        <w:tabs>
          <w:tab w:val="left" w:pos="420"/>
        </w:tabs>
        <w:spacing w:line="440" w:lineRule="exact"/>
        <w:rPr>
          <w:rFonts w:ascii="宋体" w:hAnsi="宋体" w:cs="仿宋"/>
          <w:color w:val="000000"/>
          <w:sz w:val="24"/>
        </w:rPr>
      </w:pPr>
      <w:r>
        <w:rPr>
          <w:rFonts w:hint="eastAsia" w:ascii="宋体" w:hAnsi="宋体" w:cs="仿宋"/>
          <w:color w:val="000000"/>
          <w:sz w:val="24"/>
        </w:rPr>
        <w:t>2.1中标供应商必须在中国境内有售后服务机构，并附有售后服务能力说明。</w:t>
      </w:r>
    </w:p>
    <w:p>
      <w:pPr>
        <w:spacing w:line="440" w:lineRule="exact"/>
        <w:rPr>
          <w:rFonts w:ascii="宋体" w:hAnsi="宋体" w:cs="仿宋"/>
          <w:color w:val="000000"/>
          <w:sz w:val="24"/>
        </w:rPr>
      </w:pPr>
      <w:r>
        <w:rPr>
          <w:rFonts w:hint="eastAsia" w:ascii="宋体" w:hAnsi="宋体" w:cs="仿宋"/>
          <w:color w:val="000000"/>
          <w:sz w:val="24"/>
        </w:rPr>
        <w:t>★2.2中标供应商须提供设备原厂质保（设备原厂质量保修范围和保修期）至少</w:t>
      </w:r>
      <w:r>
        <w:rPr>
          <w:rFonts w:hint="eastAsia" w:ascii="宋体" w:hAnsi="宋体" w:cs="仿宋"/>
          <w:color w:val="auto"/>
          <w:sz w:val="24"/>
        </w:rPr>
        <w:t>为</w:t>
      </w:r>
      <w:r>
        <w:rPr>
          <w:rFonts w:hint="eastAsia" w:ascii="宋体" w:hAnsi="宋体" w:cs="仿宋"/>
          <w:color w:val="auto"/>
          <w:sz w:val="24"/>
          <w:u w:val="single"/>
        </w:rPr>
        <w:t xml:space="preserve">  </w:t>
      </w:r>
      <w:r>
        <w:rPr>
          <w:rFonts w:hint="eastAsia" w:ascii="宋体" w:hAnsi="宋体" w:cs="仿宋"/>
          <w:color w:val="auto"/>
          <w:sz w:val="24"/>
          <w:u w:val="single"/>
          <w:lang w:val="en-US" w:eastAsia="zh-CN"/>
        </w:rPr>
        <w:t>1</w:t>
      </w:r>
      <w:r>
        <w:rPr>
          <w:rFonts w:hint="eastAsia" w:ascii="宋体" w:hAnsi="宋体" w:cs="仿宋"/>
          <w:color w:val="auto"/>
          <w:sz w:val="24"/>
          <w:u w:val="single"/>
        </w:rPr>
        <w:t xml:space="preserve">  </w:t>
      </w:r>
      <w:r>
        <w:rPr>
          <w:rFonts w:hint="eastAsia" w:ascii="宋体" w:hAnsi="宋体" w:cs="仿宋"/>
          <w:color w:val="auto"/>
          <w:sz w:val="24"/>
        </w:rPr>
        <w:t>年。</w:t>
      </w:r>
    </w:p>
    <w:p>
      <w:pPr>
        <w:spacing w:line="440" w:lineRule="exact"/>
        <w:rPr>
          <w:rFonts w:ascii="宋体" w:hAnsi="宋体" w:cs="仿宋"/>
          <w:color w:val="000000"/>
          <w:sz w:val="24"/>
        </w:rPr>
      </w:pPr>
      <w:r>
        <w:rPr>
          <w:rFonts w:hint="eastAsia" w:ascii="宋体" w:hAnsi="宋体"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宋体" w:hAnsi="宋体" w:cs="仿宋"/>
          <w:color w:val="000000"/>
          <w:sz w:val="24"/>
        </w:rPr>
      </w:pPr>
      <w:r>
        <w:rPr>
          <w:rFonts w:hint="eastAsia" w:ascii="宋体" w:hAnsi="宋体"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宋体" w:hAnsi="宋体" w:cs="仿宋"/>
          <w:b/>
          <w:color w:val="000000"/>
          <w:sz w:val="24"/>
        </w:rPr>
      </w:pPr>
      <w:r>
        <w:rPr>
          <w:rFonts w:hint="eastAsia" w:ascii="宋体" w:hAnsi="宋体" w:cs="仿宋"/>
          <w:b/>
          <w:color w:val="000000"/>
          <w:sz w:val="24"/>
        </w:rPr>
        <w:t>3.付款方式</w:t>
      </w:r>
    </w:p>
    <w:p>
      <w:pPr>
        <w:spacing w:line="440" w:lineRule="exact"/>
        <w:rPr>
          <w:rFonts w:ascii="宋体" w:hAnsi="宋体" w:cs="仿宋"/>
          <w:color w:val="000000"/>
          <w:sz w:val="24"/>
        </w:rPr>
      </w:pPr>
      <w:r>
        <w:rPr>
          <w:rFonts w:hint="eastAsia" w:ascii="宋体" w:hAnsi="宋体"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宋体" w:hAnsi="宋体" w:cs="仿宋"/>
          <w:color w:val="000000"/>
          <w:sz w:val="24"/>
        </w:rPr>
      </w:pPr>
      <w:r>
        <w:rPr>
          <w:rFonts w:hint="eastAsia" w:ascii="宋体" w:hAnsi="宋体" w:cs="仿宋"/>
          <w:color w:val="000000"/>
          <w:sz w:val="24"/>
        </w:rPr>
        <w:t>（1）合同；</w:t>
      </w:r>
    </w:p>
    <w:p>
      <w:pPr>
        <w:spacing w:line="440" w:lineRule="exact"/>
        <w:ind w:firstLine="480" w:firstLineChars="200"/>
        <w:rPr>
          <w:rFonts w:ascii="宋体" w:hAnsi="宋体" w:cs="仿宋"/>
          <w:color w:val="000000"/>
          <w:sz w:val="24"/>
        </w:rPr>
      </w:pPr>
      <w:r>
        <w:rPr>
          <w:rFonts w:hint="eastAsia" w:ascii="宋体" w:hAnsi="宋体" w:cs="仿宋"/>
          <w:color w:val="000000"/>
          <w:sz w:val="24"/>
        </w:rPr>
        <w:t>（2）验收调试合格报告（加盖采购人公章）；</w:t>
      </w:r>
    </w:p>
    <w:p>
      <w:pPr>
        <w:spacing w:line="440" w:lineRule="exact"/>
        <w:ind w:firstLine="480" w:firstLineChars="200"/>
        <w:rPr>
          <w:rFonts w:ascii="宋体" w:hAnsi="宋体" w:cs="仿宋"/>
          <w:color w:val="000000"/>
          <w:sz w:val="24"/>
        </w:rPr>
      </w:pPr>
      <w:r>
        <w:rPr>
          <w:rFonts w:hint="eastAsia" w:ascii="宋体" w:hAnsi="宋体" w:cs="仿宋"/>
          <w:color w:val="000000"/>
          <w:sz w:val="24"/>
        </w:rPr>
        <w:t>（3）中标供应商开具的正式发票（加盖发票专用章）。</w:t>
      </w:r>
    </w:p>
    <w:p>
      <w:pPr>
        <w:spacing w:line="440" w:lineRule="exact"/>
        <w:rPr>
          <w:rFonts w:hint="eastAsia" w:ascii="宋体" w:hAnsi="宋体" w:cs="仿宋"/>
          <w:sz w:val="24"/>
          <w:highlight w:val="none"/>
        </w:rPr>
      </w:pPr>
      <w:r>
        <w:rPr>
          <w:rFonts w:hint="eastAsia" w:ascii="宋体" w:hAnsi="宋体" w:cs="仿宋"/>
          <w:color w:val="000000"/>
          <w:sz w:val="24"/>
          <w:highlight w:val="none"/>
        </w:rPr>
        <w:t>★3.2</w:t>
      </w:r>
      <w:r>
        <w:rPr>
          <w:rFonts w:hint="eastAsia" w:ascii="宋体" w:hAnsi="宋体" w:cs="仿宋"/>
          <w:sz w:val="24"/>
          <w:highlight w:val="none"/>
        </w:rPr>
        <w:t>具体付款方式：本合同分三期支付，第一期：合同签订后，乙方提供合同总金额的20%的款项的预收款收据，甲方支付该笔预付款；第二期：乙方按合同协议时间提供货物，并经协议规定的验收人员书面确认验收合格后，开具全额发票，甲方确认无误后一个月内支付合同总金额的75%的款项。第三期：合同总金额的5%的款项在</w:t>
      </w:r>
      <w:r>
        <w:rPr>
          <w:rFonts w:hint="eastAsia" w:ascii="宋体" w:hAnsi="宋体" w:cs="仿宋"/>
          <w:sz w:val="24"/>
          <w:highlight w:val="none"/>
          <w:u w:val="single"/>
        </w:rPr>
        <w:t>质保期</w:t>
      </w:r>
      <w:r>
        <w:rPr>
          <w:rFonts w:hint="eastAsia" w:ascii="宋体" w:hAnsi="宋体" w:cs="仿宋"/>
          <w:sz w:val="24"/>
          <w:highlight w:val="none"/>
        </w:rPr>
        <w:t>后无息支付。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14F93"/>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AE056F"/>
    <w:rsid w:val="3CF8165C"/>
    <w:rsid w:val="3E1A0157"/>
    <w:rsid w:val="3F196F49"/>
    <w:rsid w:val="407E146F"/>
    <w:rsid w:val="40C43099"/>
    <w:rsid w:val="40F1620A"/>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autoRedefine/>
    <w:qFormat/>
    <w:uiPriority w:val="0"/>
    <w:pPr>
      <w:spacing w:line="360" w:lineRule="auto"/>
      <w:ind w:firstLine="420"/>
    </w:pPr>
    <w:rPr>
      <w:rFonts w:ascii="宋体"/>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Anrede1IhrZeichen"/>
    <w:basedOn w:val="11"/>
    <w:autoRedefine/>
    <w:qFormat/>
    <w:uiPriority w:val="0"/>
    <w:rPr>
      <w:rFonts w:ascii="Arial" w:hAnsi="Arial"/>
      <w:sz w:val="20"/>
    </w:rPr>
  </w:style>
  <w:style w:type="paragraph" w:customStyle="1" w:styleId="14">
    <w:name w:val="H-TextFormat"/>
    <w:autoRedefine/>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autoRedefine/>
    <w:qFormat/>
    <w:uiPriority w:val="0"/>
    <w:rPr>
      <w:rFonts w:ascii="Times New Roman" w:hAnsi="Times New Roman" w:eastAsia="宋体" w:cs="Times New Roman"/>
      <w:kern w:val="2"/>
      <w:sz w:val="18"/>
      <w:szCs w:val="18"/>
    </w:rPr>
  </w:style>
  <w:style w:type="character" w:customStyle="1" w:styleId="16">
    <w:name w:val="NormalCharacter"/>
    <w:semiHidden/>
    <w:qFormat/>
    <w:uiPriority w:val="0"/>
  </w:style>
  <w:style w:type="character" w:customStyle="1" w:styleId="17">
    <w:name w:val="UserStyle_0"/>
    <w:uiPriority w:val="0"/>
    <w:rPr>
      <w:rFonts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9</Pages>
  <Words>676</Words>
  <Characters>763</Characters>
  <Lines>5</Lines>
  <Paragraphs>1</Paragraphs>
  <TotalTime>0</TotalTime>
  <ScaleCrop>false</ScaleCrop>
  <LinksUpToDate>false</LinksUpToDate>
  <CharactersWithSpaces>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Paula</cp:lastModifiedBy>
  <dcterms:modified xsi:type="dcterms:W3CDTF">2024-06-27T01:55:45Z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EE339A9A46CC488DB486AFC45B6393E8_13</vt:lpwstr>
  </property>
</Properties>
</file>