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b/>
          <w:bCs/>
          <w:sz w:val="44"/>
          <w:szCs w:val="44"/>
        </w:rPr>
      </w:pPr>
      <w:r>
        <w:rPr>
          <w:rFonts w:hint="eastAsia"/>
          <w:b/>
          <w:bCs/>
          <w:sz w:val="44"/>
          <w:szCs w:val="44"/>
        </w:rPr>
        <w:t>报价单</w:t>
      </w:r>
    </w:p>
    <w:p>
      <w:pPr>
        <w:spacing w:line="440" w:lineRule="exact"/>
        <w:jc w:val="center"/>
        <w:rPr>
          <w:sz w:val="24"/>
          <w:szCs w:val="24"/>
        </w:rPr>
      </w:pPr>
    </w:p>
    <w:p>
      <w:pPr>
        <w:spacing w:line="440" w:lineRule="exact"/>
        <w:rPr>
          <w:sz w:val="24"/>
          <w:szCs w:val="24"/>
        </w:rPr>
      </w:pPr>
      <w:r>
        <w:rPr>
          <w:rFonts w:hint="eastAsia"/>
          <w:sz w:val="24"/>
          <w:szCs w:val="24"/>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设备名称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型号</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产地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单价（元）</w:t>
            </w:r>
          </w:p>
        </w:tc>
        <w:tc>
          <w:tcPr>
            <w:tcW w:w="5835" w:type="dxa"/>
            <w:vAlign w:val="top"/>
          </w:tcPr>
          <w:p>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总价（元）</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pPr>
              <w:spacing w:line="360" w:lineRule="auto"/>
              <w:jc w:val="left"/>
              <w:rPr>
                <w:rFonts w:hint="eastAsia"/>
                <w:sz w:val="21"/>
                <w:szCs w:val="21"/>
                <w:lang w:val="en-US" w:eastAsia="zh-CN"/>
              </w:rPr>
            </w:pPr>
          </w:p>
          <w:p>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pPr>
              <w:pStyle w:val="5"/>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pPr>
        <w:jc w:val="center"/>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pPr>
        <w:spacing w:line="440" w:lineRule="exact"/>
        <w:rPr>
          <w:rFonts w:hint="eastAsia"/>
          <w:b/>
          <w:bCs/>
          <w:color w:val="0000FF"/>
          <w:sz w:val="21"/>
          <w:szCs w:val="21"/>
        </w:rPr>
      </w:pPr>
      <w:r>
        <w:rPr>
          <w:rFonts w:hint="eastAsia"/>
          <w:b/>
          <w:bCs/>
          <w:color w:val="0000FF"/>
          <w:sz w:val="21"/>
          <w:szCs w:val="21"/>
        </w:rPr>
        <w:t>报价供应商须同时提供以下资料：</w:t>
      </w:r>
    </w:p>
    <w:p>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p>
    <w:p>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pPr>
        <w:pStyle w:val="5"/>
        <w:ind w:left="0" w:leftChars="0" w:firstLine="0" w:firstLineChars="0"/>
        <w:rPr>
          <w:rFonts w:hint="eastAsia"/>
          <w:b/>
          <w:bCs/>
          <w:color w:val="0000FF"/>
          <w:sz w:val="24"/>
        </w:rPr>
      </w:pPr>
    </w:p>
    <w:p>
      <w:pPr>
        <w:pStyle w:val="5"/>
        <w:rPr>
          <w:rFonts w:hint="eastAsia"/>
          <w:b/>
          <w:bCs/>
          <w:color w:val="0000FF"/>
          <w:sz w:val="24"/>
        </w:rPr>
      </w:pPr>
    </w:p>
    <w:p>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9"/>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jc w:val="center"/>
        </w:trPr>
        <w:tc>
          <w:tcPr>
            <w:tcW w:w="24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32"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59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3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05"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30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3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78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4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4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5" w:hRule="atLeast"/>
          <w:jc w:val="center"/>
        </w:trPr>
        <w:tc>
          <w:tcPr>
            <w:tcW w:w="248"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32"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59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3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0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30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36"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783"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41"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7"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4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8" w:hRule="atLeast"/>
          <w:jc w:val="center"/>
        </w:trPr>
        <w:tc>
          <w:tcPr>
            <w:tcW w:w="248"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32"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5" w:hRule="atLeast"/>
          <w:jc w:val="center"/>
        </w:trPr>
        <w:tc>
          <w:tcPr>
            <w:tcW w:w="248"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32"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pPr>
              <w:rPr>
                <w:rFonts w:hint="eastAsia" w:ascii="宋体" w:hAnsi="宋体" w:eastAsia="宋体" w:cs="宋体"/>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pPr>
        <w:spacing w:line="440" w:lineRule="exact"/>
        <w:jc w:val="center"/>
        <w:rPr>
          <w:rFonts w:hint="eastAsia"/>
          <w:b/>
          <w:sz w:val="32"/>
          <w:szCs w:val="32"/>
        </w:rPr>
      </w:pPr>
    </w:p>
    <w:p>
      <w:pPr>
        <w:spacing w:line="440" w:lineRule="exact"/>
        <w:jc w:val="center"/>
        <w:rPr>
          <w:rFonts w:hint="eastAsia"/>
          <w:b/>
          <w:sz w:val="32"/>
          <w:szCs w:val="32"/>
        </w:rPr>
      </w:pPr>
    </w:p>
    <w:p>
      <w:pPr>
        <w:spacing w:line="440" w:lineRule="exact"/>
        <w:jc w:val="both"/>
        <w:rPr>
          <w:rFonts w:hint="eastAsia"/>
          <w:b/>
          <w:sz w:val="32"/>
          <w:szCs w:val="32"/>
        </w:rPr>
      </w:pPr>
    </w:p>
    <w:p>
      <w:pPr>
        <w:pStyle w:val="5"/>
        <w:rPr>
          <w:rFonts w:hint="eastAsia"/>
          <w:b/>
          <w:sz w:val="32"/>
          <w:szCs w:val="32"/>
        </w:rPr>
      </w:pPr>
    </w:p>
    <w:p>
      <w:pPr>
        <w:pStyle w:val="5"/>
        <w:rPr>
          <w:rFonts w:hint="eastAsia"/>
          <w:b/>
          <w:sz w:val="32"/>
          <w:szCs w:val="32"/>
        </w:rPr>
      </w:pPr>
    </w:p>
    <w:p>
      <w:pPr>
        <w:pStyle w:val="5"/>
        <w:rPr>
          <w:rFonts w:hint="eastAsia"/>
          <w:b/>
          <w:sz w:val="32"/>
          <w:szCs w:val="32"/>
        </w:rPr>
      </w:pPr>
    </w:p>
    <w:p>
      <w:pPr>
        <w:pStyle w:val="5"/>
        <w:rPr>
          <w:rFonts w:hint="eastAsia"/>
          <w:b/>
          <w:sz w:val="32"/>
          <w:szCs w:val="32"/>
        </w:rPr>
      </w:pPr>
    </w:p>
    <w:p>
      <w:pPr>
        <w:spacing w:line="440" w:lineRule="exact"/>
        <w:jc w:val="center"/>
        <w:rPr>
          <w:rFonts w:hint="eastAsia"/>
          <w:b/>
          <w:sz w:val="32"/>
          <w:szCs w:val="32"/>
        </w:rPr>
      </w:pPr>
    </w:p>
    <w:p>
      <w:pPr>
        <w:spacing w:line="440" w:lineRule="exact"/>
        <w:jc w:val="both"/>
        <w:rPr>
          <w:rFonts w:hint="eastAsia"/>
          <w:b/>
          <w:sz w:val="32"/>
          <w:szCs w:val="32"/>
        </w:rPr>
      </w:pPr>
    </w:p>
    <w:p>
      <w:pPr>
        <w:spacing w:line="440" w:lineRule="exact"/>
        <w:jc w:val="center"/>
        <w:rPr>
          <w:rFonts w:hint="eastAsia"/>
          <w:b/>
          <w:sz w:val="32"/>
          <w:szCs w:val="32"/>
        </w:rPr>
      </w:pPr>
    </w:p>
    <w:p>
      <w:pPr>
        <w:spacing w:line="440" w:lineRule="exact"/>
        <w:jc w:val="center"/>
        <w:rPr>
          <w:b/>
          <w:sz w:val="32"/>
          <w:szCs w:val="32"/>
        </w:rPr>
      </w:pPr>
      <w:r>
        <w:rPr>
          <w:rFonts w:hint="eastAsia"/>
          <w:b/>
          <w:sz w:val="32"/>
          <w:szCs w:val="32"/>
        </w:rPr>
        <w:t>参数偏离情况表</w:t>
      </w:r>
    </w:p>
    <w:p>
      <w:pPr>
        <w:spacing w:line="440" w:lineRule="exact"/>
        <w:rPr>
          <w:b/>
          <w:bCs/>
          <w:sz w:val="24"/>
        </w:rPr>
      </w:pPr>
      <w:r>
        <w:rPr>
          <w:rFonts w:hint="eastAsia"/>
          <w:b/>
          <w:bCs/>
          <w:sz w:val="24"/>
        </w:rPr>
        <w:t>填写要求：</w:t>
      </w:r>
    </w:p>
    <w:p>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pPr>
        <w:spacing w:line="380" w:lineRule="exact"/>
        <w:rPr>
          <w:rFonts w:ascii="宋体" w:hAnsi="宋体"/>
          <w:color w:val="000000"/>
          <w:szCs w:val="21"/>
        </w:rPr>
      </w:pPr>
    </w:p>
    <w:p>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pPr>
              <w:widowControl/>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7"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bl>
    <w:p>
      <w:pPr>
        <w:spacing w:line="340" w:lineRule="exact"/>
        <w:rPr>
          <w:rFonts w:ascii="宋体"/>
          <w:sz w:val="30"/>
          <w:szCs w:val="30"/>
        </w:rPr>
      </w:pPr>
    </w:p>
    <w:p>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pPr>
              <w:widowControl/>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bl>
    <w:p>
      <w:pPr>
        <w:tabs>
          <w:tab w:val="left" w:pos="720"/>
        </w:tabs>
        <w:spacing w:line="340" w:lineRule="exact"/>
        <w:jc w:val="left"/>
        <w:rPr>
          <w:rFonts w:ascii="宋体" w:hAnsi="宋体"/>
          <w:b/>
          <w:bCs/>
          <w:sz w:val="30"/>
          <w:szCs w:val="30"/>
        </w:rPr>
      </w:pPr>
    </w:p>
    <w:p>
      <w:pPr>
        <w:spacing w:line="440" w:lineRule="exact"/>
        <w:rPr>
          <w:rFonts w:ascii="宋体" w:hAnsi="宋体"/>
          <w:sz w:val="24"/>
        </w:rPr>
      </w:pPr>
    </w:p>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jc w:val="center"/>
        <w:rPr>
          <w:rFonts w:ascii="宋体" w:hAnsi="宋体"/>
          <w:b/>
          <w:color w:val="000000"/>
          <w:kern w:val="28"/>
          <w:sz w:val="44"/>
          <w:szCs w:val="36"/>
        </w:rPr>
      </w:pPr>
      <w:r>
        <w:rPr>
          <w:rFonts w:hint="eastAsia" w:ascii="宋体" w:hAnsi="宋体"/>
          <w:b/>
          <w:color w:val="000000"/>
          <w:kern w:val="28"/>
          <w:sz w:val="44"/>
          <w:szCs w:val="36"/>
        </w:rPr>
        <w:t>采购</w:t>
      </w:r>
      <w:r>
        <w:rPr>
          <w:rFonts w:ascii="宋体" w:hAnsi="宋体"/>
          <w:b/>
          <w:color w:val="000000"/>
          <w:kern w:val="28"/>
          <w:sz w:val="44"/>
          <w:szCs w:val="36"/>
        </w:rPr>
        <w:t>需求书</w:t>
      </w:r>
    </w:p>
    <w:p>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总则：</w:t>
      </w:r>
    </w:p>
    <w:p>
      <w:pPr>
        <w:spacing w:line="440" w:lineRule="exact"/>
        <w:rPr>
          <w:rFonts w:ascii="仿宋" w:hAnsi="仿宋" w:eastAsia="仿宋" w:cs="仿宋"/>
          <w:color w:val="000000"/>
          <w:sz w:val="24"/>
        </w:rPr>
      </w:pPr>
      <w:r>
        <w:rPr>
          <w:rFonts w:hint="eastAsia" w:ascii="仿宋" w:hAnsi="仿宋" w:eastAsia="仿宋" w:cs="仿宋"/>
          <w:color w:val="000000"/>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pPr>
        <w:spacing w:line="440" w:lineRule="exact"/>
        <w:rPr>
          <w:rFonts w:ascii="仿宋" w:hAnsi="仿宋" w:eastAsia="仿宋" w:cs="仿宋"/>
          <w:color w:val="000000"/>
          <w:sz w:val="24"/>
        </w:rPr>
      </w:pPr>
      <w:r>
        <w:rPr>
          <w:rFonts w:hint="eastAsia" w:ascii="仿宋" w:hAnsi="仿宋" w:eastAsia="仿宋" w:cs="仿宋"/>
          <w:color w:val="000000"/>
          <w:sz w:val="24"/>
        </w:rPr>
        <w:t>2.招标文件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pPr>
        <w:spacing w:line="440" w:lineRule="exact"/>
        <w:rPr>
          <w:rFonts w:ascii="仿宋" w:hAnsi="仿宋" w:eastAsia="仿宋" w:cs="仿宋"/>
          <w:color w:val="000000"/>
          <w:sz w:val="24"/>
        </w:rPr>
      </w:pPr>
      <w:r>
        <w:rPr>
          <w:rFonts w:hint="eastAsia" w:ascii="仿宋" w:hAnsi="仿宋" w:eastAsia="仿宋" w:cs="仿宋"/>
          <w:color w:val="000000"/>
          <w:sz w:val="24"/>
        </w:rPr>
        <w:t>3.本项目不接受联合体投标，中标供应商不得以任何方式转包本项目。</w:t>
      </w:r>
    </w:p>
    <w:p>
      <w:pPr>
        <w:spacing w:line="440" w:lineRule="exact"/>
        <w:rPr>
          <w:rFonts w:ascii="仿宋" w:hAnsi="仿宋" w:eastAsia="仿宋" w:cs="仿宋"/>
          <w:color w:val="000000"/>
          <w:sz w:val="24"/>
        </w:rPr>
      </w:pPr>
      <w:r>
        <w:rPr>
          <w:rFonts w:hint="eastAsia" w:ascii="仿宋" w:hAnsi="仿宋" w:eastAsia="仿宋" w:cs="仿宋"/>
          <w:color w:val="000000"/>
          <w:sz w:val="24"/>
        </w:rPr>
        <w:t>4.单位负责人为同一人或者存在直接控股、关联关系的不同投标人，不得参加同一项目下的招标活动。</w:t>
      </w:r>
    </w:p>
    <w:p>
      <w:pPr>
        <w:spacing w:line="440" w:lineRule="exact"/>
        <w:rPr>
          <w:rFonts w:ascii="仿宋" w:hAnsi="仿宋" w:eastAsia="仿宋" w:cs="仿宋"/>
          <w:color w:val="000000"/>
          <w:sz w:val="24"/>
        </w:rPr>
      </w:pPr>
      <w:r>
        <w:rPr>
          <w:rFonts w:hint="eastAsia" w:ascii="仿宋" w:hAnsi="仿宋" w:eastAsia="仿宋" w:cs="仿宋"/>
          <w:color w:val="000000"/>
          <w:sz w:val="24"/>
        </w:rPr>
        <w:t>5.★投标供应商应符合《医疗器械监督管理条例》规定，如投标供应商为生产厂家，还应该符合《医疗器械生产质量管理规范》规定，如投标供应商为经销商还应符合《医疗器械经营质量管理规范》规定，并结合本项目特性提供有效的医疗器械产品注册/备案证明材料和投标供应商的经营许可/备案证明材料。</w:t>
      </w:r>
    </w:p>
    <w:p>
      <w:pPr>
        <w:spacing w:line="440" w:lineRule="exact"/>
        <w:rPr>
          <w:rFonts w:ascii="仿宋" w:hAnsi="仿宋" w:eastAsia="仿宋" w:cs="仿宋"/>
          <w:color w:val="000000"/>
          <w:sz w:val="24"/>
        </w:rPr>
      </w:pPr>
      <w:r>
        <w:rPr>
          <w:rFonts w:hint="eastAsia" w:ascii="仿宋" w:hAnsi="仿宋" w:eastAsia="仿宋" w:cs="仿宋"/>
          <w:color w:val="000000"/>
          <w:sz w:val="24"/>
        </w:rPr>
        <w:t>6.本文的“质保期”是指中标标的物经约定的验收机构完成验收之日起算，截止中标人承诺的期限。</w:t>
      </w:r>
    </w:p>
    <w:p>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基本需求</w:t>
      </w:r>
    </w:p>
    <w:tbl>
      <w:tblPr>
        <w:tblStyle w:val="9"/>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项目名称</w:t>
            </w:r>
          </w:p>
        </w:tc>
        <w:tc>
          <w:tcPr>
            <w:tcW w:w="2268"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需求科室/部门</w:t>
            </w:r>
          </w:p>
        </w:tc>
        <w:tc>
          <w:tcPr>
            <w:tcW w:w="2508"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数量（</w:t>
            </w:r>
            <w:r>
              <w:rPr>
                <w:rFonts w:hint="eastAsia" w:ascii="仿宋" w:hAnsi="仿宋" w:eastAsia="仿宋" w:cs="仿宋"/>
                <w:color w:val="000000"/>
                <w:sz w:val="24"/>
                <w:lang w:val="en-US" w:eastAsia="zh-CN"/>
              </w:rPr>
              <w:t>条</w:t>
            </w:r>
            <w:r>
              <w:rPr>
                <w:rFonts w:hint="eastAsia" w:ascii="仿宋" w:hAnsi="仿宋" w:eastAsia="仿宋" w:cs="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noWrap w:val="0"/>
            <w:vAlign w:val="top"/>
          </w:tcPr>
          <w:p>
            <w:pPr>
              <w:spacing w:line="440" w:lineRule="exact"/>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尿道膀胱镜</w:t>
            </w:r>
          </w:p>
        </w:tc>
        <w:tc>
          <w:tcPr>
            <w:tcW w:w="2268" w:type="dxa"/>
            <w:noWrap w:val="0"/>
            <w:vAlign w:val="top"/>
          </w:tcPr>
          <w:p>
            <w:pPr>
              <w:spacing w:line="440" w:lineRule="exact"/>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泌尿外科</w:t>
            </w:r>
          </w:p>
        </w:tc>
        <w:tc>
          <w:tcPr>
            <w:tcW w:w="2508" w:type="dxa"/>
            <w:noWrap w:val="0"/>
            <w:vAlign w:val="top"/>
          </w:tcPr>
          <w:p>
            <w:pPr>
              <w:spacing w:line="440" w:lineRule="exact"/>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w:t>
            </w:r>
          </w:p>
        </w:tc>
      </w:tr>
    </w:tbl>
    <w:p>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rPr>
        <w:t>核心产品：</w:t>
      </w:r>
      <w:r>
        <w:rPr>
          <w:rFonts w:hint="eastAsia" w:ascii="仿宋" w:hAnsi="仿宋" w:eastAsia="仿宋" w:cs="仿宋"/>
          <w:color w:val="000000"/>
          <w:sz w:val="24"/>
          <w:lang w:val="en-US" w:eastAsia="zh-CN"/>
        </w:rPr>
        <w:t>30°尿道膀胱镜，70°尿道膀胱镜</w:t>
      </w:r>
    </w:p>
    <w:p>
      <w:pPr>
        <w:spacing w:line="440" w:lineRule="exact"/>
        <w:rPr>
          <w:rFonts w:ascii="仿宋" w:hAnsi="仿宋" w:eastAsia="仿宋" w:cs="仿宋"/>
          <w:color w:val="000000"/>
          <w:sz w:val="24"/>
        </w:rPr>
      </w:pPr>
    </w:p>
    <w:p>
      <w:pPr>
        <w:spacing w:line="440" w:lineRule="exact"/>
        <w:rPr>
          <w:rFonts w:hint="default" w:ascii="仿宋" w:hAnsi="仿宋" w:eastAsia="仿宋" w:cs="仿宋"/>
          <w:color w:val="000000"/>
          <w:sz w:val="24"/>
          <w:lang w:val="en-US" w:eastAsia="zh-CN"/>
        </w:rPr>
      </w:pPr>
      <w:r>
        <w:rPr>
          <w:rFonts w:hint="eastAsia" w:ascii="仿宋" w:hAnsi="仿宋" w:eastAsia="仿宋" w:cs="仿宋"/>
          <w:color w:val="000000"/>
          <w:sz w:val="24"/>
        </w:rPr>
        <w:t>用途：</w:t>
      </w:r>
      <w:r>
        <w:rPr>
          <w:rFonts w:hint="eastAsia" w:ascii="仿宋" w:hAnsi="仿宋" w:eastAsia="仿宋" w:cs="仿宋"/>
          <w:color w:val="000000"/>
          <w:sz w:val="24"/>
          <w:lang w:val="en-US" w:eastAsia="zh-CN"/>
        </w:rPr>
        <w:t>输尿管内支架管拔出、膀胱及尿道内病变检查</w:t>
      </w:r>
    </w:p>
    <w:p>
      <w:pPr>
        <w:spacing w:line="440" w:lineRule="exact"/>
        <w:rPr>
          <w:rFonts w:ascii="仿宋" w:hAnsi="仿宋" w:eastAsia="仿宋" w:cs="仿宋"/>
          <w:b/>
          <w:color w:val="000000"/>
          <w:sz w:val="24"/>
        </w:rPr>
      </w:pPr>
    </w:p>
    <w:p>
      <w:pPr>
        <w:numPr>
          <w:ilvl w:val="0"/>
          <w:numId w:val="4"/>
        </w:numPr>
        <w:spacing w:line="440" w:lineRule="exact"/>
        <w:rPr>
          <w:rFonts w:ascii="仿宋" w:hAnsi="仿宋" w:eastAsia="仿宋" w:cs="仿宋"/>
          <w:b/>
          <w:color w:val="000000"/>
          <w:sz w:val="24"/>
        </w:rPr>
      </w:pPr>
      <w:r>
        <w:rPr>
          <w:rFonts w:hint="eastAsia" w:ascii="仿宋" w:hAnsi="仿宋" w:eastAsia="仿宋" w:cs="仿宋"/>
          <w:b/>
          <w:color w:val="000000"/>
          <w:sz w:val="24"/>
        </w:rPr>
        <w:t>技术参数：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7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7599" w:type="dxa"/>
            <w:noWrap w:val="0"/>
            <w:vAlign w:val="top"/>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2" w:type="dxa"/>
            <w:gridSpan w:val="2"/>
            <w:noWrap w:val="0"/>
            <w:vAlign w:val="top"/>
          </w:tcPr>
          <w:p>
            <w:pPr>
              <w:spacing w:line="440" w:lineRule="exact"/>
              <w:rPr>
                <w:rFonts w:hint="default" w:ascii="仿宋" w:hAnsi="仿宋" w:eastAsia="仿宋" w:cs="仿宋"/>
                <w:b/>
                <w:color w:val="000000"/>
                <w:sz w:val="24"/>
                <w:lang w:val="en-US" w:eastAsia="zh-CN"/>
              </w:rPr>
            </w:pPr>
            <w:r>
              <w:rPr>
                <w:rFonts w:hint="eastAsia" w:ascii="仿宋" w:hAnsi="仿宋" w:eastAsia="仿宋" w:cs="仿宋"/>
                <w:b/>
                <w:color w:val="000000"/>
                <w:sz w:val="24"/>
                <w:lang w:val="en-US" w:eastAsia="zh-CN"/>
              </w:rPr>
              <w:t>一、</w:t>
            </w:r>
            <w:r>
              <w:rPr>
                <w:rFonts w:hint="eastAsia" w:ascii="仿宋" w:hAnsi="仿宋" w:eastAsia="仿宋" w:cs="仿宋"/>
                <w:color w:val="000000"/>
                <w:sz w:val="24"/>
                <w:lang w:val="en-US" w:eastAsia="zh-CN"/>
              </w:rPr>
              <w:t>30°尿道膀胱镜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1</w:t>
            </w:r>
          </w:p>
        </w:tc>
        <w:tc>
          <w:tcPr>
            <w:tcW w:w="7599" w:type="dxa"/>
            <w:noWrap w:val="0"/>
            <w:vAlign w:val="top"/>
          </w:tcPr>
          <w:p>
            <w:pPr>
              <w:spacing w:line="440" w:lineRule="exact"/>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镜直径4mm；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2</w:t>
            </w:r>
          </w:p>
        </w:tc>
        <w:tc>
          <w:tcPr>
            <w:tcW w:w="7599" w:type="dxa"/>
            <w:noWrap w:val="0"/>
            <w:vAlign w:val="top"/>
          </w:tcPr>
          <w:p>
            <w:pPr>
              <w:spacing w:line="440" w:lineRule="exact"/>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视角：30度；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3</w:t>
            </w:r>
          </w:p>
        </w:tc>
        <w:tc>
          <w:tcPr>
            <w:tcW w:w="7599" w:type="dxa"/>
            <w:noWrap w:val="0"/>
            <w:vAlign w:val="top"/>
          </w:tcPr>
          <w:p>
            <w:pPr>
              <w:spacing w:line="440" w:lineRule="exact"/>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工作长度：307mm；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4</w:t>
            </w:r>
          </w:p>
        </w:tc>
        <w:tc>
          <w:tcPr>
            <w:tcW w:w="7599" w:type="dxa"/>
            <w:noWrap w:val="0"/>
            <w:vAlign w:val="top"/>
          </w:tcPr>
          <w:p>
            <w:pPr>
              <w:spacing w:line="440" w:lineRule="exact"/>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可浸泡、熏蒸、可134℃高温高压消毒；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5</w:t>
            </w:r>
          </w:p>
        </w:tc>
        <w:tc>
          <w:tcPr>
            <w:tcW w:w="7599" w:type="dxa"/>
            <w:noWrap w:val="0"/>
            <w:vAlign w:val="top"/>
          </w:tcPr>
          <w:p>
            <w:pPr>
              <w:spacing w:line="440" w:lineRule="exact"/>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钛合金材质外壳；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6</w:t>
            </w:r>
          </w:p>
        </w:tc>
        <w:tc>
          <w:tcPr>
            <w:tcW w:w="7599" w:type="dxa"/>
            <w:noWrap w:val="0"/>
            <w:vAlign w:val="top"/>
          </w:tcPr>
          <w:p>
            <w:pPr>
              <w:spacing w:line="440" w:lineRule="exact"/>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蓝宝石镜面；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lang w:val="en-US" w:eastAsia="zh-CN"/>
              </w:rPr>
              <w:t>7</w:t>
            </w:r>
          </w:p>
        </w:tc>
        <w:tc>
          <w:tcPr>
            <w:tcW w:w="7599" w:type="dxa"/>
            <w:noWrap w:val="0"/>
            <w:vAlign w:val="top"/>
          </w:tcPr>
          <w:p>
            <w:pPr>
              <w:spacing w:line="440" w:lineRule="exact"/>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color w:val="000000"/>
                <w:sz w:val="24"/>
              </w:rPr>
              <w:t>★</w:t>
            </w:r>
            <w:r>
              <w:rPr>
                <w:rFonts w:hint="eastAsia" w:ascii="仿宋" w:hAnsi="仿宋" w:eastAsia="仿宋" w:cs="仿宋"/>
                <w:b w:val="0"/>
                <w:bCs w:val="0"/>
                <w:color w:val="000000"/>
                <w:sz w:val="24"/>
                <w:lang w:val="en-US" w:eastAsia="zh-CN"/>
              </w:rPr>
              <w:t>设备使用年限≥5年；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2" w:type="dxa"/>
            <w:gridSpan w:val="2"/>
            <w:noWrap w:val="0"/>
            <w:vAlign w:val="top"/>
          </w:tcPr>
          <w:p>
            <w:pPr>
              <w:spacing w:line="440" w:lineRule="exact"/>
              <w:rPr>
                <w:rFonts w:ascii="仿宋" w:hAnsi="仿宋" w:eastAsia="仿宋" w:cs="仿宋"/>
                <w:b/>
                <w:color w:val="000000"/>
                <w:sz w:val="24"/>
              </w:rPr>
            </w:pPr>
            <w:r>
              <w:rPr>
                <w:rFonts w:hint="eastAsia" w:ascii="仿宋" w:hAnsi="仿宋" w:eastAsia="仿宋" w:cs="仿宋"/>
                <w:b/>
                <w:color w:val="000000"/>
                <w:sz w:val="24"/>
                <w:lang w:val="en-US" w:eastAsia="zh-CN"/>
              </w:rPr>
              <w:t>二、7</w:t>
            </w:r>
            <w:r>
              <w:rPr>
                <w:rFonts w:hint="eastAsia" w:ascii="仿宋" w:hAnsi="仿宋" w:eastAsia="仿宋" w:cs="仿宋"/>
                <w:color w:val="000000"/>
                <w:sz w:val="24"/>
                <w:lang w:val="en-US" w:eastAsia="zh-CN"/>
              </w:rPr>
              <w:t>0°尿道膀胱镜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lang w:val="en-US" w:eastAsia="zh-CN"/>
              </w:rPr>
              <w:t>1</w:t>
            </w:r>
          </w:p>
        </w:tc>
        <w:tc>
          <w:tcPr>
            <w:tcW w:w="7599" w:type="dxa"/>
            <w:noWrap w:val="0"/>
            <w:vAlign w:val="top"/>
          </w:tcPr>
          <w:p>
            <w:pPr>
              <w:spacing w:line="440" w:lineRule="exact"/>
              <w:rPr>
                <w:rFonts w:hint="default"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lang w:val="en-US" w:eastAsia="zh-CN"/>
              </w:rPr>
              <w:t>镜直径4mm；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lang w:val="en-US" w:eastAsia="zh-CN"/>
              </w:rPr>
              <w:t>2</w:t>
            </w:r>
          </w:p>
        </w:tc>
        <w:tc>
          <w:tcPr>
            <w:tcW w:w="7599" w:type="dxa"/>
            <w:noWrap w:val="0"/>
            <w:vAlign w:val="top"/>
          </w:tcPr>
          <w:p>
            <w:pPr>
              <w:spacing w:line="440" w:lineRule="exact"/>
              <w:rPr>
                <w:rFonts w:hint="default"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lang w:val="en-US" w:eastAsia="zh-CN"/>
              </w:rPr>
              <w:t>视角：70度；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lang w:val="en-US" w:eastAsia="zh-CN"/>
              </w:rPr>
              <w:t>3</w:t>
            </w:r>
          </w:p>
        </w:tc>
        <w:tc>
          <w:tcPr>
            <w:tcW w:w="7599" w:type="dxa"/>
            <w:noWrap w:val="0"/>
            <w:vAlign w:val="top"/>
          </w:tcPr>
          <w:p>
            <w:pPr>
              <w:spacing w:line="440" w:lineRule="exact"/>
              <w:rPr>
                <w:rFonts w:hint="default"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lang w:val="en-US" w:eastAsia="zh-CN"/>
              </w:rPr>
              <w:t>工作长度：310.5mm；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lang w:val="en-US" w:eastAsia="zh-CN"/>
              </w:rPr>
              <w:t>4</w:t>
            </w:r>
          </w:p>
        </w:tc>
        <w:tc>
          <w:tcPr>
            <w:tcW w:w="7599" w:type="dxa"/>
            <w:noWrap w:val="0"/>
            <w:vAlign w:val="top"/>
          </w:tcPr>
          <w:p>
            <w:pPr>
              <w:spacing w:line="440" w:lineRule="exact"/>
              <w:rPr>
                <w:rFonts w:hint="default"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lang w:val="en-US" w:eastAsia="zh-CN"/>
              </w:rPr>
              <w:t>可浸泡、熏蒸、可134℃高温高压消毒；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lang w:val="en-US" w:eastAsia="zh-CN"/>
              </w:rPr>
              <w:t>5</w:t>
            </w:r>
          </w:p>
        </w:tc>
        <w:tc>
          <w:tcPr>
            <w:tcW w:w="7599" w:type="dxa"/>
            <w:noWrap w:val="0"/>
            <w:vAlign w:val="top"/>
          </w:tcPr>
          <w:p>
            <w:pPr>
              <w:spacing w:line="440" w:lineRule="exact"/>
              <w:rPr>
                <w:rFonts w:hint="default"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lang w:val="en-US" w:eastAsia="zh-CN"/>
              </w:rPr>
              <w:t>钛合金材质外壳；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lang w:val="en-US" w:eastAsia="zh-CN"/>
              </w:rPr>
              <w:t>6</w:t>
            </w:r>
          </w:p>
        </w:tc>
        <w:tc>
          <w:tcPr>
            <w:tcW w:w="7599" w:type="dxa"/>
            <w:noWrap w:val="0"/>
            <w:vAlign w:val="top"/>
          </w:tcPr>
          <w:p>
            <w:pPr>
              <w:spacing w:line="440" w:lineRule="exact"/>
              <w:rPr>
                <w:rFonts w:hint="default"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lang w:val="en-US" w:eastAsia="zh-CN"/>
              </w:rPr>
              <w:t>蓝宝石镜面；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spacing w:line="440" w:lineRule="exact"/>
              <w:jc w:val="center"/>
              <w:rPr>
                <w:rFonts w:hint="default"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7</w:t>
            </w:r>
          </w:p>
        </w:tc>
        <w:tc>
          <w:tcPr>
            <w:tcW w:w="7599" w:type="dxa"/>
            <w:noWrap w:val="0"/>
            <w:vAlign w:val="top"/>
          </w:tcPr>
          <w:p>
            <w:pPr>
              <w:spacing w:line="440" w:lineRule="exact"/>
              <w:rPr>
                <w:rFonts w:hint="default" w:ascii="仿宋" w:hAnsi="仿宋" w:eastAsia="仿宋" w:cs="仿宋"/>
                <w:b w:val="0"/>
                <w:bCs w:val="0"/>
                <w:color w:val="000000"/>
                <w:sz w:val="24"/>
                <w:lang w:val="en-US" w:eastAsia="zh-CN"/>
              </w:rPr>
            </w:pPr>
            <w:r>
              <w:rPr>
                <w:rFonts w:hint="eastAsia" w:ascii="仿宋" w:hAnsi="仿宋" w:eastAsia="仿宋" w:cs="仿宋"/>
                <w:color w:val="000000"/>
                <w:sz w:val="24"/>
              </w:rPr>
              <w:t>★</w:t>
            </w:r>
            <w:r>
              <w:rPr>
                <w:rFonts w:hint="eastAsia" w:ascii="仿宋" w:hAnsi="仿宋" w:eastAsia="仿宋" w:cs="仿宋"/>
                <w:b w:val="0"/>
                <w:bCs w:val="0"/>
                <w:color w:val="000000"/>
                <w:sz w:val="24"/>
                <w:lang w:val="en-US" w:eastAsia="zh-CN"/>
              </w:rPr>
              <w:t>设备使用年限≥5年；</w:t>
            </w:r>
          </w:p>
        </w:tc>
      </w:tr>
    </w:tbl>
    <w:p>
      <w:pPr>
        <w:pStyle w:val="12"/>
        <w:numPr>
          <w:ilvl w:val="0"/>
          <w:numId w:val="0"/>
        </w:numPr>
        <w:spacing w:line="440" w:lineRule="exact"/>
        <w:ind w:leftChars="0"/>
        <w:rPr>
          <w:rFonts w:ascii="仿宋" w:hAnsi="仿宋" w:eastAsia="仿宋" w:cs="仿宋"/>
          <w:b/>
          <w:color w:val="000000"/>
          <w:sz w:val="24"/>
        </w:rPr>
      </w:pPr>
      <w:r>
        <w:rPr>
          <w:rFonts w:hint="eastAsia" w:ascii="仿宋" w:hAnsi="仿宋" w:eastAsia="仿宋" w:cs="仿宋"/>
          <w:b/>
          <w:color w:val="000000"/>
          <w:sz w:val="24"/>
          <w:lang w:val="en-US" w:eastAsia="zh-CN"/>
        </w:rPr>
        <w:t>四</w:t>
      </w:r>
      <w:bookmarkStart w:id="0" w:name="_GoBack"/>
      <w:bookmarkEnd w:id="0"/>
      <w:r>
        <w:rPr>
          <w:rFonts w:hint="eastAsia" w:ascii="仿宋" w:hAnsi="仿宋" w:eastAsia="仿宋" w:cs="仿宋"/>
          <w:b/>
          <w:color w:val="000000"/>
          <w:sz w:val="24"/>
          <w:lang w:val="en-US" w:eastAsia="zh-CN"/>
        </w:rPr>
        <w:t>、</w:t>
      </w:r>
      <w:r>
        <w:rPr>
          <w:rFonts w:hint="eastAsia" w:ascii="仿宋" w:hAnsi="仿宋" w:eastAsia="仿宋" w:cs="仿宋"/>
          <w:b/>
          <w:color w:val="000000"/>
          <w:sz w:val="24"/>
        </w:rPr>
        <w:t>商务要求：</w:t>
      </w:r>
    </w:p>
    <w:p>
      <w:pPr>
        <w:spacing w:line="440" w:lineRule="exact"/>
        <w:rPr>
          <w:rFonts w:ascii="仿宋" w:hAnsi="仿宋" w:eastAsia="仿宋" w:cs="仿宋"/>
          <w:b/>
          <w:color w:val="000000"/>
          <w:sz w:val="24"/>
        </w:rPr>
      </w:pPr>
      <w:r>
        <w:rPr>
          <w:rFonts w:hint="eastAsia" w:ascii="仿宋" w:hAnsi="仿宋" w:eastAsia="仿宋" w:cs="仿宋"/>
          <w:b/>
          <w:color w:val="000000"/>
          <w:sz w:val="24"/>
        </w:rPr>
        <w:t>1.交货及安装、验收要求</w:t>
      </w:r>
    </w:p>
    <w:p>
      <w:pPr>
        <w:spacing w:line="440" w:lineRule="exact"/>
        <w:rPr>
          <w:rFonts w:ascii="仿宋" w:hAnsi="仿宋" w:eastAsia="仿宋" w:cs="仿宋"/>
          <w:color w:val="000000"/>
          <w:sz w:val="24"/>
        </w:rPr>
      </w:pPr>
      <w:r>
        <w:rPr>
          <w:rFonts w:hint="eastAsia" w:ascii="仿宋" w:hAnsi="仿宋" w:eastAsia="仿宋" w:cs="仿宋"/>
          <w:color w:val="000000"/>
          <w:sz w:val="24"/>
        </w:rPr>
        <w:t>1.1交货地点：采购人指定地点。</w:t>
      </w:r>
    </w:p>
    <w:p>
      <w:pPr>
        <w:spacing w:line="440" w:lineRule="exact"/>
        <w:rPr>
          <w:rFonts w:hint="eastAsia" w:ascii="仿宋" w:hAnsi="仿宋" w:eastAsia="仿宋" w:cs="仿宋"/>
          <w:color w:val="000000"/>
          <w:sz w:val="24"/>
        </w:rPr>
      </w:pPr>
      <w:r>
        <w:rPr>
          <w:rFonts w:hint="eastAsia" w:ascii="仿宋" w:hAnsi="仿宋" w:eastAsia="仿宋" w:cs="仿宋"/>
          <w:color w:val="000000"/>
          <w:sz w:val="24"/>
        </w:rPr>
        <w:t>1.2交货期：中标供应商应当在中标通知书发出之日起30日内按招标文件及中标人的投标文件确定的事项与采购人签订合同，签订合同后</w:t>
      </w:r>
      <w:r>
        <w:rPr>
          <w:rFonts w:hint="eastAsia" w:ascii="仿宋" w:hAnsi="仿宋" w:eastAsia="仿宋" w:cs="仿宋"/>
          <w:color w:val="000000"/>
          <w:sz w:val="24"/>
          <w:highlight w:val="none"/>
          <w:u w:val="single"/>
        </w:rPr>
        <w:t xml:space="preserve">  30  </w:t>
      </w:r>
      <w:r>
        <w:rPr>
          <w:rFonts w:hint="eastAsia" w:ascii="仿宋" w:hAnsi="仿宋" w:eastAsia="仿宋" w:cs="仿宋"/>
          <w:color w:val="000000"/>
          <w:sz w:val="24"/>
          <w:highlight w:val="none"/>
        </w:rPr>
        <w:t>日</w:t>
      </w:r>
      <w:r>
        <w:rPr>
          <w:rFonts w:hint="eastAsia" w:ascii="仿宋" w:hAnsi="仿宋" w:eastAsia="仿宋" w:cs="仿宋"/>
          <w:color w:val="000000"/>
          <w:sz w:val="24"/>
        </w:rPr>
        <w:t>内完成设备的安装调试。</w:t>
      </w:r>
    </w:p>
    <w:p>
      <w:pPr>
        <w:spacing w:line="440" w:lineRule="exact"/>
        <w:rPr>
          <w:rFonts w:hint="eastAsia" w:ascii="仿宋" w:hAnsi="仿宋" w:eastAsia="仿宋" w:cs="仿宋"/>
          <w:color w:val="000000"/>
          <w:sz w:val="24"/>
          <w:highlight w:val="none"/>
        </w:rPr>
      </w:pPr>
      <w:r>
        <w:rPr>
          <w:rFonts w:hint="eastAsia" w:ascii="仿宋" w:hAnsi="仿宋" w:eastAsia="仿宋" w:cs="仿宋"/>
          <w:color w:val="000000"/>
          <w:sz w:val="24"/>
        </w:rPr>
        <w:t>1.3合同设备交付时中标供应商应提供合同设备真实有效的生产日期，且保证合同设备的生产日期距交付时的时间差</w:t>
      </w:r>
      <w:r>
        <w:rPr>
          <w:rFonts w:hint="eastAsia" w:ascii="仿宋" w:hAnsi="仿宋" w:eastAsia="仿宋" w:cs="仿宋"/>
          <w:color w:val="000000"/>
          <w:sz w:val="24"/>
          <w:highlight w:val="none"/>
        </w:rPr>
        <w:t>国产设备不超过</w:t>
      </w:r>
      <w:r>
        <w:rPr>
          <w:rFonts w:hint="eastAsia" w:ascii="仿宋" w:hAnsi="仿宋" w:eastAsia="仿宋" w:cs="仿宋"/>
          <w:color w:val="000000"/>
          <w:sz w:val="24"/>
          <w:highlight w:val="none"/>
          <w:u w:val="single"/>
        </w:rPr>
        <w:t>3</w:t>
      </w:r>
      <w:r>
        <w:rPr>
          <w:rFonts w:hint="eastAsia" w:ascii="仿宋" w:hAnsi="仿宋" w:eastAsia="仿宋" w:cs="仿宋"/>
          <w:color w:val="000000"/>
          <w:sz w:val="24"/>
          <w:highlight w:val="none"/>
        </w:rPr>
        <w:t>个月，进口设备不超过</w:t>
      </w:r>
      <w:r>
        <w:rPr>
          <w:rFonts w:hint="eastAsia" w:ascii="仿宋" w:hAnsi="仿宋" w:eastAsia="仿宋" w:cs="仿宋"/>
          <w:color w:val="000000"/>
          <w:sz w:val="24"/>
          <w:highlight w:val="none"/>
          <w:u w:val="single"/>
        </w:rPr>
        <w:t>12</w:t>
      </w:r>
      <w:r>
        <w:rPr>
          <w:rFonts w:hint="eastAsia" w:ascii="仿宋" w:hAnsi="仿宋" w:eastAsia="仿宋" w:cs="仿宋"/>
          <w:color w:val="000000"/>
          <w:sz w:val="24"/>
          <w:highlight w:val="none"/>
        </w:rPr>
        <w:t>个月。</w:t>
      </w:r>
    </w:p>
    <w:p>
      <w:pPr>
        <w:spacing w:line="440" w:lineRule="exact"/>
        <w:rPr>
          <w:rFonts w:ascii="仿宋" w:hAnsi="仿宋" w:eastAsia="仿宋" w:cs="仿宋"/>
          <w:color w:val="000000"/>
          <w:sz w:val="24"/>
          <w:highlight w:val="yellow"/>
        </w:rPr>
      </w:pPr>
      <w:r>
        <w:rPr>
          <w:rFonts w:hint="eastAsia" w:ascii="仿宋" w:hAnsi="仿宋" w:eastAsia="仿宋" w:cs="仿宋"/>
          <w:color w:val="000000"/>
          <w:sz w:val="24"/>
        </w:rPr>
        <w:t>1.4中标供应商须保证中标后所提供的设备为原装、全新合格的产品。</w:t>
      </w:r>
    </w:p>
    <w:p>
      <w:pPr>
        <w:spacing w:line="440" w:lineRule="exact"/>
        <w:rPr>
          <w:rFonts w:ascii="仿宋" w:hAnsi="仿宋" w:eastAsia="仿宋" w:cs="仿宋"/>
          <w:color w:val="000000"/>
          <w:sz w:val="24"/>
        </w:rPr>
      </w:pPr>
      <w:r>
        <w:rPr>
          <w:rFonts w:hint="eastAsia" w:ascii="仿宋" w:hAnsi="仿宋" w:eastAsia="仿宋" w:cs="仿宋"/>
          <w:color w:val="000000"/>
          <w:sz w:val="24"/>
        </w:rPr>
        <w:t>1.5中标供应商负责派技术人员到现场进行安装调试，直至验收合格，安装调试所需费用应包含在投标总报价内；同时提供培训服务，必须保证需求科室操作人员融会贯通，培训所需费用全部包含在总报价内。</w:t>
      </w:r>
    </w:p>
    <w:p>
      <w:pPr>
        <w:spacing w:line="440" w:lineRule="exact"/>
        <w:rPr>
          <w:rFonts w:ascii="仿宋" w:hAnsi="仿宋" w:eastAsia="仿宋" w:cs="仿宋"/>
          <w:color w:val="000000"/>
          <w:sz w:val="24"/>
        </w:rPr>
      </w:pPr>
      <w:r>
        <w:rPr>
          <w:rFonts w:hint="eastAsia" w:ascii="仿宋" w:hAnsi="仿宋" w:eastAsia="仿宋" w:cs="仿宋"/>
          <w:color w:val="000000"/>
          <w:sz w:val="24"/>
        </w:rPr>
        <w:t>1.6验收方式：按《小榄镇公立医院政府采购和验收办法》。</w:t>
      </w:r>
    </w:p>
    <w:p>
      <w:pPr>
        <w:spacing w:line="440" w:lineRule="exact"/>
        <w:rPr>
          <w:rFonts w:ascii="仿宋" w:hAnsi="仿宋" w:eastAsia="仿宋" w:cs="仿宋"/>
          <w:color w:val="000000"/>
          <w:sz w:val="24"/>
        </w:rPr>
      </w:pPr>
      <w:r>
        <w:rPr>
          <w:rFonts w:hint="eastAsia" w:ascii="仿宋" w:hAnsi="仿宋" w:eastAsia="仿宋" w:cs="仿宋"/>
          <w:color w:val="000000"/>
          <w:sz w:val="24"/>
        </w:rPr>
        <w:t>★1.7投标供应商须要在投标文件做出具承诺函，该承诺函包括但不限于以下内容:</w:t>
      </w:r>
    </w:p>
    <w:p>
      <w:pPr>
        <w:spacing w:line="440" w:lineRule="exact"/>
        <w:rPr>
          <w:rFonts w:ascii="仿宋" w:hAnsi="仿宋" w:eastAsia="仿宋" w:cs="仿宋"/>
          <w:color w:val="000000"/>
          <w:sz w:val="24"/>
        </w:rPr>
      </w:pPr>
      <w:r>
        <w:rPr>
          <w:rFonts w:hint="eastAsia" w:ascii="仿宋" w:hAnsi="仿宋" w:eastAsia="仿宋" w:cs="仿宋"/>
          <w:color w:val="000000"/>
          <w:sz w:val="24"/>
        </w:rPr>
        <w:t>承诺中标后须在中标公告发布之日起五个工作日内提供设备制造厂商开具并盖章的合法有效的授权函原件（盖鲜章）、售后服务承诺函原件（盖鲜章）。</w:t>
      </w:r>
    </w:p>
    <w:p>
      <w:pPr>
        <w:spacing w:line="440" w:lineRule="exact"/>
        <w:rPr>
          <w:rFonts w:ascii="仿宋" w:hAnsi="仿宋" w:eastAsia="仿宋" w:cs="仿宋"/>
          <w:color w:val="000000"/>
          <w:sz w:val="24"/>
          <w:highlight w:val="none"/>
        </w:rPr>
      </w:pPr>
      <w:r>
        <w:rPr>
          <w:rFonts w:hint="eastAsia" w:ascii="仿宋" w:hAnsi="仿宋" w:eastAsia="仿宋" w:cs="仿宋"/>
          <w:color w:val="000000"/>
          <w:sz w:val="24"/>
          <w:highlight w:val="none"/>
        </w:rPr>
        <w:t>1.8乙方所投设备属于计量仪器的，需通过具有国家部门颁发专业检测资质证书的第三方计量检测单位检测并提供合格报告。</w:t>
      </w:r>
    </w:p>
    <w:p>
      <w:pPr>
        <w:spacing w:line="440" w:lineRule="exact"/>
        <w:rPr>
          <w:rFonts w:ascii="仿宋" w:hAnsi="仿宋" w:eastAsia="仿宋" w:cs="仿宋"/>
          <w:b/>
          <w:color w:val="000000"/>
          <w:sz w:val="24"/>
        </w:rPr>
      </w:pPr>
      <w:r>
        <w:rPr>
          <w:rFonts w:hint="eastAsia" w:ascii="仿宋" w:hAnsi="仿宋" w:eastAsia="仿宋" w:cs="仿宋"/>
          <w:b/>
          <w:color w:val="000000"/>
          <w:sz w:val="24"/>
        </w:rPr>
        <w:t>2.售后服务要求</w:t>
      </w:r>
    </w:p>
    <w:p>
      <w:pPr>
        <w:tabs>
          <w:tab w:val="left" w:pos="420"/>
        </w:tabs>
        <w:spacing w:line="440" w:lineRule="exact"/>
        <w:rPr>
          <w:rFonts w:ascii="仿宋" w:hAnsi="仿宋" w:eastAsia="仿宋" w:cs="仿宋"/>
          <w:color w:val="000000"/>
          <w:sz w:val="24"/>
        </w:rPr>
      </w:pPr>
      <w:r>
        <w:rPr>
          <w:rFonts w:hint="eastAsia" w:ascii="仿宋" w:hAnsi="仿宋" w:eastAsia="仿宋" w:cs="仿宋"/>
          <w:color w:val="000000"/>
          <w:sz w:val="24"/>
        </w:rPr>
        <w:t>2.1中标供应商必须在中国境内有售后服务机构，并附有售后服务能力说明。</w:t>
      </w:r>
    </w:p>
    <w:p>
      <w:pPr>
        <w:spacing w:line="440" w:lineRule="exact"/>
        <w:rPr>
          <w:rFonts w:ascii="仿宋" w:hAnsi="仿宋" w:eastAsia="仿宋" w:cs="仿宋"/>
          <w:color w:val="000000"/>
          <w:sz w:val="24"/>
        </w:rPr>
      </w:pPr>
      <w:r>
        <w:rPr>
          <w:rFonts w:hint="eastAsia" w:ascii="仿宋" w:hAnsi="仿宋" w:eastAsia="仿宋" w:cs="仿宋"/>
          <w:color w:val="000000"/>
          <w:sz w:val="24"/>
        </w:rPr>
        <w:t>★2.2中标供应商须提供设备原厂质保（设备原厂质量保修范围和保修期）至少</w:t>
      </w:r>
      <w:r>
        <w:rPr>
          <w:rFonts w:hint="eastAsia" w:ascii="仿宋" w:hAnsi="仿宋" w:eastAsia="仿宋" w:cs="仿宋"/>
          <w:color w:val="000000"/>
          <w:sz w:val="24"/>
          <w:highlight w:val="none"/>
        </w:rPr>
        <w:t>为</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1</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rPr>
        <w:t>。</w:t>
      </w:r>
    </w:p>
    <w:p>
      <w:pPr>
        <w:spacing w:line="440" w:lineRule="exact"/>
        <w:rPr>
          <w:rFonts w:ascii="仿宋" w:hAnsi="仿宋" w:eastAsia="仿宋" w:cs="仿宋"/>
          <w:color w:val="000000"/>
          <w:sz w:val="24"/>
        </w:rPr>
      </w:pPr>
      <w:r>
        <w:rPr>
          <w:rFonts w:hint="eastAsia" w:ascii="仿宋" w:hAnsi="仿宋" w:eastAsia="仿宋" w:cs="仿宋"/>
          <w:color w:val="000000"/>
          <w:sz w:val="24"/>
        </w:rPr>
        <w:t>2.3在售后期内，中标供应商在接到用户的维修通知，响应时间为半小时内，工程师到达现场时间为4小时内，排除故障时限为到达现场后8小时内。</w:t>
      </w:r>
    </w:p>
    <w:p>
      <w:pPr>
        <w:spacing w:line="440" w:lineRule="exact"/>
        <w:rPr>
          <w:rFonts w:ascii="仿宋" w:hAnsi="仿宋" w:eastAsia="仿宋" w:cs="仿宋"/>
          <w:color w:val="000000"/>
          <w:sz w:val="24"/>
        </w:rPr>
      </w:pPr>
      <w:r>
        <w:rPr>
          <w:rFonts w:hint="eastAsia" w:ascii="仿宋" w:hAnsi="仿宋" w:eastAsia="仿宋" w:cs="仿宋"/>
          <w:color w:val="000000"/>
          <w:sz w:val="24"/>
        </w:rPr>
        <w:t>2.4如果产品故障在检修12小时后仍无法排除，中标供应商应在24小时内提供不低于故障产品规格型号档次的备用产品供采购人使用，直至故障产品修复。</w:t>
      </w:r>
    </w:p>
    <w:p>
      <w:pPr>
        <w:spacing w:line="440" w:lineRule="exact"/>
        <w:rPr>
          <w:rFonts w:ascii="仿宋" w:hAnsi="仿宋" w:eastAsia="仿宋" w:cs="仿宋"/>
          <w:b/>
          <w:color w:val="000000"/>
          <w:sz w:val="24"/>
        </w:rPr>
      </w:pPr>
      <w:r>
        <w:rPr>
          <w:rFonts w:hint="eastAsia" w:ascii="仿宋" w:hAnsi="仿宋" w:eastAsia="仿宋" w:cs="仿宋"/>
          <w:b/>
          <w:color w:val="000000"/>
          <w:sz w:val="24"/>
        </w:rPr>
        <w:t>3.付款方式</w:t>
      </w:r>
    </w:p>
    <w:p>
      <w:pPr>
        <w:spacing w:line="440" w:lineRule="exact"/>
        <w:rPr>
          <w:rFonts w:ascii="仿宋" w:hAnsi="仿宋" w:eastAsia="仿宋" w:cs="仿宋"/>
          <w:color w:val="000000"/>
          <w:sz w:val="24"/>
        </w:rPr>
      </w:pPr>
      <w:r>
        <w:rPr>
          <w:rFonts w:hint="eastAsia" w:ascii="仿宋" w:hAnsi="仿宋" w:eastAsia="仿宋" w:cs="仿宋"/>
          <w:color w:val="000000"/>
          <w:sz w:val="24"/>
        </w:rPr>
        <w:t>★3.1本合同的每笔款项以人民币转账方式支付，合同设备到采购人指定地点交付并完成安装，验收合格后，中标单位凭：</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（1）合同；</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（2）验收调试合格报告（加盖采购人公章）；</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（3）中标供应商开具的正式发票（加盖发票专用章）。</w:t>
      </w:r>
    </w:p>
    <w:p>
      <w:pPr>
        <w:spacing w:line="440" w:lineRule="exact"/>
        <w:rPr>
          <w:rFonts w:ascii="仿宋" w:hAnsi="仿宋" w:eastAsia="仿宋" w:cs="仿宋"/>
          <w:color w:val="000000"/>
          <w:sz w:val="24"/>
          <w:highlight w:val="none"/>
        </w:rPr>
      </w:pPr>
      <w:r>
        <w:rPr>
          <w:rFonts w:hint="eastAsia" w:ascii="仿宋" w:hAnsi="仿宋" w:eastAsia="仿宋" w:cs="仿宋"/>
          <w:color w:val="000000"/>
          <w:sz w:val="24"/>
          <w:highlight w:val="none"/>
        </w:rPr>
        <w:t>★3.2</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具体付款方式：本合同分三期支付，第一期：合同签订后，乙方提供合同总金额的20%的款项的预收款收据，甲方支付该笔预付款；第二期：乙方按合同协议时间提供货物，并经协议规定的验收人员书面确认验收合格后，开具全额发票，甲方确认无误后一个月内支付合同总金额的75%的款项。第三期：合同总金额的5%的款项在</w:t>
      </w:r>
      <w:r>
        <w:rPr>
          <w:rFonts w:hint="eastAsia" w:ascii="仿宋" w:hAnsi="仿宋" w:eastAsia="仿宋" w:cs="仿宋"/>
          <w:sz w:val="24"/>
          <w:highlight w:val="none"/>
          <w:u w:val="single"/>
        </w:rPr>
        <w:t>质保期</w:t>
      </w:r>
      <w:r>
        <w:rPr>
          <w:rFonts w:hint="eastAsia" w:ascii="仿宋" w:hAnsi="仿宋" w:eastAsia="仿宋" w:cs="仿宋"/>
          <w:sz w:val="24"/>
          <w:highlight w:val="none"/>
        </w:rPr>
        <w:t>后无息支付。</w:t>
      </w:r>
    </w:p>
    <w:p>
      <w:pPr>
        <w:pStyle w:val="5"/>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M2OTU3OTk1ZjcwZjIwOWY2YjNlNzE3NTZjODBjMTA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6AC302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leftChars="800"/>
    </w:pPr>
  </w:style>
  <w:style w:type="paragraph" w:styleId="5">
    <w:name w:val="Normal Indent"/>
    <w:basedOn w:val="1"/>
    <w:qFormat/>
    <w:uiPriority w:val="0"/>
    <w:pPr>
      <w:spacing w:line="360" w:lineRule="auto"/>
      <w:ind w:firstLine="420"/>
    </w:pPr>
    <w:rPr>
      <w:rFonts w:ascii="宋体"/>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7</Pages>
  <Words>655</Words>
  <Characters>742</Characters>
  <Lines>5</Lines>
  <Paragraphs>1</Paragraphs>
  <TotalTime>1</TotalTime>
  <ScaleCrop>false</ScaleCrop>
  <LinksUpToDate>false</LinksUpToDate>
  <CharactersWithSpaces>826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De la chance</cp:lastModifiedBy>
  <dcterms:modified xsi:type="dcterms:W3CDTF">2024-06-26T03:50:56Z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3D822DBC6B0043ACAB372B0AB2E84D24</vt:lpwstr>
  </property>
</Properties>
</file>