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r>
        <w:rPr>
          <w:rFonts w:hint="eastAsia"/>
          <w:b/>
          <w:bCs/>
          <w:color w:val="0000FF"/>
          <w:sz w:val="21"/>
          <w:szCs w:val="21"/>
          <w:lang w:val="en-US" w:eastAsia="zh-CN"/>
        </w:rPr>
        <w:t>用户名单（业绩）</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5"/>
        <w:ind w:left="0" w:leftChars="0" w:firstLine="0" w:firstLineChars="0"/>
        <w:rPr>
          <w:rFonts w:hint="eastAsia"/>
          <w:b/>
          <w:bCs/>
          <w:color w:val="0000FF"/>
          <w:sz w:val="24"/>
        </w:rPr>
      </w:pPr>
    </w:p>
    <w:p>
      <w:pPr>
        <w:pStyle w:val="5"/>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1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8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8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6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8"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000" w:type="pct"/>
            <w:gridSpan w:val="11"/>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yellow"/>
                <w:u w:val="none"/>
                <w:lang w:val="en-US" w:eastAsia="zh-CN"/>
              </w:rPr>
              <w:t>合计每人份价格：      元/人份</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bookmarkStart w:id="0" w:name="_GoBack"/>
      <w:bookmarkEnd w:id="0"/>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rPr>
                <w:rFonts w:ascii="仿宋" w:hAnsi="仿宋" w:eastAsia="仿宋" w:cs="仿宋"/>
                <w:color w:val="000000"/>
                <w:sz w:val="24"/>
              </w:rPr>
            </w:pPr>
            <w:r>
              <w:rPr>
                <w:rFonts w:hint="eastAsia"/>
                <w:color w:val="FF0000"/>
                <w:lang w:val="en-US" w:eastAsia="zh-CN"/>
              </w:rPr>
              <w:t>电动</w:t>
            </w:r>
            <w:r>
              <w:rPr>
                <w:rFonts w:hint="eastAsia"/>
              </w:rPr>
              <w:t>腰椎牵引床</w:t>
            </w:r>
          </w:p>
        </w:tc>
        <w:tc>
          <w:tcPr>
            <w:tcW w:w="2268"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康复科</w:t>
            </w:r>
          </w:p>
        </w:tc>
        <w:tc>
          <w:tcPr>
            <w:tcW w:w="2508"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1台</w:t>
            </w:r>
          </w:p>
        </w:tc>
      </w:tr>
    </w:tbl>
    <w:p>
      <w:pPr>
        <w:spacing w:line="440" w:lineRule="exact"/>
        <w:rPr>
          <w:rFonts w:ascii="仿宋" w:hAnsi="仿宋" w:eastAsia="仿宋" w:cs="仿宋"/>
          <w:color w:val="FF0000"/>
          <w:sz w:val="24"/>
        </w:rPr>
      </w:pPr>
      <w:r>
        <w:rPr>
          <w:rFonts w:hint="eastAsia" w:ascii="仿宋" w:hAnsi="仿宋" w:eastAsia="仿宋" w:cs="仿宋"/>
          <w:color w:val="FF0000"/>
          <w:sz w:val="24"/>
        </w:rPr>
        <w:t>用途：1.解除肌肉痉挛、缓解疼痛;2.改善局部血液循环，促进水肿的吸收和炎症的消退，有利于损伤的软组织修复;3.松解软组织粘连，牵伸挛缩的关节囊和韧带;4.调整脊柱后关节的微细异常改变，使脊柱后关节嵌顿的滑膜或关节突关节的错位得到复位;5.增加关节活动范围，改善或恢复脊柱的正常生理弯曲;6.加大椎间隙、椎间孔和增加椎管容积，减轻椎间盘内压力，解除神经根的刺激和压迫;7.脊柱外伤时的早期制动和复位作用。</w:t>
      </w:r>
    </w:p>
    <w:p>
      <w:pPr>
        <w:spacing w:line="440" w:lineRule="exact"/>
        <w:rPr>
          <w:rFonts w:ascii="仿宋" w:hAnsi="仿宋" w:eastAsia="仿宋" w:cs="仿宋"/>
          <w:b/>
          <w:color w:val="000000"/>
          <w:sz w:val="24"/>
        </w:rPr>
      </w:pPr>
    </w:p>
    <w:p>
      <w:pPr>
        <w:pStyle w:val="2"/>
      </w:pP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7599" w:type="dxa"/>
            <w:noWrap w:val="0"/>
            <w:vAlign w:val="top"/>
          </w:tcPr>
          <w:p>
            <w:pPr>
              <w:spacing w:line="400" w:lineRule="exact"/>
              <w:rPr>
                <w:rFonts w:hint="eastAsia" w:ascii="仿宋" w:hAnsi="仿宋" w:eastAsia="仿宋" w:cs="仿宋"/>
                <w:color w:val="000000"/>
                <w:sz w:val="24"/>
              </w:rPr>
            </w:pPr>
            <w:r>
              <w:rPr>
                <w:rFonts w:hint="eastAsia"/>
              </w:rPr>
              <w:t>1、电源电压：AC 220±22V，50Hz±1Hz。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7599" w:type="dxa"/>
            <w:noWrap w:val="0"/>
            <w:vAlign w:val="top"/>
          </w:tcPr>
          <w:p>
            <w:pPr>
              <w:spacing w:line="360" w:lineRule="auto"/>
              <w:rPr>
                <w:rFonts w:ascii="仿宋" w:hAnsi="仿宋" w:eastAsia="仿宋" w:cs="仿宋"/>
                <w:color w:val="000000"/>
                <w:sz w:val="24"/>
              </w:rPr>
            </w:pPr>
            <w:r>
              <w:rPr>
                <w:rFonts w:hint="eastAsia"/>
              </w:rPr>
              <w:t>2、额定输入功率：85VA，允差±15%。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7599" w:type="dxa"/>
            <w:noWrap w:val="0"/>
            <w:vAlign w:val="top"/>
          </w:tcPr>
          <w:p>
            <w:pPr>
              <w:spacing w:line="440" w:lineRule="exact"/>
              <w:rPr>
                <w:rFonts w:ascii="仿宋" w:hAnsi="仿宋" w:eastAsia="仿宋" w:cs="仿宋"/>
                <w:color w:val="000000"/>
                <w:sz w:val="24"/>
              </w:rPr>
            </w:pPr>
            <w:r>
              <w:rPr>
                <w:rFonts w:hint="eastAsia"/>
              </w:rPr>
              <w:t>3、牵引行程：0～200mm，允差±10mm。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7599" w:type="dxa"/>
            <w:noWrap w:val="0"/>
            <w:vAlign w:val="top"/>
          </w:tcPr>
          <w:p>
            <w:pPr>
              <w:spacing w:line="440" w:lineRule="exact"/>
              <w:rPr>
                <w:rFonts w:ascii="仿宋" w:hAnsi="仿宋" w:eastAsia="仿宋" w:cs="仿宋"/>
                <w:color w:val="000000"/>
                <w:sz w:val="24"/>
              </w:rPr>
            </w:pPr>
            <w:r>
              <w:rPr>
                <w:rFonts w:hint="eastAsia"/>
              </w:rPr>
              <w:t>4、牵引力：卧位颈椎牵引力在0～200N范围内可调，级差10N；腰椎牵引力在0～990N范围内可调，级差10N；牵引力允差范围：牵引力不大于200N时，允差±10％或±10N取大值；牵引力大于200N时，允差±20％或±50N取小值。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7599" w:type="dxa"/>
            <w:noWrap w:val="0"/>
            <w:vAlign w:val="top"/>
          </w:tcPr>
          <w:p>
            <w:pPr>
              <w:spacing w:line="440" w:lineRule="exact"/>
              <w:rPr>
                <w:rFonts w:ascii="仿宋" w:hAnsi="仿宋" w:eastAsia="仿宋" w:cs="仿宋"/>
                <w:color w:val="000000"/>
                <w:sz w:val="24"/>
              </w:rPr>
            </w:pPr>
            <w:r>
              <w:rPr>
                <w:rFonts w:hint="eastAsia"/>
              </w:rPr>
              <w:t>5、牵引总时间：0～99min范围内设定，级差1min，允差±30s。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7599" w:type="dxa"/>
            <w:noWrap w:val="0"/>
            <w:vAlign w:val="top"/>
          </w:tcPr>
          <w:p>
            <w:pPr>
              <w:spacing w:line="440" w:lineRule="exact"/>
              <w:rPr>
                <w:rFonts w:ascii="仿宋" w:hAnsi="仿宋" w:eastAsia="仿宋" w:cs="仿宋"/>
                <w:color w:val="000000"/>
                <w:sz w:val="24"/>
              </w:rPr>
            </w:pPr>
            <w:r>
              <w:rPr>
                <w:rFonts w:hint="eastAsia"/>
              </w:rPr>
              <w:t>6、持续牵引时间：0～9min范围内设定，级差1min，允差±30s。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7599" w:type="dxa"/>
            <w:noWrap w:val="0"/>
            <w:vAlign w:val="top"/>
          </w:tcPr>
          <w:p>
            <w:pPr>
              <w:spacing w:line="440" w:lineRule="exact"/>
              <w:rPr>
                <w:rFonts w:hint="eastAsia" w:ascii="仿宋" w:hAnsi="仿宋" w:eastAsia="仿宋" w:cs="仿宋"/>
                <w:color w:val="000000"/>
                <w:sz w:val="24"/>
              </w:rPr>
            </w:pPr>
            <w:r>
              <w:rPr>
                <w:rFonts w:hint="eastAsia"/>
              </w:rPr>
              <w:t>7、间歇牵引时间：0～9min范围内设定，级差1min，允差±30s。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7599" w:type="dxa"/>
            <w:noWrap w:val="0"/>
            <w:vAlign w:val="top"/>
          </w:tcPr>
          <w:p>
            <w:pPr>
              <w:spacing w:line="440" w:lineRule="exact"/>
              <w:rPr>
                <w:rFonts w:hint="eastAsia" w:ascii="仿宋_GB2312" w:eastAsia="仿宋_GB2312" w:cs="黑体"/>
                <w:bCs/>
                <w:color w:val="000000"/>
                <w:sz w:val="24"/>
              </w:rPr>
            </w:pPr>
            <w:r>
              <w:rPr>
                <w:rFonts w:hint="eastAsia"/>
              </w:rPr>
              <w:t>8、成角动作范围：0°～+30°连续可调，允差±2°。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9</w:t>
            </w:r>
          </w:p>
        </w:tc>
        <w:tc>
          <w:tcPr>
            <w:tcW w:w="7599" w:type="dxa"/>
            <w:noWrap w:val="0"/>
            <w:vAlign w:val="top"/>
          </w:tcPr>
          <w:p>
            <w:pPr>
              <w:spacing w:line="440" w:lineRule="exact"/>
              <w:rPr>
                <w:rFonts w:hint="eastAsia" w:ascii="仿宋_GB2312" w:eastAsia="仿宋_GB2312" w:cs="黑体"/>
                <w:bCs/>
                <w:color w:val="000000"/>
                <w:sz w:val="24"/>
              </w:rPr>
            </w:pPr>
            <w:r>
              <w:rPr>
                <w:rFonts w:hint="eastAsia"/>
              </w:rPr>
              <w:t>9、腰部热疗温度：45℃，允差±3℃。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7599" w:type="dxa"/>
            <w:noWrap w:val="0"/>
            <w:vAlign w:val="top"/>
          </w:tcPr>
          <w:p>
            <w:pPr>
              <w:spacing w:line="440" w:lineRule="exact"/>
              <w:rPr>
                <w:rFonts w:hint="eastAsia" w:ascii="仿宋_GB2312" w:eastAsia="仿宋_GB2312" w:cs="黑体"/>
                <w:bCs/>
                <w:color w:val="000000"/>
                <w:sz w:val="24"/>
              </w:rPr>
            </w:pPr>
            <w:r>
              <w:rPr>
                <w:rFonts w:hint="eastAsia"/>
              </w:rPr>
              <w:t>10、牵引力自动补偿功能。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11</w:t>
            </w:r>
          </w:p>
        </w:tc>
        <w:tc>
          <w:tcPr>
            <w:tcW w:w="7599" w:type="dxa"/>
            <w:noWrap w:val="0"/>
            <w:vAlign w:val="top"/>
          </w:tcPr>
          <w:p>
            <w:pPr>
              <w:spacing w:line="440" w:lineRule="exact"/>
              <w:rPr>
                <w:rFonts w:hint="eastAsia" w:ascii="仿宋_GB2312" w:eastAsia="仿宋_GB2312" w:cs="黑体"/>
                <w:bCs/>
                <w:color w:val="000000"/>
                <w:sz w:val="24"/>
              </w:rPr>
            </w:pPr>
            <w:r>
              <w:rPr>
                <w:rFonts w:hint="eastAsia"/>
              </w:rPr>
              <w:t>▲11、腰椎牵引具有持续、间歇、反复等8种不同牵引方式。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7599" w:type="dxa"/>
            <w:noWrap w:val="0"/>
            <w:vAlign w:val="top"/>
          </w:tcPr>
          <w:p>
            <w:pPr>
              <w:spacing w:line="440" w:lineRule="exact"/>
              <w:rPr>
                <w:rFonts w:hint="eastAsia" w:ascii="仿宋_GB2312" w:eastAsia="仿宋_GB2312" w:cs="黑体"/>
                <w:bCs/>
                <w:color w:val="000000"/>
                <w:sz w:val="24"/>
              </w:rPr>
            </w:pPr>
            <w:r>
              <w:rPr>
                <w:rFonts w:hint="eastAsia"/>
              </w:rPr>
              <w:t>12、上身床面配有气动升降，增加了成角牵引功能（适合腰椎生理弯曲变小或消失者）。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13</w:t>
            </w:r>
          </w:p>
        </w:tc>
        <w:tc>
          <w:tcPr>
            <w:tcW w:w="7599" w:type="dxa"/>
            <w:noWrap w:val="0"/>
            <w:vAlign w:val="top"/>
          </w:tcPr>
          <w:p>
            <w:pPr>
              <w:spacing w:line="440" w:lineRule="exact"/>
              <w:rPr>
                <w:rFonts w:hint="eastAsia" w:ascii="仿宋_GB2312" w:eastAsia="仿宋_GB2312" w:cs="黑体"/>
                <w:bCs/>
                <w:color w:val="000000"/>
                <w:sz w:val="24"/>
              </w:rPr>
            </w:pPr>
            <w:r>
              <w:rPr>
                <w:rFonts w:hint="eastAsia"/>
              </w:rPr>
              <w:t>13、20种治疗方案存储并读取。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14</w:t>
            </w:r>
          </w:p>
        </w:tc>
        <w:tc>
          <w:tcPr>
            <w:tcW w:w="7599" w:type="dxa"/>
            <w:noWrap w:val="0"/>
            <w:vAlign w:val="top"/>
          </w:tcPr>
          <w:p>
            <w:pPr>
              <w:spacing w:line="440" w:lineRule="exact"/>
              <w:rPr>
                <w:rFonts w:hint="eastAsia" w:ascii="仿宋_GB2312" w:eastAsia="仿宋_GB2312" w:cs="黑体"/>
                <w:bCs/>
                <w:color w:val="000000"/>
                <w:sz w:val="24"/>
              </w:rPr>
            </w:pPr>
            <w:r>
              <w:rPr>
                <w:rFonts w:hint="eastAsia"/>
              </w:rPr>
              <w:t>14、配有应急复位线控手柄开关，牵引时可随时解除牵引力，并恢复到初始状态。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15</w:t>
            </w:r>
          </w:p>
        </w:tc>
        <w:tc>
          <w:tcPr>
            <w:tcW w:w="7599" w:type="dxa"/>
            <w:noWrap w:val="0"/>
            <w:vAlign w:val="top"/>
          </w:tcPr>
          <w:p>
            <w:pPr>
              <w:spacing w:line="440" w:lineRule="exact"/>
              <w:rPr>
                <w:rFonts w:hint="eastAsia" w:ascii="仿宋_GB2312" w:eastAsia="仿宋_GB2312" w:cs="黑体"/>
                <w:bCs/>
                <w:color w:val="000000"/>
                <w:sz w:val="24"/>
              </w:rPr>
            </w:pPr>
            <w:r>
              <w:rPr>
                <w:rFonts w:hint="eastAsia"/>
              </w:rPr>
              <w:t>15、牵引模式只能从待机状态开始选择，不能够在治疗过程中进行切换，颈椎牵引独立于腰椎牵引。</w:t>
            </w:r>
          </w:p>
        </w:tc>
      </w:tr>
    </w:tbl>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3278"/>
        <w:gridCol w:w="1948"/>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923"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1143"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1087"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1923" w:type="pct"/>
            <w:noWrap w:val="0"/>
            <w:vAlign w:val="center"/>
          </w:tcPr>
          <w:p>
            <w:pPr>
              <w:jc w:val="center"/>
              <w:rPr>
                <w:rFonts w:hint="eastAsia" w:ascii="仿宋" w:hAnsi="仿宋" w:eastAsia="仿宋" w:cs="仿宋"/>
                <w:color w:val="000000"/>
                <w:sz w:val="24"/>
              </w:rPr>
            </w:pPr>
            <w:r>
              <w:rPr>
                <w:rFonts w:hint="eastAsia" w:ascii="宋体" w:hAnsi="宋体" w:cs="宋体"/>
                <w:sz w:val="24"/>
                <w:lang w:bidi="ar"/>
              </w:rPr>
              <w:t>主机</w:t>
            </w:r>
          </w:p>
        </w:tc>
        <w:tc>
          <w:tcPr>
            <w:tcW w:w="1143" w:type="pct"/>
            <w:noWrap w:val="0"/>
            <w:vAlign w:val="center"/>
          </w:tcPr>
          <w:p>
            <w:pPr>
              <w:jc w:val="center"/>
              <w:rPr>
                <w:rFonts w:hint="eastAsia" w:ascii="仿宋" w:hAnsi="仿宋" w:eastAsia="仿宋" w:cs="仿宋"/>
                <w:color w:val="000000"/>
                <w:sz w:val="24"/>
              </w:rPr>
            </w:pPr>
            <w:r>
              <w:rPr>
                <w:rFonts w:hint="eastAsia" w:ascii="宋体" w:hAnsi="宋体" w:cs="宋体"/>
                <w:sz w:val="24"/>
                <w:lang w:bidi="ar"/>
              </w:rPr>
              <w:t>壹</w:t>
            </w:r>
          </w:p>
        </w:tc>
        <w:tc>
          <w:tcPr>
            <w:tcW w:w="1087" w:type="pct"/>
            <w:noWrap w:val="0"/>
            <w:vAlign w:val="top"/>
          </w:tcPr>
          <w:p>
            <w:pPr>
              <w:spacing w:line="440" w:lineRule="exact"/>
              <w:jc w:val="center"/>
              <w:rPr>
                <w:rFonts w:hint="eastAsia" w:ascii="仿宋" w:hAnsi="仿宋" w:eastAsia="仿宋" w:cs="仿宋"/>
                <w:color w:val="000000"/>
                <w:sz w:val="24"/>
              </w:rPr>
            </w:pPr>
            <w:r>
              <w:rPr>
                <w:rFonts w:hint="eastAsia" w:ascii="宋体" w:hAnsi="宋体" w:cs="宋体"/>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1923" w:type="pct"/>
            <w:noWrap w:val="0"/>
            <w:vAlign w:val="center"/>
          </w:tcPr>
          <w:p>
            <w:pPr>
              <w:jc w:val="center"/>
              <w:rPr>
                <w:rFonts w:ascii="仿宋" w:hAnsi="仿宋" w:eastAsia="仿宋" w:cs="仿宋"/>
                <w:color w:val="000000"/>
                <w:sz w:val="24"/>
              </w:rPr>
            </w:pPr>
            <w:r>
              <w:rPr>
                <w:rFonts w:hint="eastAsia" w:ascii="宋体" w:hAnsi="宋体" w:cs="宋体"/>
                <w:sz w:val="24"/>
                <w:lang w:bidi="ar"/>
              </w:rPr>
              <w:t>电源线</w:t>
            </w:r>
          </w:p>
        </w:tc>
        <w:tc>
          <w:tcPr>
            <w:tcW w:w="1143" w:type="pct"/>
            <w:noWrap w:val="0"/>
            <w:vAlign w:val="center"/>
          </w:tcPr>
          <w:p>
            <w:pPr>
              <w:jc w:val="center"/>
              <w:rPr>
                <w:rFonts w:ascii="仿宋" w:hAnsi="仿宋" w:eastAsia="仿宋" w:cs="仿宋"/>
                <w:color w:val="000000"/>
                <w:sz w:val="24"/>
              </w:rPr>
            </w:pPr>
            <w:r>
              <w:rPr>
                <w:rFonts w:hint="eastAsia" w:ascii="宋体" w:hAnsi="宋体" w:cs="宋体"/>
                <w:sz w:val="24"/>
                <w:lang w:bidi="ar"/>
              </w:rPr>
              <w:t>壹</w:t>
            </w:r>
          </w:p>
        </w:tc>
        <w:tc>
          <w:tcPr>
            <w:tcW w:w="1087" w:type="pct"/>
            <w:noWrap w:val="0"/>
            <w:vAlign w:val="top"/>
          </w:tcPr>
          <w:p>
            <w:pPr>
              <w:spacing w:line="440" w:lineRule="exact"/>
              <w:jc w:val="center"/>
              <w:rPr>
                <w:rFonts w:ascii="仿宋" w:hAnsi="仿宋" w:eastAsia="仿宋" w:cs="仿宋"/>
                <w:color w:val="000000"/>
                <w:sz w:val="24"/>
              </w:rPr>
            </w:pPr>
            <w:r>
              <w:rPr>
                <w:rFonts w:hint="eastAsia" w:ascii="宋体" w:hAnsi="宋体" w:cs="宋体"/>
                <w:sz w:val="24"/>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1923" w:type="pct"/>
            <w:noWrap w:val="0"/>
            <w:vAlign w:val="center"/>
          </w:tcPr>
          <w:p>
            <w:pPr>
              <w:jc w:val="center"/>
              <w:rPr>
                <w:rFonts w:ascii="仿宋" w:hAnsi="仿宋" w:eastAsia="仿宋" w:cs="仿宋"/>
                <w:color w:val="000000"/>
                <w:sz w:val="24"/>
              </w:rPr>
            </w:pPr>
            <w:r>
              <w:rPr>
                <w:rFonts w:hint="eastAsia" w:ascii="宋体" w:hAnsi="宋体" w:cs="宋体"/>
                <w:sz w:val="24"/>
                <w:lang w:bidi="ar"/>
              </w:rPr>
              <w:t>带扣</w:t>
            </w:r>
          </w:p>
        </w:tc>
        <w:tc>
          <w:tcPr>
            <w:tcW w:w="1143" w:type="pct"/>
            <w:noWrap w:val="0"/>
            <w:vAlign w:val="center"/>
          </w:tcPr>
          <w:p>
            <w:pPr>
              <w:jc w:val="center"/>
              <w:rPr>
                <w:rFonts w:hint="eastAsia" w:ascii="仿宋" w:hAnsi="仿宋" w:eastAsia="仿宋" w:cs="仿宋"/>
                <w:color w:val="000000"/>
                <w:sz w:val="24"/>
              </w:rPr>
            </w:pPr>
            <w:r>
              <w:rPr>
                <w:rFonts w:hint="eastAsia" w:ascii="宋体" w:hAnsi="宋体" w:cs="宋体"/>
                <w:sz w:val="24"/>
                <w:lang w:bidi="ar"/>
              </w:rPr>
              <w:t>壹</w:t>
            </w:r>
          </w:p>
        </w:tc>
        <w:tc>
          <w:tcPr>
            <w:tcW w:w="1087" w:type="pct"/>
            <w:noWrap w:val="0"/>
            <w:vAlign w:val="top"/>
          </w:tcPr>
          <w:p>
            <w:pPr>
              <w:spacing w:line="440" w:lineRule="exact"/>
              <w:jc w:val="center"/>
              <w:rPr>
                <w:rFonts w:ascii="仿宋" w:hAnsi="仿宋" w:eastAsia="仿宋" w:cs="仿宋"/>
                <w:color w:val="000000"/>
                <w:sz w:val="24"/>
              </w:rPr>
            </w:pPr>
            <w:r>
              <w:rPr>
                <w:rFonts w:hint="eastAsia" w:ascii="宋体" w:hAnsi="宋体" w:cs="宋体"/>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1923" w:type="pct"/>
            <w:noWrap w:val="0"/>
            <w:vAlign w:val="center"/>
          </w:tcPr>
          <w:p>
            <w:pPr>
              <w:jc w:val="center"/>
              <w:rPr>
                <w:rFonts w:hint="eastAsia" w:ascii="仿宋" w:hAnsi="仿宋" w:eastAsia="仿宋" w:cs="仿宋"/>
                <w:color w:val="000000"/>
                <w:sz w:val="24"/>
              </w:rPr>
            </w:pPr>
            <w:r>
              <w:rPr>
                <w:rFonts w:hint="eastAsia" w:ascii="宋体" w:hAnsi="宋体" w:cs="宋体"/>
                <w:sz w:val="24"/>
                <w:lang w:bidi="ar"/>
              </w:rPr>
              <w:t>脚轮</w:t>
            </w:r>
          </w:p>
        </w:tc>
        <w:tc>
          <w:tcPr>
            <w:tcW w:w="1143" w:type="pct"/>
            <w:noWrap w:val="0"/>
            <w:vAlign w:val="center"/>
          </w:tcPr>
          <w:p>
            <w:pPr>
              <w:jc w:val="center"/>
              <w:rPr>
                <w:rFonts w:ascii="仿宋" w:hAnsi="仿宋" w:eastAsia="仿宋" w:cs="仿宋"/>
                <w:color w:val="000000"/>
                <w:sz w:val="24"/>
              </w:rPr>
            </w:pPr>
            <w:r>
              <w:rPr>
                <w:rFonts w:hint="eastAsia" w:ascii="宋体" w:hAnsi="宋体" w:cs="宋体"/>
                <w:sz w:val="24"/>
                <w:lang w:bidi="ar"/>
              </w:rPr>
              <w:t>贰</w:t>
            </w:r>
          </w:p>
        </w:tc>
        <w:tc>
          <w:tcPr>
            <w:tcW w:w="1087" w:type="pct"/>
            <w:noWrap w:val="0"/>
            <w:vAlign w:val="top"/>
          </w:tcPr>
          <w:p>
            <w:pPr>
              <w:spacing w:line="440" w:lineRule="exact"/>
              <w:jc w:val="center"/>
              <w:rPr>
                <w:rFonts w:hint="eastAsia" w:ascii="仿宋" w:hAnsi="仿宋" w:eastAsia="仿宋" w:cs="仿宋"/>
                <w:color w:val="000000"/>
                <w:sz w:val="24"/>
              </w:rPr>
            </w:pPr>
            <w:r>
              <w:rPr>
                <w:rFonts w:hint="eastAsia" w:ascii="宋体" w:hAnsi="宋体" w:cs="宋体"/>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1923" w:type="pct"/>
            <w:noWrap w:val="0"/>
            <w:vAlign w:val="center"/>
          </w:tcPr>
          <w:p>
            <w:pPr>
              <w:jc w:val="center"/>
              <w:rPr>
                <w:rFonts w:hint="eastAsia" w:ascii="仿宋" w:hAnsi="仿宋" w:eastAsia="仿宋" w:cs="仿宋"/>
                <w:color w:val="000000"/>
                <w:sz w:val="24"/>
              </w:rPr>
            </w:pPr>
            <w:r>
              <w:rPr>
                <w:rFonts w:hint="eastAsia" w:ascii="宋体" w:hAnsi="宋体" w:cs="宋体"/>
                <w:sz w:val="24"/>
                <w:lang w:bidi="ar"/>
              </w:rPr>
              <w:t>熔断器</w:t>
            </w:r>
          </w:p>
        </w:tc>
        <w:tc>
          <w:tcPr>
            <w:tcW w:w="1143" w:type="pct"/>
            <w:noWrap w:val="0"/>
            <w:vAlign w:val="center"/>
          </w:tcPr>
          <w:p>
            <w:pPr>
              <w:jc w:val="center"/>
              <w:rPr>
                <w:rFonts w:hint="eastAsia" w:ascii="仿宋" w:hAnsi="仿宋" w:eastAsia="仿宋" w:cs="仿宋"/>
                <w:color w:val="000000"/>
                <w:sz w:val="24"/>
              </w:rPr>
            </w:pPr>
            <w:r>
              <w:rPr>
                <w:rFonts w:hint="eastAsia" w:ascii="宋体" w:hAnsi="宋体" w:cs="宋体"/>
                <w:sz w:val="24"/>
                <w:lang w:bidi="ar"/>
              </w:rPr>
              <w:t>陆</w:t>
            </w:r>
          </w:p>
        </w:tc>
        <w:tc>
          <w:tcPr>
            <w:tcW w:w="1087" w:type="pct"/>
            <w:noWrap w:val="0"/>
            <w:vAlign w:val="top"/>
          </w:tcPr>
          <w:p>
            <w:pPr>
              <w:spacing w:line="440" w:lineRule="exact"/>
              <w:jc w:val="center"/>
              <w:rPr>
                <w:rFonts w:hint="eastAsia" w:ascii="仿宋" w:hAnsi="仿宋" w:eastAsia="仿宋" w:cs="仿宋"/>
                <w:color w:val="000000"/>
                <w:sz w:val="24"/>
              </w:rPr>
            </w:pPr>
            <w:r>
              <w:rPr>
                <w:rFonts w:hint="eastAsia" w:ascii="宋体" w:hAnsi="宋体" w:cs="宋体"/>
                <w:sz w:val="24"/>
                <w:lang w:bidi="ar"/>
              </w:rPr>
              <w:t>个</w:t>
            </w:r>
          </w:p>
        </w:tc>
      </w:tr>
    </w:tbl>
    <w:p>
      <w:pPr>
        <w:spacing w:line="440" w:lineRule="exact"/>
        <w:rPr>
          <w:rFonts w:ascii="仿宋" w:hAnsi="仿宋" w:eastAsia="仿宋" w:cs="仿宋"/>
          <w:b/>
          <w:color w:val="000000"/>
          <w:sz w:val="24"/>
        </w:rPr>
      </w:pPr>
    </w:p>
    <w:p>
      <w:pPr>
        <w:pStyle w:val="12"/>
        <w:numPr>
          <w:ilvl w:val="0"/>
          <w:numId w:val="5"/>
        </w:numPr>
        <w:spacing w:line="440" w:lineRule="exact"/>
        <w:ind w:firstLineChars="0"/>
        <w:rPr>
          <w:rFonts w:ascii="仿宋" w:hAnsi="仿宋" w:eastAsia="仿宋" w:cs="仿宋"/>
          <w:b/>
          <w:color w:val="000000"/>
          <w:sz w:val="24"/>
        </w:rPr>
      </w:pP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u w:val="single"/>
        </w:rPr>
        <w:t>3</w:t>
      </w:r>
      <w:r>
        <w:rPr>
          <w:rFonts w:hint="eastAsia" w:ascii="仿宋" w:hAnsi="仿宋" w:eastAsia="仿宋" w:cs="仿宋"/>
          <w:color w:val="000000"/>
          <w:sz w:val="24"/>
        </w:rPr>
        <w:t>个月，进口设备不超过</w:t>
      </w:r>
      <w:r>
        <w:rPr>
          <w:rFonts w:hint="eastAsia" w:ascii="仿宋" w:hAnsi="仿宋" w:eastAsia="仿宋" w:cs="仿宋"/>
          <w:color w:val="000000"/>
          <w:sz w:val="24"/>
          <w:u w:val="single"/>
        </w:rPr>
        <w:t>12</w:t>
      </w:r>
      <w:r>
        <w:rPr>
          <w:rFonts w:hint="eastAsia" w:ascii="仿宋" w:hAnsi="仿宋" w:eastAsia="仿宋" w:cs="仿宋"/>
          <w:color w:val="000000"/>
          <w:sz w:val="24"/>
        </w:rPr>
        <w:t>个月。</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FF0000"/>
          <w:sz w:val="24"/>
        </w:rPr>
        <w:t>为</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1</w:t>
      </w:r>
      <w:r>
        <w:rPr>
          <w:rFonts w:hint="eastAsia" w:ascii="仿宋" w:hAnsi="仿宋" w:eastAsia="仿宋" w:cs="仿宋"/>
          <w:color w:val="FF0000"/>
          <w:sz w:val="24"/>
          <w:u w:val="single"/>
        </w:rPr>
        <w:t xml:space="preserve">  </w:t>
      </w:r>
      <w:r>
        <w:rPr>
          <w:rFonts w:hint="eastAsia" w:ascii="仿宋" w:hAnsi="仿宋" w:eastAsia="仿宋" w:cs="仿宋"/>
          <w:color w:val="FF0000"/>
          <w:sz w:val="24"/>
        </w:rPr>
        <w:t>年。</w:t>
      </w:r>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ascii="仿宋" w:hAnsi="仿宋" w:eastAsia="仿宋" w:cs="仿宋"/>
          <w:color w:val="FF0000"/>
          <w:sz w:val="24"/>
        </w:rPr>
      </w:pPr>
      <w:r>
        <w:rPr>
          <w:rFonts w:hint="eastAsia" w:ascii="仿宋" w:hAnsi="仿宋" w:eastAsia="仿宋" w:cs="仿宋"/>
          <w:color w:val="FF0000"/>
          <w:sz w:val="24"/>
        </w:rPr>
        <w:t>3.2具体付款方式：合同签订后，乙方按合同协议时间提供货物，并经协议规定的验收人员书面确认验收合格后，开具全额发票，甲方确认无误后一个月内支付合同总金额的100%的款项。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14F93"/>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AE056F"/>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21515CE"/>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autoRedefine/>
    <w:qFormat/>
    <w:uiPriority w:val="0"/>
    <w:pPr>
      <w:spacing w:line="360" w:lineRule="auto"/>
      <w:ind w:firstLine="420"/>
    </w:pPr>
    <w:rPr>
      <w:rFonts w:ascii="宋体"/>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autoRedefine/>
    <w:semiHidden/>
    <w:unhideWhenUsed/>
    <w:qFormat/>
    <w:uiPriority w:val="99"/>
    <w:pPr>
      <w:spacing w:after="120" w:line="480" w:lineRule="auto"/>
    </w:p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Anrede1IhrZeichen"/>
    <w:basedOn w:val="11"/>
    <w:autoRedefine/>
    <w:qFormat/>
    <w:uiPriority w:val="0"/>
    <w:rPr>
      <w:rFonts w:ascii="Arial" w:hAnsi="Arial"/>
      <w:sz w:val="20"/>
    </w:rPr>
  </w:style>
  <w:style w:type="paragraph" w:customStyle="1" w:styleId="14">
    <w:name w:val="H-TextFormat"/>
    <w:autoRedefine/>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631</Words>
  <Characters>723</Characters>
  <Lines>5</Lines>
  <Paragraphs>1</Paragraphs>
  <TotalTime>0</TotalTime>
  <ScaleCrop>false</ScaleCrop>
  <LinksUpToDate>false</LinksUpToDate>
  <CharactersWithSpaces>807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Paula</cp:lastModifiedBy>
  <dcterms:modified xsi:type="dcterms:W3CDTF">2024-05-17T06:52:29Z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B126F914A2724804AB604A80B0A8E973_13</vt:lpwstr>
  </property>
</Properties>
</file>