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bCs/>
          <w:sz w:val="44"/>
          <w:szCs w:val="44"/>
        </w:rPr>
      </w:pPr>
      <w:r>
        <w:rPr>
          <w:rFonts w:hint="eastAsia"/>
          <w:b/>
          <w:bCs/>
          <w:sz w:val="44"/>
          <w:szCs w:val="44"/>
        </w:rPr>
        <w:t>报价单</w:t>
      </w:r>
    </w:p>
    <w:p>
      <w:pPr>
        <w:spacing w:line="440" w:lineRule="exact"/>
        <w:jc w:val="center"/>
        <w:rPr>
          <w:sz w:val="24"/>
          <w:szCs w:val="24"/>
        </w:rPr>
      </w:pPr>
    </w:p>
    <w:p>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设备名称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型号</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产地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单价（元）</w:t>
            </w:r>
          </w:p>
        </w:tc>
        <w:tc>
          <w:tcPr>
            <w:tcW w:w="5835" w:type="dxa"/>
            <w:vAlign w:val="top"/>
          </w:tcPr>
          <w:p>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总价（元）</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pPr>
              <w:spacing w:line="360" w:lineRule="auto"/>
              <w:jc w:val="left"/>
              <w:rPr>
                <w:rFonts w:hint="eastAsia"/>
                <w:sz w:val="21"/>
                <w:szCs w:val="21"/>
                <w:lang w:val="en-US" w:eastAsia="zh-CN"/>
              </w:rPr>
            </w:pPr>
          </w:p>
          <w:p>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pPr>
              <w:pStyle w:val="5"/>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pPr>
        <w:jc w:val="center"/>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pPr>
        <w:spacing w:line="440" w:lineRule="exact"/>
        <w:rPr>
          <w:rFonts w:hint="eastAsia"/>
          <w:b/>
          <w:bCs/>
          <w:color w:val="0000FF"/>
          <w:sz w:val="21"/>
          <w:szCs w:val="21"/>
        </w:rPr>
      </w:pPr>
      <w:r>
        <w:rPr>
          <w:rFonts w:hint="eastAsia"/>
          <w:b/>
          <w:bCs/>
          <w:color w:val="0000FF"/>
          <w:sz w:val="21"/>
          <w:szCs w:val="21"/>
        </w:rPr>
        <w:t>报价供应商须同时提供以下资料：</w:t>
      </w:r>
    </w:p>
    <w:p>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r>
        <w:rPr>
          <w:rFonts w:hint="eastAsia"/>
          <w:b/>
          <w:bCs/>
          <w:color w:val="0000FF"/>
          <w:sz w:val="21"/>
          <w:szCs w:val="21"/>
          <w:lang w:val="en-US" w:eastAsia="zh-CN"/>
        </w:rPr>
        <w:t>用户名单（业绩）</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pPr>
        <w:pStyle w:val="5"/>
        <w:rPr>
          <w:rFonts w:hint="eastAsia"/>
          <w:b/>
          <w:bCs/>
          <w:color w:val="0000FF"/>
          <w:sz w:val="24"/>
        </w:rPr>
      </w:pPr>
    </w:p>
    <w:p>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2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4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6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1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2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8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6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2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24"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4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61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2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1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28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2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82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63"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8"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highlight w:val="yellow"/>
                <w:u w:val="none"/>
                <w:lang w:val="en-US" w:eastAsia="zh-CN" w:bidi="ar"/>
              </w:rPr>
              <w:t>填写线下优惠价</w:t>
            </w:r>
          </w:p>
        </w:tc>
        <w:tc>
          <w:tcPr>
            <w:tcW w:w="22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24"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41"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614"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1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8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8"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24" w:type="pct"/>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224"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41"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614"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1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8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2"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6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8"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24" w:type="pct"/>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5000" w:type="pct"/>
            <w:gridSpan w:val="11"/>
            <w:shd w:val="clear" w:color="auto" w:fill="auto"/>
            <w:noWrap/>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highlight w:val="yellow"/>
                <w:u w:val="none"/>
                <w:lang w:val="en-US" w:eastAsia="zh-CN"/>
              </w:rPr>
              <w:t>合计每人份价格：      元/人份</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spacing w:line="440" w:lineRule="exact"/>
        <w:jc w:val="center"/>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pStyle w:val="5"/>
        <w:rPr>
          <w:rFonts w:hint="eastAsia"/>
          <w:b/>
          <w:sz w:val="32"/>
          <w:szCs w:val="32"/>
        </w:rPr>
      </w:pPr>
    </w:p>
    <w:p>
      <w:pPr>
        <w:pStyle w:val="5"/>
        <w:rPr>
          <w:rFonts w:hint="eastAsia"/>
          <w:b/>
          <w:sz w:val="32"/>
          <w:szCs w:val="32"/>
        </w:rPr>
      </w:pPr>
    </w:p>
    <w:p>
      <w:pPr>
        <w:pStyle w:val="5"/>
        <w:rPr>
          <w:rFonts w:hint="eastAsia"/>
          <w:b/>
          <w:sz w:val="32"/>
          <w:szCs w:val="32"/>
        </w:rPr>
      </w:pPr>
    </w:p>
    <w:p>
      <w:pPr>
        <w:pStyle w:val="5"/>
        <w:rPr>
          <w:rFonts w:hint="eastAsia"/>
          <w:b/>
          <w:sz w:val="32"/>
          <w:szCs w:val="32"/>
        </w:rPr>
      </w:pPr>
    </w:p>
    <w:p>
      <w:pPr>
        <w:spacing w:line="440" w:lineRule="exact"/>
        <w:jc w:val="center"/>
        <w:rPr>
          <w:rFonts w:hint="eastAsia"/>
          <w:b/>
          <w:sz w:val="32"/>
          <w:szCs w:val="32"/>
        </w:rPr>
      </w:pPr>
    </w:p>
    <w:p>
      <w:pPr>
        <w:spacing w:line="440" w:lineRule="exact"/>
        <w:jc w:val="center"/>
        <w:rPr>
          <w:b/>
          <w:sz w:val="32"/>
          <w:szCs w:val="32"/>
        </w:rPr>
      </w:pPr>
      <w:r>
        <w:rPr>
          <w:rFonts w:hint="eastAsia"/>
          <w:b/>
          <w:sz w:val="32"/>
          <w:szCs w:val="32"/>
        </w:rPr>
        <w:t>参数偏离情况表</w:t>
      </w:r>
    </w:p>
    <w:p>
      <w:pPr>
        <w:spacing w:line="440" w:lineRule="exact"/>
        <w:rPr>
          <w:b/>
          <w:bCs/>
          <w:sz w:val="24"/>
        </w:rPr>
      </w:pPr>
      <w:r>
        <w:rPr>
          <w:rFonts w:hint="eastAsia"/>
          <w:b/>
          <w:bCs/>
          <w:sz w:val="24"/>
        </w:rPr>
        <w:t>填写要求：</w:t>
      </w:r>
    </w:p>
    <w:p>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pPr>
        <w:spacing w:line="380" w:lineRule="exact"/>
        <w:rPr>
          <w:rFonts w:ascii="宋体" w:hAnsi="宋体"/>
          <w:color w:val="000000"/>
          <w:szCs w:val="21"/>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spacing w:line="340" w:lineRule="exact"/>
        <w:rPr>
          <w:rFonts w:ascii="宋体"/>
          <w:sz w:val="30"/>
          <w:szCs w:val="30"/>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tabs>
          <w:tab w:val="left" w:pos="720"/>
        </w:tabs>
        <w:spacing w:line="340" w:lineRule="exact"/>
        <w:jc w:val="left"/>
        <w:rPr>
          <w:rFonts w:ascii="宋体" w:hAnsi="宋体"/>
          <w:b/>
          <w:bCs/>
          <w:sz w:val="30"/>
          <w:szCs w:val="30"/>
        </w:rPr>
      </w:pPr>
    </w:p>
    <w:p>
      <w:pPr>
        <w:spacing w:line="440" w:lineRule="exact"/>
        <w:rPr>
          <w:rFonts w:ascii="宋体" w:hAnsi="宋体"/>
          <w:sz w:val="24"/>
        </w:rPr>
      </w:pPr>
    </w:p>
    <w:p>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总则：</w:t>
      </w:r>
    </w:p>
    <w:p>
      <w:pPr>
        <w:spacing w:line="440" w:lineRule="exact"/>
        <w:rPr>
          <w:rFonts w:ascii="仿宋" w:hAnsi="仿宋" w:eastAsia="仿宋" w:cs="仿宋"/>
          <w:color w:val="000000"/>
          <w:sz w:val="24"/>
        </w:rPr>
      </w:pPr>
      <w:r>
        <w:rPr>
          <w:rFonts w:hint="eastAsia" w:ascii="仿宋" w:hAnsi="仿宋" w:eastAsia="仿宋" w:cs="仿宋"/>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pPr>
        <w:spacing w:line="440" w:lineRule="exact"/>
        <w:rPr>
          <w:rFonts w:ascii="仿宋" w:hAnsi="仿宋" w:eastAsia="仿宋" w:cs="仿宋"/>
          <w:color w:val="000000"/>
          <w:sz w:val="24"/>
        </w:rPr>
      </w:pPr>
      <w:r>
        <w:rPr>
          <w:rFonts w:hint="eastAsia" w:ascii="仿宋" w:hAnsi="仿宋" w:eastAsia="仿宋" w:cs="仿宋"/>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pPr>
        <w:spacing w:line="440" w:lineRule="exact"/>
        <w:rPr>
          <w:rFonts w:ascii="仿宋" w:hAnsi="仿宋" w:eastAsia="仿宋" w:cs="仿宋"/>
          <w:color w:val="000000"/>
          <w:sz w:val="24"/>
        </w:rPr>
      </w:pPr>
      <w:r>
        <w:rPr>
          <w:rFonts w:hint="eastAsia" w:ascii="仿宋" w:hAnsi="仿宋" w:eastAsia="仿宋" w:cs="仿宋"/>
          <w:color w:val="000000"/>
          <w:sz w:val="24"/>
        </w:rPr>
        <w:t>3.本项目不接受联合体投标，中标供应商不得以任何方式转包本项目。</w:t>
      </w:r>
    </w:p>
    <w:p>
      <w:pPr>
        <w:spacing w:line="440" w:lineRule="exact"/>
        <w:rPr>
          <w:rFonts w:ascii="仿宋" w:hAnsi="仿宋" w:eastAsia="仿宋" w:cs="仿宋"/>
          <w:color w:val="000000"/>
          <w:sz w:val="24"/>
        </w:rPr>
      </w:pPr>
      <w:r>
        <w:rPr>
          <w:rFonts w:hint="eastAsia" w:ascii="仿宋" w:hAnsi="仿宋" w:eastAsia="仿宋" w:cs="仿宋"/>
          <w:color w:val="000000"/>
          <w:sz w:val="24"/>
        </w:rPr>
        <w:t>4.单位负责人为同一人或者存在直接控股、关联关系的不同投标人，不得参加同一项目下的招标活动。</w:t>
      </w:r>
    </w:p>
    <w:p>
      <w:pPr>
        <w:spacing w:line="440" w:lineRule="exact"/>
        <w:rPr>
          <w:rFonts w:ascii="仿宋" w:hAnsi="仿宋" w:eastAsia="仿宋" w:cs="仿宋"/>
          <w:color w:val="000000"/>
          <w:sz w:val="24"/>
        </w:rPr>
      </w:pPr>
      <w:r>
        <w:rPr>
          <w:rFonts w:hint="eastAsia" w:ascii="仿宋" w:hAnsi="仿宋" w:eastAsia="仿宋" w:cs="仿宋"/>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pPr>
        <w:spacing w:line="440" w:lineRule="exact"/>
        <w:rPr>
          <w:rFonts w:ascii="仿宋" w:hAnsi="仿宋" w:eastAsia="仿宋" w:cs="仿宋"/>
          <w:color w:val="000000"/>
          <w:sz w:val="24"/>
        </w:rPr>
      </w:pPr>
      <w:r>
        <w:rPr>
          <w:rFonts w:hint="eastAsia" w:ascii="仿宋" w:hAnsi="仿宋" w:eastAsia="仿宋" w:cs="仿宋"/>
          <w:color w:val="000000"/>
          <w:sz w:val="24"/>
        </w:rPr>
        <w:t>6.本文的“质保期”是指中标标的物经约定的验收机构完成验收之日起算，截止中标人承诺的期限。</w:t>
      </w: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478"/>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项目名称</w:t>
            </w:r>
          </w:p>
        </w:tc>
        <w:tc>
          <w:tcPr>
            <w:tcW w:w="2478"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需求科室/部门</w:t>
            </w:r>
          </w:p>
        </w:tc>
        <w:tc>
          <w:tcPr>
            <w:tcW w:w="2298"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noWrap w:val="0"/>
            <w:vAlign w:val="top"/>
          </w:tcPr>
          <w:p>
            <w:pPr>
              <w:spacing w:line="440" w:lineRule="exact"/>
              <w:jc w:val="center"/>
              <w:rPr>
                <w:rFonts w:ascii="仿宋" w:hAnsi="仿宋" w:eastAsia="仿宋" w:cs="仿宋"/>
                <w:color w:val="000000"/>
                <w:sz w:val="24"/>
              </w:rPr>
            </w:pPr>
            <w:bookmarkStart w:id="0" w:name="_GoBack"/>
            <w:r>
              <w:rPr>
                <w:rFonts w:hint="eastAsia" w:ascii="仿宋" w:hAnsi="仿宋" w:eastAsia="仿宋" w:cs="仿宋"/>
                <w:color w:val="000000"/>
                <w:sz w:val="24"/>
              </w:rPr>
              <w:t>体质辨识健康管理系统</w:t>
            </w:r>
            <w:bookmarkEnd w:id="0"/>
          </w:p>
        </w:tc>
        <w:tc>
          <w:tcPr>
            <w:tcW w:w="2478"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女性保健与康复中心</w:t>
            </w:r>
          </w:p>
        </w:tc>
        <w:tc>
          <w:tcPr>
            <w:tcW w:w="2298" w:type="dxa"/>
            <w:noWrap w:val="0"/>
            <w:vAlign w:val="top"/>
          </w:tcPr>
          <w:p>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1套</w:t>
            </w:r>
          </w:p>
        </w:tc>
      </w:tr>
    </w:tbl>
    <w:p>
      <w:pPr>
        <w:spacing w:line="440" w:lineRule="exact"/>
        <w:rPr>
          <w:rFonts w:ascii="仿宋" w:hAnsi="仿宋" w:eastAsia="仿宋" w:cs="仿宋"/>
          <w:color w:val="000000"/>
          <w:sz w:val="24"/>
        </w:rPr>
      </w:pPr>
    </w:p>
    <w:p>
      <w:pPr>
        <w:spacing w:line="440" w:lineRule="exact"/>
        <w:rPr>
          <w:rFonts w:hint="eastAsia" w:ascii="仿宋" w:hAnsi="仿宋" w:eastAsia="仿宋" w:cs="仿宋"/>
          <w:color w:val="000000"/>
          <w:sz w:val="24"/>
        </w:rPr>
      </w:pPr>
      <w:r>
        <w:rPr>
          <w:rFonts w:hint="eastAsia" w:ascii="仿宋" w:hAnsi="仿宋" w:eastAsia="仿宋" w:cs="仿宋"/>
          <w:color w:val="000000"/>
          <w:sz w:val="24"/>
        </w:rPr>
        <w:t>用途：协助医疗机构开展中医预防保健服务及中医特色诊疗服务：</w:t>
      </w:r>
    </w:p>
    <w:p>
      <w:pPr>
        <w:numPr>
          <w:ilvl w:val="0"/>
          <w:numId w:val="5"/>
        </w:numPr>
        <w:spacing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为客户提供健康状态辨识及风险评估</w:t>
      </w:r>
    </w:p>
    <w:p>
      <w:pPr>
        <w:numPr>
          <w:ilvl w:val="0"/>
          <w:numId w:val="5"/>
        </w:numPr>
        <w:spacing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为客户提供中医体检和评估服务;</w:t>
      </w:r>
    </w:p>
    <w:p>
      <w:pPr>
        <w:numPr>
          <w:ilvl w:val="0"/>
          <w:numId w:val="5"/>
        </w:numPr>
        <w:spacing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进行客户健康状态信息管理:</w:t>
      </w:r>
    </w:p>
    <w:p>
      <w:pPr>
        <w:numPr>
          <w:ilvl w:val="0"/>
          <w:numId w:val="5"/>
        </w:numPr>
        <w:spacing w:line="440" w:lineRule="exact"/>
        <w:ind w:firstLine="480" w:firstLineChars="200"/>
      </w:pPr>
      <w:r>
        <w:rPr>
          <w:rFonts w:hint="eastAsia" w:ascii="仿宋" w:hAnsi="仿宋" w:eastAsia="仿宋" w:cs="仿宋"/>
          <w:color w:val="000000"/>
          <w:sz w:val="24"/>
        </w:rPr>
        <w:t>针对不同体质提供完善的调理干预方案。</w:t>
      </w:r>
    </w:p>
    <w:p>
      <w:pPr>
        <w:pStyle w:val="3"/>
      </w:pP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技术参数：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7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759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spacing w:line="440" w:lineRule="exact"/>
              <w:jc w:val="center"/>
              <w:rPr>
                <w:rFonts w:hint="eastAsia" w:ascii="仿宋" w:hAnsi="仿宋" w:eastAsia="仿宋" w:cs="仿宋"/>
                <w:strike w:val="0"/>
                <w:dstrike w:val="0"/>
                <w:color w:val="auto"/>
                <w:sz w:val="24"/>
              </w:rPr>
            </w:pPr>
            <w:r>
              <w:rPr>
                <w:rFonts w:hint="eastAsia" w:ascii="仿宋" w:hAnsi="仿宋" w:eastAsia="仿宋" w:cs="仿宋"/>
                <w:strike w:val="0"/>
                <w:dstrike w:val="0"/>
                <w:color w:val="auto"/>
                <w:sz w:val="24"/>
              </w:rPr>
              <w:t>1</w:t>
            </w:r>
          </w:p>
        </w:tc>
        <w:tc>
          <w:tcPr>
            <w:tcW w:w="7599" w:type="dxa"/>
            <w:noWrap w:val="0"/>
            <w:vAlign w:val="top"/>
          </w:tcPr>
          <w:p>
            <w:pPr>
              <w:spacing w:line="440" w:lineRule="exact"/>
              <w:rPr>
                <w:rFonts w:hint="eastAsia" w:ascii="仿宋" w:hAnsi="仿宋" w:eastAsia="仿宋" w:cs="仿宋"/>
                <w:strike/>
                <w:dstrike w:val="0"/>
                <w:color w:val="auto"/>
                <w:sz w:val="24"/>
              </w:rPr>
            </w:pPr>
            <w:r>
              <w:rPr>
                <w:rFonts w:hint="eastAsia" w:ascii="仿宋" w:hAnsi="仿宋" w:eastAsia="仿宋" w:cs="仿宋"/>
                <w:color w:val="auto"/>
                <w:sz w:val="24"/>
                <w:lang w:val="en-US" w:eastAsia="zh-CN"/>
              </w:rPr>
              <w:t>≥</w:t>
            </w:r>
            <w:r>
              <w:rPr>
                <w:rFonts w:hint="eastAsia" w:ascii="仿宋" w:hAnsi="仿宋" w:eastAsia="仿宋" w:cs="仿宋"/>
                <w:color w:val="auto"/>
                <w:sz w:val="24"/>
              </w:rPr>
              <w:t xml:space="preserve">22寸彩色液晶台式机。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spacing w:line="440" w:lineRule="exact"/>
              <w:jc w:val="center"/>
              <w:rPr>
                <w:rFonts w:hint="eastAsia" w:ascii="仿宋" w:hAnsi="仿宋" w:eastAsia="仿宋" w:cs="仿宋"/>
                <w:strike w:val="0"/>
                <w:dstrike w:val="0"/>
                <w:color w:val="auto"/>
                <w:sz w:val="24"/>
              </w:rPr>
            </w:pPr>
            <w:r>
              <w:rPr>
                <w:rFonts w:hint="eastAsia" w:ascii="仿宋" w:hAnsi="仿宋" w:eastAsia="仿宋" w:cs="仿宋"/>
                <w:strike w:val="0"/>
                <w:dstrike w:val="0"/>
                <w:color w:val="auto"/>
                <w:sz w:val="24"/>
              </w:rPr>
              <w:t>2</w:t>
            </w:r>
          </w:p>
        </w:tc>
        <w:tc>
          <w:tcPr>
            <w:tcW w:w="7599" w:type="dxa"/>
            <w:noWrap w:val="0"/>
            <w:vAlign w:val="top"/>
          </w:tcPr>
          <w:p>
            <w:pPr>
              <w:spacing w:line="440" w:lineRule="exact"/>
              <w:rPr>
                <w:rFonts w:hint="eastAsia" w:ascii="仿宋" w:hAnsi="仿宋" w:eastAsia="仿宋" w:cs="仿宋"/>
                <w:strike/>
                <w:dstrike w:val="0"/>
                <w:color w:val="auto"/>
                <w:sz w:val="24"/>
              </w:rPr>
            </w:pPr>
            <w:r>
              <w:rPr>
                <w:rFonts w:hint="eastAsia" w:ascii="仿宋" w:hAnsi="仿宋" w:eastAsia="仿宋" w:cs="仿宋"/>
                <w:color w:val="auto"/>
                <w:sz w:val="24"/>
              </w:rPr>
              <w:t xml:space="preserve">语音提示操作。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7599" w:type="dxa"/>
            <w:noWrap w:val="0"/>
            <w:vAlign w:val="top"/>
          </w:tcPr>
          <w:p>
            <w:pPr>
              <w:spacing w:line="440" w:lineRule="exact"/>
              <w:rPr>
                <w:rFonts w:hint="eastAsia" w:ascii="仿宋" w:hAnsi="仿宋" w:eastAsia="仿宋" w:cs="仿宋"/>
                <w:color w:val="auto"/>
                <w:sz w:val="24"/>
              </w:rPr>
            </w:pPr>
            <w:r>
              <w:rPr>
                <w:rFonts w:hint="eastAsia" w:ascii="仿宋" w:hAnsi="仿宋" w:eastAsia="仿宋" w:cs="仿宋"/>
                <w:color w:val="auto"/>
                <w:sz w:val="24"/>
              </w:rPr>
              <w:t xml:space="preserve">已病和未病双系统体质筛查。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7599" w:type="dxa"/>
            <w:noWrap w:val="0"/>
            <w:vAlign w:val="top"/>
          </w:tcPr>
          <w:p>
            <w:pPr>
              <w:spacing w:line="440" w:lineRule="exact"/>
              <w:rPr>
                <w:rFonts w:hint="eastAsia" w:ascii="仿宋" w:hAnsi="仿宋" w:eastAsia="仿宋" w:cs="仿宋"/>
                <w:color w:val="auto"/>
                <w:sz w:val="24"/>
              </w:rPr>
            </w:pPr>
            <w:r>
              <w:rPr>
                <w:rFonts w:hint="eastAsia" w:ascii="仿宋" w:hAnsi="仿宋" w:eastAsia="仿宋" w:cs="仿宋"/>
                <w:color w:val="auto"/>
                <w:sz w:val="24"/>
              </w:rPr>
              <w:t xml:space="preserve">★九种基本体质判定及二十五种细分体质。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7599" w:type="dxa"/>
            <w:noWrap w:val="0"/>
            <w:vAlign w:val="top"/>
          </w:tcPr>
          <w:p>
            <w:pPr>
              <w:spacing w:line="440" w:lineRule="exact"/>
              <w:rPr>
                <w:rFonts w:hint="eastAsia" w:ascii="仿宋" w:hAnsi="仿宋" w:eastAsia="仿宋" w:cs="仿宋"/>
                <w:color w:val="auto"/>
                <w:sz w:val="24"/>
              </w:rPr>
            </w:pPr>
            <w:r>
              <w:rPr>
                <w:rFonts w:hint="eastAsia" w:ascii="仿宋" w:hAnsi="仿宋" w:eastAsia="仿宋" w:cs="仿宋"/>
                <w:color w:val="auto"/>
                <w:sz w:val="24"/>
              </w:rPr>
              <w:t xml:space="preserve">★每种细分体质的十四项干预调理方案。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6</w:t>
            </w:r>
          </w:p>
        </w:tc>
        <w:tc>
          <w:tcPr>
            <w:tcW w:w="7599" w:type="dxa"/>
            <w:noWrap w:val="0"/>
            <w:vAlign w:val="top"/>
          </w:tcPr>
          <w:p>
            <w:pPr>
              <w:spacing w:line="440" w:lineRule="exact"/>
              <w:rPr>
                <w:rFonts w:hint="eastAsia" w:ascii="仿宋" w:hAnsi="仿宋" w:eastAsia="仿宋" w:cs="仿宋"/>
                <w:color w:val="auto"/>
                <w:sz w:val="24"/>
              </w:rPr>
            </w:pPr>
            <w:r>
              <w:rPr>
                <w:rFonts w:hint="eastAsia" w:ascii="仿宋" w:hAnsi="仿宋" w:eastAsia="仿宋" w:cs="仿宋"/>
                <w:color w:val="auto"/>
                <w:sz w:val="24"/>
              </w:rPr>
              <w:t xml:space="preserve">二十五种细分体质的动态筛查对比。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7</w:t>
            </w:r>
          </w:p>
        </w:tc>
        <w:tc>
          <w:tcPr>
            <w:tcW w:w="7599" w:type="dxa"/>
            <w:noWrap w:val="0"/>
            <w:vAlign w:val="top"/>
          </w:tcPr>
          <w:p>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具备</w:t>
            </w:r>
            <w:r>
              <w:rPr>
                <w:rFonts w:hint="eastAsia" w:ascii="仿宋" w:hAnsi="仿宋" w:eastAsia="仿宋" w:cs="仿宋"/>
                <w:color w:val="auto"/>
                <w:sz w:val="24"/>
              </w:rPr>
              <w:t xml:space="preserve">档案储存、分析、打印功能。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79" w:type="dxa"/>
            <w:noWrap w:val="0"/>
            <w:vAlign w:val="center"/>
          </w:tcPr>
          <w:p>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8</w:t>
            </w:r>
          </w:p>
        </w:tc>
        <w:tc>
          <w:tcPr>
            <w:tcW w:w="7599" w:type="dxa"/>
            <w:noWrap w:val="0"/>
            <w:vAlign w:val="top"/>
          </w:tcPr>
          <w:p>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具备</w:t>
            </w:r>
            <w:r>
              <w:rPr>
                <w:rFonts w:hint="eastAsia" w:ascii="仿宋" w:hAnsi="仿宋" w:eastAsia="仿宋" w:cs="仿宋"/>
                <w:color w:val="auto"/>
                <w:sz w:val="24"/>
              </w:rPr>
              <w:t xml:space="preserve">软件升级、远程联网会诊功能。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9</w:t>
            </w:r>
          </w:p>
        </w:tc>
        <w:tc>
          <w:tcPr>
            <w:tcW w:w="7599" w:type="dxa"/>
            <w:noWrap w:val="0"/>
            <w:vAlign w:val="top"/>
          </w:tcPr>
          <w:p>
            <w:pPr>
              <w:spacing w:line="440" w:lineRule="exact"/>
              <w:rPr>
                <w:rFonts w:hint="eastAsia" w:ascii="仿宋" w:hAnsi="仿宋" w:eastAsia="仿宋" w:cs="仿宋"/>
                <w:color w:val="auto"/>
                <w:sz w:val="24"/>
              </w:rPr>
            </w:pPr>
            <w:r>
              <w:rPr>
                <w:rFonts w:hint="eastAsia" w:ascii="仿宋" w:hAnsi="仿宋" w:eastAsia="仿宋" w:cs="仿宋"/>
                <w:color w:val="auto"/>
                <w:sz w:val="24"/>
              </w:rPr>
              <w:t>答题反应时间＜500毫秒。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10</w:t>
            </w:r>
          </w:p>
        </w:tc>
        <w:tc>
          <w:tcPr>
            <w:tcW w:w="7599" w:type="dxa"/>
            <w:noWrap w:val="0"/>
            <w:vAlign w:val="top"/>
          </w:tcPr>
          <w:p>
            <w:pPr>
              <w:spacing w:line="440" w:lineRule="exact"/>
              <w:rPr>
                <w:rFonts w:hint="eastAsia" w:ascii="仿宋" w:hAnsi="仿宋" w:eastAsia="仿宋" w:cs="仿宋"/>
                <w:color w:val="auto"/>
                <w:sz w:val="24"/>
              </w:rPr>
            </w:pPr>
            <w:r>
              <w:rPr>
                <w:rFonts w:hint="eastAsia" w:ascii="仿宋" w:hAnsi="仿宋" w:eastAsia="仿宋" w:cs="仿宋"/>
                <w:color w:val="auto"/>
                <w:sz w:val="24"/>
              </w:rPr>
              <w:t xml:space="preserve">九种基本体质筛查。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spacing w:line="440" w:lineRule="exact"/>
              <w:jc w:val="center"/>
              <w:rPr>
                <w:rFonts w:ascii="仿宋" w:hAnsi="仿宋" w:eastAsia="仿宋" w:cs="仿宋"/>
                <w:strike/>
                <w:dstrike w:val="0"/>
                <w:color w:val="FF0000"/>
                <w:sz w:val="24"/>
              </w:rPr>
            </w:pPr>
            <w:r>
              <w:rPr>
                <w:rFonts w:hint="eastAsia" w:ascii="仿宋" w:hAnsi="仿宋" w:eastAsia="仿宋" w:cs="仿宋"/>
                <w:strike w:val="0"/>
                <w:dstrike w:val="0"/>
                <w:color w:val="auto"/>
                <w:sz w:val="24"/>
              </w:rPr>
              <w:t>11</w:t>
            </w:r>
          </w:p>
        </w:tc>
        <w:tc>
          <w:tcPr>
            <w:tcW w:w="7599" w:type="dxa"/>
            <w:noWrap w:val="0"/>
            <w:vAlign w:val="top"/>
          </w:tcPr>
          <w:p>
            <w:pPr>
              <w:spacing w:line="440" w:lineRule="exact"/>
              <w:rPr>
                <w:rFonts w:hint="eastAsia" w:ascii="仿宋" w:hAnsi="仿宋" w:eastAsia="仿宋" w:cs="仿宋"/>
                <w:strike/>
                <w:dstrike w:val="0"/>
                <w:color w:val="auto"/>
                <w:sz w:val="24"/>
              </w:rPr>
            </w:pPr>
            <w:r>
              <w:rPr>
                <w:rFonts w:hint="eastAsia" w:ascii="仿宋" w:hAnsi="仿宋" w:eastAsia="仿宋" w:cs="仿宋"/>
                <w:color w:val="auto"/>
                <w:sz w:val="24"/>
              </w:rPr>
              <w:t>每种体质均有</w:t>
            </w:r>
            <w:r>
              <w:rPr>
                <w:rFonts w:hint="eastAsia" w:ascii="仿宋" w:hAnsi="仿宋" w:eastAsia="仿宋" w:cs="仿宋"/>
                <w:color w:val="auto"/>
                <w:sz w:val="24"/>
                <w:lang w:val="en-US" w:eastAsia="zh-CN"/>
              </w:rPr>
              <w:t>≥</w:t>
            </w:r>
            <w:r>
              <w:rPr>
                <w:rFonts w:hint="eastAsia" w:ascii="仿宋" w:hAnsi="仿宋" w:eastAsia="仿宋" w:cs="仿宋"/>
                <w:color w:val="auto"/>
                <w:sz w:val="24"/>
              </w:rPr>
              <w:t>六项基本调理措施及</w:t>
            </w:r>
            <w:r>
              <w:rPr>
                <w:rFonts w:hint="eastAsia" w:ascii="仿宋" w:hAnsi="仿宋" w:eastAsia="仿宋" w:cs="仿宋"/>
                <w:color w:val="auto"/>
                <w:sz w:val="24"/>
                <w:lang w:val="en-US" w:eastAsia="zh-CN"/>
              </w:rPr>
              <w:t>≥</w:t>
            </w:r>
            <w:r>
              <w:rPr>
                <w:rFonts w:hint="eastAsia" w:ascii="仿宋" w:hAnsi="仿宋" w:eastAsia="仿宋" w:cs="仿宋"/>
                <w:color w:val="auto"/>
                <w:sz w:val="24"/>
              </w:rPr>
              <w:t xml:space="preserve">八项干预方法。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12</w:t>
            </w:r>
          </w:p>
        </w:tc>
        <w:tc>
          <w:tcPr>
            <w:tcW w:w="7599" w:type="dxa"/>
            <w:noWrap w:val="0"/>
            <w:vAlign w:val="top"/>
          </w:tcPr>
          <w:p>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具备</w:t>
            </w:r>
            <w:r>
              <w:rPr>
                <w:rFonts w:hint="eastAsia" w:ascii="仿宋" w:hAnsi="仿宋" w:eastAsia="仿宋" w:cs="仿宋"/>
                <w:color w:val="auto"/>
                <w:sz w:val="24"/>
              </w:rPr>
              <w:t xml:space="preserve">体质成因解读禁忌、易发疾病风险预测及干预前后对比功能。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13</w:t>
            </w:r>
          </w:p>
        </w:tc>
        <w:tc>
          <w:tcPr>
            <w:tcW w:w="7599" w:type="dxa"/>
            <w:noWrap w:val="0"/>
            <w:vAlign w:val="top"/>
          </w:tcPr>
          <w:p>
            <w:pPr>
              <w:spacing w:line="440" w:lineRule="exact"/>
              <w:rPr>
                <w:rFonts w:hint="eastAsia" w:ascii="仿宋" w:hAnsi="仿宋" w:eastAsia="仿宋" w:cs="仿宋"/>
                <w:color w:val="auto"/>
                <w:sz w:val="24"/>
              </w:rPr>
            </w:pPr>
            <w:r>
              <w:rPr>
                <w:rFonts w:hint="eastAsia" w:ascii="仿宋" w:hAnsi="仿宋" w:eastAsia="仿宋" w:cs="仿宋"/>
                <w:color w:val="auto"/>
                <w:sz w:val="24"/>
              </w:rPr>
              <w:t>软件操作流程化设计，通过问卷形式，量表录入Excel表格导入多种输入方式</w:t>
            </w:r>
            <w:r>
              <w:rPr>
                <w:rFonts w:hint="eastAsia" w:ascii="仿宋" w:hAnsi="仿宋" w:eastAsia="仿宋" w:cs="仿宋"/>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spacing w:line="440" w:lineRule="exact"/>
              <w:jc w:val="center"/>
              <w:rPr>
                <w:rFonts w:ascii="仿宋" w:hAnsi="仿宋" w:eastAsia="仿宋" w:cs="仿宋"/>
                <w:strike/>
                <w:dstrike w:val="0"/>
                <w:color w:val="FF0000"/>
                <w:sz w:val="24"/>
              </w:rPr>
            </w:pPr>
            <w:r>
              <w:rPr>
                <w:rFonts w:hint="eastAsia" w:ascii="仿宋" w:hAnsi="仿宋" w:eastAsia="仿宋" w:cs="仿宋"/>
                <w:strike w:val="0"/>
                <w:dstrike w:val="0"/>
                <w:color w:val="auto"/>
                <w:sz w:val="24"/>
              </w:rPr>
              <w:t>14</w:t>
            </w:r>
          </w:p>
        </w:tc>
        <w:tc>
          <w:tcPr>
            <w:tcW w:w="7599" w:type="dxa"/>
            <w:noWrap w:val="0"/>
            <w:vAlign w:val="top"/>
          </w:tcPr>
          <w:p>
            <w:pPr>
              <w:spacing w:line="440" w:lineRule="exact"/>
              <w:rPr>
                <w:rFonts w:hint="eastAsia" w:ascii="仿宋" w:hAnsi="仿宋" w:eastAsia="仿宋" w:cs="仿宋"/>
                <w:strike/>
                <w:dstrike w:val="0"/>
                <w:color w:val="FF0000"/>
                <w:sz w:val="24"/>
              </w:rPr>
            </w:pPr>
            <w:r>
              <w:rPr>
                <w:rFonts w:hint="eastAsia" w:ascii="仿宋" w:hAnsi="仿宋" w:eastAsia="仿宋" w:cs="仿宋"/>
                <w:color w:val="000000"/>
                <w:sz w:val="24"/>
              </w:rPr>
              <w:t xml:space="preserve">设置有打印机接口、USB接口。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15</w:t>
            </w:r>
          </w:p>
        </w:tc>
        <w:tc>
          <w:tcPr>
            <w:tcW w:w="7599" w:type="dxa"/>
            <w:noWrap w:val="0"/>
            <w:vAlign w:val="top"/>
          </w:tcPr>
          <w:p>
            <w:pPr>
              <w:spacing w:line="440" w:lineRule="exact"/>
              <w:rPr>
                <w:rFonts w:hint="eastAsia" w:ascii="仿宋" w:hAnsi="仿宋" w:eastAsia="仿宋" w:cs="仿宋"/>
                <w:color w:val="000000"/>
                <w:sz w:val="24"/>
              </w:rPr>
            </w:pPr>
            <w:r>
              <w:rPr>
                <w:rFonts w:hint="eastAsia" w:ascii="仿宋" w:hAnsi="仿宋" w:eastAsia="仿宋" w:cs="仿宋"/>
                <w:color w:val="000000"/>
                <w:sz w:val="24"/>
              </w:rPr>
              <w:t xml:space="preserve">加密狗接口。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16</w:t>
            </w:r>
          </w:p>
        </w:tc>
        <w:tc>
          <w:tcPr>
            <w:tcW w:w="7599" w:type="dxa"/>
            <w:noWrap w:val="0"/>
            <w:vAlign w:val="top"/>
          </w:tcPr>
          <w:p>
            <w:pPr>
              <w:spacing w:line="440" w:lineRule="exact"/>
              <w:rPr>
                <w:rFonts w:hint="eastAsia" w:ascii="仿宋" w:hAnsi="仿宋" w:eastAsia="仿宋" w:cs="仿宋"/>
                <w:color w:val="000000"/>
                <w:sz w:val="24"/>
              </w:rPr>
            </w:pPr>
            <w:r>
              <w:rPr>
                <w:rFonts w:hint="eastAsia" w:ascii="仿宋" w:hAnsi="仿宋" w:eastAsia="仿宋" w:cs="仿宋"/>
                <w:color w:val="000000"/>
                <w:sz w:val="24"/>
              </w:rPr>
              <w:t xml:space="preserve">具有档案储存、查询、打印功能，语音提示功能。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17</w:t>
            </w:r>
          </w:p>
        </w:tc>
        <w:tc>
          <w:tcPr>
            <w:tcW w:w="7599" w:type="dxa"/>
            <w:noWrap w:val="0"/>
            <w:vAlign w:val="top"/>
          </w:tcPr>
          <w:p>
            <w:pPr>
              <w:spacing w:line="440" w:lineRule="exact"/>
              <w:rPr>
                <w:rFonts w:hint="eastAsia" w:ascii="仿宋" w:hAnsi="仿宋" w:eastAsia="仿宋" w:cs="仿宋"/>
                <w:color w:val="000000"/>
                <w:sz w:val="24"/>
                <w:lang w:eastAsia="zh-CN"/>
              </w:rPr>
            </w:pPr>
            <w:r>
              <w:rPr>
                <w:rFonts w:hint="eastAsia" w:ascii="仿宋" w:hAnsi="仿宋" w:eastAsia="仿宋" w:cs="仿宋"/>
                <w:color w:val="000000"/>
                <w:sz w:val="24"/>
              </w:rPr>
              <w:t>CPU：i</w:t>
            </w:r>
            <w:r>
              <w:rPr>
                <w:rFonts w:hint="eastAsia" w:ascii="仿宋" w:hAnsi="仿宋" w:eastAsia="仿宋" w:cs="仿宋"/>
                <w:color w:val="auto"/>
                <w:sz w:val="24"/>
              </w:rPr>
              <w:t>nteri5处理器，内存</w:t>
            </w:r>
            <w:r>
              <w:rPr>
                <w:rFonts w:hint="eastAsia" w:ascii="仿宋" w:hAnsi="仿宋" w:eastAsia="仿宋" w:cs="仿宋"/>
                <w:color w:val="auto"/>
                <w:sz w:val="24"/>
                <w:lang w:val="en-US" w:eastAsia="zh-CN"/>
              </w:rPr>
              <w:t>≥</w:t>
            </w:r>
            <w:r>
              <w:rPr>
                <w:rFonts w:hint="eastAsia" w:ascii="仿宋" w:hAnsi="仿宋" w:eastAsia="仿宋" w:cs="仿宋"/>
                <w:color w:val="auto"/>
                <w:sz w:val="24"/>
              </w:rPr>
              <w:t>8G，硬盘ssd固态，显存</w:t>
            </w:r>
            <w:r>
              <w:rPr>
                <w:rFonts w:hint="eastAsia" w:ascii="仿宋" w:hAnsi="仿宋" w:eastAsia="仿宋" w:cs="仿宋"/>
                <w:color w:val="auto"/>
                <w:sz w:val="24"/>
                <w:lang w:val="en-US" w:eastAsia="zh-CN"/>
              </w:rPr>
              <w:t>≥</w:t>
            </w:r>
            <w:r>
              <w:rPr>
                <w:rFonts w:hint="eastAsia" w:ascii="仿宋" w:hAnsi="仿宋" w:eastAsia="仿宋" w:cs="仿宋"/>
                <w:color w:val="auto"/>
                <w:sz w:val="24"/>
              </w:rPr>
              <w:t>1G</w:t>
            </w: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dxa"/>
            <w:noWrap w:val="0"/>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18</w:t>
            </w:r>
          </w:p>
        </w:tc>
        <w:tc>
          <w:tcPr>
            <w:tcW w:w="7599" w:type="dxa"/>
            <w:noWrap w:val="0"/>
            <w:vAlign w:val="top"/>
          </w:tcPr>
          <w:p>
            <w:pPr>
              <w:spacing w:line="440" w:lineRule="exact"/>
              <w:rPr>
                <w:rFonts w:hint="eastAsia" w:ascii="仿宋" w:hAnsi="仿宋" w:eastAsia="仿宋" w:cs="仿宋"/>
                <w:color w:val="auto"/>
                <w:sz w:val="24"/>
              </w:rPr>
            </w:pPr>
            <w:r>
              <w:rPr>
                <w:rFonts w:hint="eastAsia" w:ascii="仿宋" w:hAnsi="仿宋" w:eastAsia="仿宋" w:cs="仿宋"/>
                <w:color w:val="auto"/>
                <w:sz w:val="24"/>
              </w:rPr>
              <w:t>分辨率</w:t>
            </w:r>
            <w:r>
              <w:rPr>
                <w:rFonts w:hint="eastAsia" w:ascii="仿宋" w:hAnsi="仿宋" w:eastAsia="仿宋" w:cs="仿宋"/>
                <w:color w:val="auto"/>
                <w:sz w:val="24"/>
                <w:lang w:val="en-US" w:eastAsia="zh-CN"/>
              </w:rPr>
              <w:t>≥</w:t>
            </w:r>
            <w:r>
              <w:rPr>
                <w:rFonts w:hint="eastAsia" w:ascii="仿宋" w:hAnsi="仿宋" w:eastAsia="仿宋" w:cs="仿宋"/>
                <w:color w:val="auto"/>
                <w:sz w:val="24"/>
              </w:rPr>
              <w:t xml:space="preserve">1920×1080，IE7.0以上版本。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19</w:t>
            </w:r>
          </w:p>
        </w:tc>
        <w:tc>
          <w:tcPr>
            <w:tcW w:w="7599" w:type="dxa"/>
            <w:noWrap w:val="0"/>
            <w:vAlign w:val="top"/>
          </w:tcPr>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对COTS软件产品提供支持。</w:t>
            </w:r>
          </w:p>
        </w:tc>
      </w:tr>
    </w:tbl>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每套设备配置要求：</w:t>
      </w:r>
    </w:p>
    <w:tbl>
      <w:tblPr>
        <w:tblStyle w:val="9"/>
        <w:tblW w:w="0" w:type="auto"/>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07"/>
        <w:gridCol w:w="4490"/>
        <w:gridCol w:w="969"/>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1207"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名称</w:t>
            </w:r>
          </w:p>
        </w:tc>
        <w:tc>
          <w:tcPr>
            <w:tcW w:w="4490"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要求</w:t>
            </w:r>
          </w:p>
        </w:tc>
        <w:tc>
          <w:tcPr>
            <w:tcW w:w="96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w:t>
            </w:r>
          </w:p>
        </w:tc>
        <w:tc>
          <w:tcPr>
            <w:tcW w:w="920"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1207" w:type="dxa"/>
            <w:noWrap w:val="0"/>
            <w:vAlign w:val="top"/>
          </w:tcPr>
          <w:p>
            <w:pPr>
              <w:spacing w:line="440" w:lineRule="exact"/>
              <w:rPr>
                <w:rFonts w:ascii="仿宋" w:hAnsi="仿宋" w:eastAsia="仿宋" w:cs="仿宋"/>
                <w:color w:val="000000"/>
                <w:sz w:val="24"/>
              </w:rPr>
            </w:pPr>
            <w:r>
              <w:rPr>
                <w:rFonts w:hint="eastAsia" w:ascii="仿宋" w:hAnsi="仿宋" w:eastAsia="仿宋" w:cs="仿宋"/>
                <w:color w:val="000000"/>
                <w:sz w:val="24"/>
              </w:rPr>
              <w:t>主机</w:t>
            </w:r>
          </w:p>
        </w:tc>
        <w:tc>
          <w:tcPr>
            <w:tcW w:w="4490" w:type="dxa"/>
            <w:noWrap w:val="0"/>
            <w:vAlign w:val="top"/>
          </w:tcPr>
          <w:p>
            <w:pPr>
              <w:spacing w:line="440" w:lineRule="exact"/>
              <w:rPr>
                <w:rFonts w:ascii="仿宋" w:hAnsi="仿宋" w:eastAsia="仿宋" w:cs="仿宋"/>
                <w:color w:val="000000"/>
                <w:sz w:val="24"/>
              </w:rPr>
            </w:pPr>
            <w:r>
              <w:rPr>
                <w:rFonts w:hint="eastAsia" w:ascii="仿宋" w:hAnsi="仿宋" w:eastAsia="仿宋" w:cs="仿宋"/>
                <w:color w:val="auto"/>
                <w:sz w:val="24"/>
                <w:lang w:val="en-US" w:eastAsia="zh-CN"/>
              </w:rPr>
              <w:t>≥</w:t>
            </w:r>
            <w:r>
              <w:rPr>
                <w:rFonts w:hint="eastAsia" w:ascii="宋体" w:hAnsi="宋体" w:cs="宋体"/>
                <w:color w:val="auto"/>
                <w:kern w:val="0"/>
                <w:sz w:val="24"/>
                <w:lang w:bidi="ar"/>
              </w:rPr>
              <w:t>2</w:t>
            </w:r>
            <w:r>
              <w:rPr>
                <w:rFonts w:hint="eastAsia" w:ascii="仿宋" w:hAnsi="仿宋" w:eastAsia="仿宋" w:cs="仿宋"/>
                <w:color w:val="auto"/>
                <w:sz w:val="24"/>
              </w:rPr>
              <w:t>2寸彩色液晶台式机，分辨率</w:t>
            </w:r>
            <w:r>
              <w:rPr>
                <w:rFonts w:hint="eastAsia" w:ascii="仿宋" w:hAnsi="仿宋" w:eastAsia="仿宋" w:cs="仿宋"/>
                <w:color w:val="auto"/>
                <w:sz w:val="24"/>
                <w:lang w:val="en-US" w:eastAsia="zh-CN"/>
              </w:rPr>
              <w:t>≥</w:t>
            </w:r>
            <w:r>
              <w:rPr>
                <w:rFonts w:hint="eastAsia" w:ascii="仿宋" w:hAnsi="仿宋" w:eastAsia="仿宋" w:cs="仿宋"/>
                <w:color w:val="auto"/>
                <w:sz w:val="24"/>
              </w:rPr>
              <w:t>1920×1080</w:t>
            </w:r>
          </w:p>
        </w:tc>
        <w:tc>
          <w:tcPr>
            <w:tcW w:w="969" w:type="dxa"/>
            <w:noWrap w:val="0"/>
            <w:vAlign w:val="top"/>
          </w:tcPr>
          <w:p>
            <w:pPr>
              <w:spacing w:line="440" w:lineRule="exact"/>
              <w:jc w:val="center"/>
              <w:rPr>
                <w:rFonts w:hint="eastAsia" w:ascii="仿宋" w:hAnsi="仿宋" w:eastAsia="仿宋" w:cs="仿宋"/>
                <w:bCs/>
                <w:color w:val="000000"/>
                <w:sz w:val="24"/>
              </w:rPr>
            </w:pPr>
            <w:r>
              <w:rPr>
                <w:rFonts w:hint="eastAsia" w:ascii="仿宋" w:hAnsi="仿宋" w:eastAsia="仿宋" w:cs="仿宋"/>
                <w:bCs/>
                <w:color w:val="000000"/>
                <w:sz w:val="24"/>
              </w:rPr>
              <w:t>1</w:t>
            </w:r>
          </w:p>
        </w:tc>
        <w:tc>
          <w:tcPr>
            <w:tcW w:w="920" w:type="dxa"/>
            <w:noWrap w:val="0"/>
            <w:vAlign w:val="top"/>
          </w:tcPr>
          <w:p>
            <w:pPr>
              <w:spacing w:line="440" w:lineRule="exact"/>
              <w:jc w:val="center"/>
              <w:rPr>
                <w:rFonts w:hint="eastAsia" w:ascii="仿宋" w:hAnsi="仿宋" w:eastAsia="仿宋" w:cs="仿宋"/>
                <w:bCs/>
                <w:color w:val="000000"/>
                <w:sz w:val="24"/>
              </w:rPr>
            </w:pPr>
            <w:r>
              <w:rPr>
                <w:rFonts w:hint="eastAsia" w:ascii="仿宋" w:hAnsi="仿宋" w:eastAsia="仿宋" w:cs="仿宋"/>
                <w:bCs/>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1207" w:type="dxa"/>
            <w:noWrap w:val="0"/>
            <w:vAlign w:val="top"/>
          </w:tcPr>
          <w:p>
            <w:pPr>
              <w:spacing w:line="440" w:lineRule="exact"/>
              <w:rPr>
                <w:rFonts w:ascii="仿宋" w:hAnsi="仿宋" w:eastAsia="仿宋" w:cs="仿宋"/>
                <w:color w:val="000000"/>
                <w:sz w:val="24"/>
              </w:rPr>
            </w:pPr>
            <w:r>
              <w:rPr>
                <w:rFonts w:hint="eastAsia" w:ascii="仿宋" w:hAnsi="仿宋" w:eastAsia="仿宋" w:cs="仿宋"/>
                <w:color w:val="000000"/>
                <w:sz w:val="24"/>
              </w:rPr>
              <w:t>电源线</w:t>
            </w:r>
          </w:p>
        </w:tc>
        <w:tc>
          <w:tcPr>
            <w:tcW w:w="4490" w:type="dxa"/>
            <w:noWrap w:val="0"/>
            <w:vAlign w:val="top"/>
          </w:tcPr>
          <w:p>
            <w:pPr>
              <w:spacing w:line="440" w:lineRule="exact"/>
              <w:rPr>
                <w:rFonts w:ascii="仿宋" w:hAnsi="仿宋" w:eastAsia="仿宋" w:cs="仿宋"/>
                <w:color w:val="000000"/>
                <w:sz w:val="24"/>
              </w:rPr>
            </w:pPr>
            <w:r>
              <w:rPr>
                <w:rFonts w:hint="eastAsia" w:ascii="仿宋" w:hAnsi="仿宋" w:eastAsia="仿宋" w:cs="仿宋"/>
                <w:color w:val="000000"/>
                <w:sz w:val="24"/>
              </w:rPr>
              <w:t>/</w:t>
            </w:r>
          </w:p>
        </w:tc>
        <w:tc>
          <w:tcPr>
            <w:tcW w:w="969" w:type="dxa"/>
            <w:noWrap w:val="0"/>
            <w:vAlign w:val="top"/>
          </w:tcPr>
          <w:p>
            <w:pPr>
              <w:spacing w:line="440" w:lineRule="exact"/>
              <w:jc w:val="center"/>
              <w:rPr>
                <w:rFonts w:hint="eastAsia" w:ascii="仿宋" w:hAnsi="仿宋" w:eastAsia="仿宋" w:cs="仿宋"/>
                <w:bCs/>
                <w:color w:val="000000"/>
                <w:sz w:val="24"/>
              </w:rPr>
            </w:pPr>
            <w:r>
              <w:rPr>
                <w:rFonts w:hint="eastAsia" w:ascii="仿宋" w:hAnsi="仿宋" w:eastAsia="仿宋" w:cs="仿宋"/>
                <w:bCs/>
                <w:color w:val="000000"/>
                <w:sz w:val="24"/>
              </w:rPr>
              <w:t>1</w:t>
            </w:r>
          </w:p>
        </w:tc>
        <w:tc>
          <w:tcPr>
            <w:tcW w:w="920" w:type="dxa"/>
            <w:noWrap w:val="0"/>
            <w:vAlign w:val="top"/>
          </w:tcPr>
          <w:p>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1207" w:type="dxa"/>
            <w:noWrap w:val="0"/>
            <w:vAlign w:val="top"/>
          </w:tcPr>
          <w:p>
            <w:pPr>
              <w:spacing w:line="440" w:lineRule="exact"/>
              <w:rPr>
                <w:rFonts w:ascii="仿宋" w:hAnsi="仿宋" w:eastAsia="仿宋" w:cs="仿宋"/>
                <w:color w:val="000000"/>
                <w:sz w:val="24"/>
              </w:rPr>
            </w:pPr>
            <w:r>
              <w:rPr>
                <w:rFonts w:hint="eastAsia" w:ascii="仿宋" w:hAnsi="仿宋" w:eastAsia="仿宋" w:cs="仿宋"/>
                <w:color w:val="000000"/>
                <w:sz w:val="24"/>
              </w:rPr>
              <w:t>系统软件</w:t>
            </w:r>
          </w:p>
        </w:tc>
        <w:tc>
          <w:tcPr>
            <w:tcW w:w="4490" w:type="dxa"/>
            <w:noWrap w:val="0"/>
            <w:vAlign w:val="top"/>
          </w:tcPr>
          <w:p>
            <w:pPr>
              <w:spacing w:line="440" w:lineRule="exact"/>
              <w:rPr>
                <w:rFonts w:ascii="仿宋" w:hAnsi="仿宋" w:eastAsia="仿宋" w:cs="仿宋"/>
                <w:color w:val="000000"/>
                <w:sz w:val="24"/>
              </w:rPr>
            </w:pPr>
            <w:r>
              <w:rPr>
                <w:rFonts w:hint="eastAsia" w:ascii="仿宋" w:hAnsi="仿宋" w:eastAsia="仿宋" w:cs="仿宋"/>
                <w:color w:val="000000"/>
                <w:sz w:val="24"/>
              </w:rPr>
              <w:t>体质辨识健康管理系统软件</w:t>
            </w:r>
          </w:p>
        </w:tc>
        <w:tc>
          <w:tcPr>
            <w:tcW w:w="969" w:type="dxa"/>
            <w:noWrap w:val="0"/>
            <w:vAlign w:val="top"/>
          </w:tcPr>
          <w:p>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1</w:t>
            </w:r>
          </w:p>
        </w:tc>
        <w:tc>
          <w:tcPr>
            <w:tcW w:w="920" w:type="dxa"/>
            <w:noWrap w:val="0"/>
            <w:vAlign w:val="top"/>
          </w:tcPr>
          <w:p>
            <w:pPr>
              <w:spacing w:line="440" w:lineRule="exact"/>
              <w:jc w:val="center"/>
              <w:rPr>
                <w:rFonts w:hint="eastAsia" w:ascii="仿宋" w:hAnsi="仿宋" w:eastAsia="仿宋" w:cs="仿宋"/>
                <w:bCs/>
                <w:color w:val="000000"/>
                <w:sz w:val="24"/>
              </w:rPr>
            </w:pPr>
            <w:r>
              <w:rPr>
                <w:rFonts w:hint="eastAsia" w:ascii="仿宋" w:hAnsi="仿宋" w:eastAsia="仿宋" w:cs="仿宋"/>
                <w:bCs/>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4</w:t>
            </w:r>
          </w:p>
        </w:tc>
        <w:tc>
          <w:tcPr>
            <w:tcW w:w="1207" w:type="dxa"/>
            <w:noWrap w:val="0"/>
            <w:vAlign w:val="top"/>
          </w:tcPr>
          <w:p>
            <w:pPr>
              <w:spacing w:line="440" w:lineRule="exact"/>
              <w:rPr>
                <w:rFonts w:ascii="仿宋" w:hAnsi="仿宋" w:eastAsia="仿宋" w:cs="仿宋"/>
                <w:color w:val="000000"/>
                <w:sz w:val="24"/>
              </w:rPr>
            </w:pPr>
            <w:r>
              <w:rPr>
                <w:rFonts w:hint="eastAsia" w:ascii="仿宋" w:hAnsi="仿宋" w:eastAsia="仿宋" w:cs="仿宋"/>
                <w:color w:val="000000"/>
                <w:sz w:val="24"/>
              </w:rPr>
              <w:t>公司资质</w:t>
            </w:r>
          </w:p>
        </w:tc>
        <w:tc>
          <w:tcPr>
            <w:tcW w:w="4490" w:type="dxa"/>
            <w:noWrap w:val="0"/>
            <w:vAlign w:val="top"/>
          </w:tcPr>
          <w:p>
            <w:pPr>
              <w:spacing w:line="440" w:lineRule="exact"/>
              <w:rPr>
                <w:rFonts w:ascii="仿宋" w:hAnsi="仿宋" w:eastAsia="仿宋" w:cs="仿宋"/>
                <w:color w:val="000000"/>
                <w:sz w:val="24"/>
              </w:rPr>
            </w:pPr>
            <w:r>
              <w:rPr>
                <w:rFonts w:hint="eastAsia" w:ascii="仿宋" w:hAnsi="仿宋" w:eastAsia="仿宋" w:cs="仿宋"/>
                <w:color w:val="000000"/>
                <w:sz w:val="24"/>
              </w:rPr>
              <w:t>产品相关资质</w:t>
            </w:r>
          </w:p>
        </w:tc>
        <w:tc>
          <w:tcPr>
            <w:tcW w:w="969" w:type="dxa"/>
            <w:noWrap w:val="0"/>
            <w:vAlign w:val="top"/>
          </w:tcPr>
          <w:p>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1</w:t>
            </w:r>
          </w:p>
        </w:tc>
        <w:tc>
          <w:tcPr>
            <w:tcW w:w="920" w:type="dxa"/>
            <w:noWrap w:val="0"/>
            <w:vAlign w:val="top"/>
          </w:tcPr>
          <w:p>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5</w:t>
            </w:r>
          </w:p>
        </w:tc>
        <w:tc>
          <w:tcPr>
            <w:tcW w:w="1207" w:type="dxa"/>
            <w:noWrap w:val="0"/>
            <w:vAlign w:val="top"/>
          </w:tcPr>
          <w:p>
            <w:pPr>
              <w:spacing w:line="440" w:lineRule="exact"/>
              <w:rPr>
                <w:rFonts w:ascii="仿宋" w:hAnsi="仿宋" w:eastAsia="仿宋" w:cs="仿宋"/>
                <w:color w:val="000000"/>
                <w:sz w:val="24"/>
              </w:rPr>
            </w:pPr>
            <w:r>
              <w:rPr>
                <w:rFonts w:hint="eastAsia" w:ascii="仿宋" w:hAnsi="仿宋" w:eastAsia="仿宋" w:cs="仿宋"/>
                <w:color w:val="000000"/>
                <w:sz w:val="24"/>
              </w:rPr>
              <w:t>加密狗</w:t>
            </w:r>
          </w:p>
        </w:tc>
        <w:tc>
          <w:tcPr>
            <w:tcW w:w="4490" w:type="dxa"/>
            <w:noWrap w:val="0"/>
            <w:vAlign w:val="top"/>
          </w:tcPr>
          <w:p>
            <w:pPr>
              <w:spacing w:line="440" w:lineRule="exact"/>
              <w:rPr>
                <w:rFonts w:ascii="仿宋" w:hAnsi="仿宋" w:eastAsia="仿宋" w:cs="仿宋"/>
                <w:color w:val="000000"/>
                <w:sz w:val="24"/>
              </w:rPr>
            </w:pPr>
            <w:r>
              <w:rPr>
                <w:rFonts w:hint="eastAsia" w:ascii="仿宋" w:hAnsi="仿宋" w:eastAsia="仿宋" w:cs="仿宋"/>
                <w:color w:val="000000"/>
                <w:sz w:val="24"/>
              </w:rPr>
              <w:t>解锁软件</w:t>
            </w:r>
          </w:p>
        </w:tc>
        <w:tc>
          <w:tcPr>
            <w:tcW w:w="969" w:type="dxa"/>
            <w:noWrap w:val="0"/>
            <w:vAlign w:val="top"/>
          </w:tcPr>
          <w:p>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1</w:t>
            </w:r>
          </w:p>
        </w:tc>
        <w:tc>
          <w:tcPr>
            <w:tcW w:w="920" w:type="dxa"/>
            <w:noWrap w:val="0"/>
            <w:vAlign w:val="top"/>
          </w:tcPr>
          <w:p>
            <w:pPr>
              <w:spacing w:line="440" w:lineRule="exact"/>
              <w:jc w:val="center"/>
              <w:rPr>
                <w:rFonts w:hint="eastAsia" w:ascii="仿宋" w:hAnsi="仿宋" w:eastAsia="仿宋" w:cs="仿宋"/>
                <w:bCs/>
                <w:color w:val="000000"/>
                <w:sz w:val="24"/>
              </w:rPr>
            </w:pPr>
            <w:r>
              <w:rPr>
                <w:rFonts w:hint="eastAsia" w:ascii="仿宋" w:hAnsi="仿宋" w:eastAsia="仿宋" w:cs="仿宋"/>
                <w:bCs/>
                <w:color w:val="00000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6</w:t>
            </w:r>
          </w:p>
        </w:tc>
        <w:tc>
          <w:tcPr>
            <w:tcW w:w="1207" w:type="dxa"/>
            <w:noWrap w:val="0"/>
            <w:vAlign w:val="top"/>
          </w:tcPr>
          <w:p>
            <w:pPr>
              <w:spacing w:line="440" w:lineRule="exact"/>
              <w:rPr>
                <w:rFonts w:ascii="仿宋" w:hAnsi="仿宋" w:eastAsia="仿宋" w:cs="仿宋"/>
                <w:color w:val="000000"/>
                <w:sz w:val="24"/>
              </w:rPr>
            </w:pPr>
            <w:r>
              <w:rPr>
                <w:rFonts w:hint="eastAsia" w:ascii="仿宋" w:hAnsi="仿宋" w:eastAsia="仿宋" w:cs="仿宋"/>
                <w:color w:val="000000"/>
                <w:sz w:val="24"/>
              </w:rPr>
              <w:t>说明书</w:t>
            </w:r>
          </w:p>
        </w:tc>
        <w:tc>
          <w:tcPr>
            <w:tcW w:w="4490" w:type="dxa"/>
            <w:noWrap w:val="0"/>
            <w:vAlign w:val="top"/>
          </w:tcPr>
          <w:p>
            <w:pPr>
              <w:spacing w:line="440" w:lineRule="exact"/>
              <w:rPr>
                <w:rFonts w:hint="eastAsia" w:ascii="仿宋" w:hAnsi="仿宋" w:eastAsia="仿宋" w:cs="仿宋"/>
                <w:color w:val="000000"/>
                <w:sz w:val="24"/>
              </w:rPr>
            </w:pPr>
            <w:r>
              <w:rPr>
                <w:rFonts w:hint="eastAsia" w:ascii="仿宋" w:hAnsi="仿宋" w:eastAsia="仿宋" w:cs="仿宋"/>
                <w:color w:val="000000"/>
                <w:sz w:val="24"/>
              </w:rPr>
              <w:t>/</w:t>
            </w:r>
          </w:p>
        </w:tc>
        <w:tc>
          <w:tcPr>
            <w:tcW w:w="969" w:type="dxa"/>
            <w:noWrap w:val="0"/>
            <w:vAlign w:val="top"/>
          </w:tcPr>
          <w:p>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1</w:t>
            </w:r>
          </w:p>
        </w:tc>
        <w:tc>
          <w:tcPr>
            <w:tcW w:w="920" w:type="dxa"/>
            <w:noWrap w:val="0"/>
            <w:vAlign w:val="top"/>
          </w:tcPr>
          <w:p>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本</w:t>
            </w:r>
          </w:p>
        </w:tc>
      </w:tr>
    </w:tbl>
    <w:p>
      <w:pPr>
        <w:spacing w:line="440" w:lineRule="exact"/>
        <w:rPr>
          <w:rFonts w:ascii="仿宋" w:hAnsi="仿宋" w:eastAsia="仿宋" w:cs="仿宋"/>
          <w:b/>
          <w:color w:val="000000"/>
          <w:sz w:val="24"/>
        </w:rPr>
      </w:pPr>
    </w:p>
    <w:p>
      <w:pPr>
        <w:pStyle w:val="12"/>
        <w:numPr>
          <w:ilvl w:val="0"/>
          <w:numId w:val="6"/>
        </w:numPr>
        <w:spacing w:line="440" w:lineRule="exact"/>
        <w:ind w:firstLineChars="0"/>
        <w:rPr>
          <w:rFonts w:ascii="仿宋" w:hAnsi="仿宋" w:eastAsia="仿宋" w:cs="仿宋"/>
          <w:b/>
          <w:color w:val="000000"/>
          <w:sz w:val="24"/>
        </w:rPr>
      </w:pPr>
      <w:r>
        <w:rPr>
          <w:rFonts w:hint="eastAsia" w:ascii="仿宋" w:hAnsi="仿宋" w:eastAsia="仿宋" w:cs="仿宋"/>
          <w:b/>
          <w:color w:val="000000"/>
          <w:sz w:val="24"/>
        </w:rPr>
        <w:t>商务要求：</w:t>
      </w:r>
    </w:p>
    <w:p>
      <w:pPr>
        <w:spacing w:line="440" w:lineRule="exact"/>
        <w:rPr>
          <w:rFonts w:ascii="仿宋" w:hAnsi="仿宋" w:eastAsia="仿宋" w:cs="仿宋"/>
          <w:b/>
          <w:color w:val="000000"/>
          <w:sz w:val="24"/>
        </w:rPr>
      </w:pPr>
      <w:r>
        <w:rPr>
          <w:rFonts w:hint="eastAsia" w:ascii="仿宋" w:hAnsi="仿宋" w:eastAsia="仿宋" w:cs="仿宋"/>
          <w:b/>
          <w:color w:val="000000"/>
          <w:sz w:val="24"/>
        </w:rPr>
        <w:t>1.交货及安装、验收要求</w:t>
      </w:r>
    </w:p>
    <w:p>
      <w:pPr>
        <w:spacing w:line="440" w:lineRule="exact"/>
        <w:rPr>
          <w:rFonts w:ascii="仿宋" w:hAnsi="仿宋" w:eastAsia="仿宋" w:cs="仿宋"/>
          <w:color w:val="000000"/>
          <w:sz w:val="24"/>
        </w:rPr>
      </w:pPr>
      <w:r>
        <w:rPr>
          <w:rFonts w:hint="eastAsia" w:ascii="仿宋" w:hAnsi="仿宋" w:eastAsia="仿宋" w:cs="仿宋"/>
          <w:color w:val="000000"/>
          <w:sz w:val="24"/>
        </w:rPr>
        <w:t>1.1交货地点：采购人指定地点。</w:t>
      </w:r>
    </w:p>
    <w:p>
      <w:pPr>
        <w:spacing w:line="440" w:lineRule="exact"/>
        <w:rPr>
          <w:rFonts w:hint="eastAsia" w:ascii="仿宋" w:hAnsi="仿宋" w:eastAsia="仿宋" w:cs="仿宋"/>
          <w:color w:val="000000"/>
          <w:sz w:val="24"/>
          <w:highlight w:val="none"/>
        </w:rPr>
      </w:pPr>
      <w:r>
        <w:rPr>
          <w:rFonts w:hint="eastAsia" w:ascii="仿宋" w:hAnsi="仿宋" w:eastAsia="仿宋" w:cs="仿宋"/>
          <w:color w:val="000000"/>
          <w:sz w:val="24"/>
        </w:rPr>
        <w:t>1.2交货期：中标供应商应当在中标通知书发出之日起30日内按招标文件及中标人的投标文件确定的事项与采购人签订合同，签订合同</w:t>
      </w:r>
      <w:r>
        <w:rPr>
          <w:rFonts w:hint="eastAsia" w:ascii="仿宋" w:hAnsi="仿宋" w:eastAsia="仿宋" w:cs="仿宋"/>
          <w:color w:val="000000"/>
          <w:sz w:val="24"/>
          <w:highlight w:val="none"/>
        </w:rPr>
        <w:t>后</w:t>
      </w:r>
      <w:r>
        <w:rPr>
          <w:rFonts w:hint="eastAsia" w:ascii="仿宋" w:hAnsi="仿宋" w:eastAsia="仿宋" w:cs="仿宋"/>
          <w:color w:val="000000"/>
          <w:sz w:val="24"/>
          <w:highlight w:val="none"/>
          <w:u w:val="single"/>
        </w:rPr>
        <w:t xml:space="preserve">  30  </w:t>
      </w:r>
      <w:r>
        <w:rPr>
          <w:rFonts w:hint="eastAsia" w:ascii="仿宋" w:hAnsi="仿宋" w:eastAsia="仿宋" w:cs="仿宋"/>
          <w:color w:val="000000"/>
          <w:sz w:val="24"/>
          <w:highlight w:val="none"/>
        </w:rPr>
        <w:t>日内完成设备的安装调试。</w:t>
      </w:r>
    </w:p>
    <w:p>
      <w:pPr>
        <w:spacing w:line="44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1.3合同设备交付时中标供应商应提供合同设备真实有效的生产日期，且保证合同设备的生产日期距交付时的时间差国产设备不超过</w:t>
      </w:r>
      <w:r>
        <w:rPr>
          <w:rFonts w:hint="eastAsia" w:ascii="仿宋" w:hAnsi="仿宋" w:eastAsia="仿宋" w:cs="仿宋"/>
          <w:color w:val="000000"/>
          <w:sz w:val="24"/>
          <w:highlight w:val="none"/>
          <w:u w:val="single"/>
        </w:rPr>
        <w:t>3</w:t>
      </w:r>
      <w:r>
        <w:rPr>
          <w:rFonts w:hint="eastAsia" w:ascii="仿宋" w:hAnsi="仿宋" w:eastAsia="仿宋" w:cs="仿宋"/>
          <w:color w:val="000000"/>
          <w:sz w:val="24"/>
          <w:highlight w:val="none"/>
        </w:rPr>
        <w:t>个月，进口设备不超过</w:t>
      </w:r>
      <w:r>
        <w:rPr>
          <w:rFonts w:hint="eastAsia" w:ascii="仿宋" w:hAnsi="仿宋" w:eastAsia="仿宋" w:cs="仿宋"/>
          <w:color w:val="000000"/>
          <w:sz w:val="24"/>
          <w:highlight w:val="none"/>
          <w:u w:val="single"/>
        </w:rPr>
        <w:t>12</w:t>
      </w:r>
      <w:r>
        <w:rPr>
          <w:rFonts w:hint="eastAsia" w:ascii="仿宋" w:hAnsi="仿宋" w:eastAsia="仿宋" w:cs="仿宋"/>
          <w:color w:val="000000"/>
          <w:sz w:val="24"/>
          <w:highlight w:val="none"/>
        </w:rPr>
        <w:t>个月。</w:t>
      </w:r>
    </w:p>
    <w:p>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1.4中标供应商须保证中标后所提供的设备为原装、全新合格的产品。</w:t>
      </w:r>
    </w:p>
    <w:p>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1.5中标供应商负责派技术人员到现场进行安装调试，直至验收合格，安装调试所需费用应包含在投标总报价内；同时提供培训服务，必须保证需求科室操作人员融会贯通，培训所需费用全部包含在总报价内。</w:t>
      </w:r>
    </w:p>
    <w:p>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1.6验收方式：按《小榄镇公立医院政府采购和验收办法》。</w:t>
      </w:r>
    </w:p>
    <w:p>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★1.7投标供应商须要在投标文件做出具承诺函，该承诺函包括但不限于以下内容:</w:t>
      </w:r>
    </w:p>
    <w:p>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承诺中标后须在中标公告发布之日起五个工作日内提供设备制造厂商开具并盖章的合法有效的授权函原件（盖鲜章）、售后服务承诺函原件（盖鲜章）。</w:t>
      </w:r>
    </w:p>
    <w:p>
      <w:pPr>
        <w:spacing w:line="440" w:lineRule="exact"/>
        <w:rPr>
          <w:rFonts w:ascii="仿宋" w:hAnsi="仿宋" w:eastAsia="仿宋" w:cs="仿宋"/>
          <w:b/>
          <w:color w:val="000000"/>
          <w:sz w:val="24"/>
          <w:highlight w:val="none"/>
        </w:rPr>
      </w:pPr>
      <w:r>
        <w:rPr>
          <w:rFonts w:hint="eastAsia" w:ascii="仿宋" w:hAnsi="仿宋" w:eastAsia="仿宋" w:cs="仿宋"/>
          <w:b/>
          <w:color w:val="000000"/>
          <w:sz w:val="24"/>
          <w:highlight w:val="none"/>
        </w:rPr>
        <w:t>2.售后服务要求</w:t>
      </w:r>
    </w:p>
    <w:p>
      <w:pPr>
        <w:tabs>
          <w:tab w:val="left" w:pos="420"/>
        </w:tabs>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2.1中标供应商必须在中国境内有售后服务机构，并附有售后服务能力说明。</w:t>
      </w:r>
    </w:p>
    <w:p>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★2.2中标供应商须提供设备原厂质保（设备原厂质量保修范围和保修期）至少为</w:t>
      </w:r>
      <w:r>
        <w:rPr>
          <w:rFonts w:hint="eastAsia" w:ascii="仿宋" w:hAnsi="仿宋" w:eastAsia="仿宋" w:cs="仿宋"/>
          <w:color w:val="000000"/>
          <w:sz w:val="24"/>
          <w:highlight w:val="none"/>
          <w:u w:val="single"/>
        </w:rPr>
        <w:t xml:space="preserve">  1  </w:t>
      </w:r>
      <w:r>
        <w:rPr>
          <w:rFonts w:hint="eastAsia" w:ascii="仿宋" w:hAnsi="仿宋" w:eastAsia="仿宋" w:cs="仿宋"/>
          <w:color w:val="000000"/>
          <w:sz w:val="24"/>
          <w:highlight w:val="none"/>
        </w:rPr>
        <w:t>年。</w:t>
      </w:r>
    </w:p>
    <w:p>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2.3在售后期内，中标供应商在接到用户的维修通知，响应时间为半小时内，工程师到达现场时间为4小时内，排除故障时限为到达现场后8小时内。</w:t>
      </w:r>
    </w:p>
    <w:p>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2.4如果产品故障在检修12小时后仍无法排除，中标供应商应在24小时内提供不低于故障产品规格型号档次的备用产品供采购人使用，直至故障产品修复。</w:t>
      </w:r>
    </w:p>
    <w:p>
      <w:pPr>
        <w:spacing w:line="440" w:lineRule="exact"/>
        <w:rPr>
          <w:rFonts w:ascii="仿宋" w:hAnsi="仿宋" w:eastAsia="仿宋" w:cs="仿宋"/>
          <w:b/>
          <w:color w:val="000000"/>
          <w:sz w:val="24"/>
          <w:highlight w:val="none"/>
        </w:rPr>
      </w:pPr>
      <w:r>
        <w:rPr>
          <w:rFonts w:hint="eastAsia" w:ascii="仿宋" w:hAnsi="仿宋" w:eastAsia="仿宋" w:cs="仿宋"/>
          <w:b/>
          <w:color w:val="000000"/>
          <w:sz w:val="24"/>
          <w:highlight w:val="none"/>
        </w:rPr>
        <w:t>3.付款方式</w:t>
      </w:r>
    </w:p>
    <w:p>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★3.1本合同的每笔款项以人民币转账方式支付，合同设备到采购人指定地点交付并完成安装，验收合格后，中标单位凭：</w:t>
      </w:r>
    </w:p>
    <w:p>
      <w:pPr>
        <w:spacing w:line="44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（1）合同；</w:t>
      </w:r>
    </w:p>
    <w:p>
      <w:pPr>
        <w:spacing w:line="44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（2）验收调试合格报告（加盖采购人公章）；</w:t>
      </w:r>
    </w:p>
    <w:p>
      <w:pPr>
        <w:spacing w:line="44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（3）中标供应商开具的正式发票（加盖发票专用章）。</w:t>
      </w:r>
    </w:p>
    <w:p>
      <w:pPr>
        <w:spacing w:line="440" w:lineRule="exact"/>
        <w:rPr>
          <w:rFonts w:hint="eastAsia" w:ascii="仿宋" w:hAnsi="仿宋" w:eastAsia="仿宋" w:cs="仿宋"/>
          <w:sz w:val="24"/>
          <w:highlight w:val="none"/>
        </w:rPr>
      </w:pPr>
      <w:r>
        <w:rPr>
          <w:rFonts w:hint="eastAsia" w:ascii="仿宋" w:hAnsi="仿宋" w:eastAsia="仿宋" w:cs="仿宋"/>
          <w:color w:val="000000"/>
          <w:sz w:val="24"/>
          <w:highlight w:val="none"/>
        </w:rPr>
        <w:t>★3.2</w:t>
      </w:r>
      <w:r>
        <w:rPr>
          <w:rFonts w:hint="eastAsia" w:ascii="仿宋" w:hAnsi="仿宋" w:eastAsia="仿宋" w:cs="仿宋"/>
          <w:sz w:val="24"/>
          <w:highlight w:val="none"/>
        </w:rPr>
        <w:t>具体付款方式：本合同分二期支付，第一期：合同签订后，乙方按合同协议时间提供货物，并经协议规定的验收人员书面确认验收合格后，开具全额发票，甲方确认无误后一个月内支付合同总金额的95%的款项。第二期：合同总金额的5%的款项在</w:t>
      </w:r>
      <w:r>
        <w:rPr>
          <w:rFonts w:hint="eastAsia" w:ascii="仿宋" w:hAnsi="仿宋" w:eastAsia="仿宋" w:cs="仿宋"/>
          <w:sz w:val="24"/>
          <w:highlight w:val="none"/>
          <w:u w:val="single"/>
        </w:rPr>
        <w:t>质保期</w:t>
      </w:r>
      <w:r>
        <w:rPr>
          <w:rFonts w:hint="eastAsia" w:ascii="仿宋" w:hAnsi="仿宋" w:eastAsia="仿宋" w:cs="仿宋"/>
          <w:sz w:val="24"/>
          <w:highlight w:val="none"/>
        </w:rPr>
        <w:t>后无息支付。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F69365D3"/>
    <w:multiLevelType w:val="singleLevel"/>
    <w:tmpl w:val="F69365D3"/>
    <w:lvl w:ilvl="0" w:tentative="0">
      <w:start w:val="1"/>
      <w:numFmt w:val="decimalEnclosedCircleChinese"/>
      <w:suff w:val="nothing"/>
      <w:lvlText w:val="%1　"/>
      <w:lvlJc w:val="left"/>
      <w:pPr>
        <w:ind w:left="0" w:firstLine="400"/>
      </w:pPr>
      <w:rPr>
        <w:rFonts w:hint="eastAsia"/>
      </w:rPr>
    </w:lvl>
  </w:abstractNum>
  <w:abstractNum w:abstractNumId="2">
    <w:nsid w:val="18FE7C1D"/>
    <w:multiLevelType w:val="singleLevel"/>
    <w:tmpl w:val="18FE7C1D"/>
    <w:lvl w:ilvl="0" w:tentative="0">
      <w:start w:val="1"/>
      <w:numFmt w:val="decimal"/>
      <w:lvlText w:val="%1."/>
      <w:lvlJc w:val="left"/>
      <w:pPr>
        <w:tabs>
          <w:tab w:val="left" w:pos="312"/>
        </w:tabs>
      </w:pPr>
    </w:lvl>
  </w:abstractNum>
  <w:abstractNum w:abstractNumId="3">
    <w:nsid w:val="1E7E8738"/>
    <w:multiLevelType w:val="singleLevel"/>
    <w:tmpl w:val="1E7E8738"/>
    <w:lvl w:ilvl="0" w:tentative="0">
      <w:start w:val="1"/>
      <w:numFmt w:val="chineseCounting"/>
      <w:suff w:val="nothing"/>
      <w:lvlText w:val="%1、"/>
      <w:lvlJc w:val="left"/>
      <w:rPr>
        <w:rFonts w:hint="eastAsia"/>
      </w:rPr>
    </w:lvl>
  </w:abstractNum>
  <w:abstractNum w:abstractNumId="4">
    <w:nsid w:val="3CC1C2D7"/>
    <w:multiLevelType w:val="singleLevel"/>
    <w:tmpl w:val="3CC1C2D7"/>
    <w:lvl w:ilvl="0" w:tentative="0">
      <w:start w:val="1"/>
      <w:numFmt w:val="chineseCounting"/>
      <w:suff w:val="nothing"/>
      <w:lvlText w:val="%1、"/>
      <w:lvlJc w:val="left"/>
      <w:rPr>
        <w:rFonts w:hint="eastAsia"/>
      </w:rPr>
    </w:lvl>
  </w:abstractNum>
  <w:abstractNum w:abstractNumId="5">
    <w:nsid w:val="525B4617"/>
    <w:multiLevelType w:val="multilevel"/>
    <w:tmpl w:val="525B4617"/>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6E770E0"/>
    <w:rsid w:val="28BF1285"/>
    <w:rsid w:val="2A885D27"/>
    <w:rsid w:val="2AA33888"/>
    <w:rsid w:val="2D5D7614"/>
    <w:rsid w:val="2D8169D8"/>
    <w:rsid w:val="2DBE4A06"/>
    <w:rsid w:val="2E712EDD"/>
    <w:rsid w:val="2EB14F93"/>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AE056F"/>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toc 5"/>
    <w:basedOn w:val="1"/>
    <w:next w:val="1"/>
    <w:qFormat/>
    <w:uiPriority w:val="0"/>
    <w:pPr>
      <w:ind w:left="1680" w:leftChars="800"/>
    </w:pPr>
  </w:style>
  <w:style w:type="paragraph" w:styleId="5">
    <w:name w:val="Normal Indent"/>
    <w:basedOn w:val="1"/>
    <w:autoRedefine/>
    <w:qFormat/>
    <w:uiPriority w:val="0"/>
    <w:pPr>
      <w:spacing w:line="360" w:lineRule="auto"/>
      <w:ind w:firstLine="420"/>
    </w:pPr>
    <w:rPr>
      <w:rFonts w:ascii="宋体"/>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autoRedefine/>
    <w:semiHidden/>
    <w:unhideWhenUsed/>
    <w:qFormat/>
    <w:uiPriority w:val="99"/>
    <w:pPr>
      <w:spacing w:after="120" w:line="480" w:lineRule="auto"/>
    </w:pPr>
  </w:style>
  <w:style w:type="table" w:styleId="10">
    <w:name w:val="Table Grid"/>
    <w:basedOn w:val="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autoRedefine/>
    <w:qFormat/>
    <w:uiPriority w:val="34"/>
    <w:pPr>
      <w:ind w:firstLine="420" w:firstLineChars="200"/>
    </w:pPr>
  </w:style>
  <w:style w:type="character" w:customStyle="1" w:styleId="13">
    <w:name w:val="Anrede1IhrZeichen"/>
    <w:basedOn w:val="11"/>
    <w:autoRedefine/>
    <w:qFormat/>
    <w:uiPriority w:val="0"/>
    <w:rPr>
      <w:rFonts w:ascii="Arial" w:hAnsi="Arial"/>
      <w:sz w:val="20"/>
    </w:rPr>
  </w:style>
  <w:style w:type="paragraph" w:customStyle="1" w:styleId="14">
    <w:name w:val="H-TextFormat"/>
    <w:autoRedefine/>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7</Pages>
  <Words>631</Words>
  <Characters>723</Characters>
  <Lines>5</Lines>
  <Paragraphs>1</Paragraphs>
  <TotalTime>2</TotalTime>
  <ScaleCrop>false</ScaleCrop>
  <LinksUpToDate>false</LinksUpToDate>
  <CharactersWithSpaces>807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Paula</cp:lastModifiedBy>
  <dcterms:modified xsi:type="dcterms:W3CDTF">2024-05-09T07:17:01Z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9EDAA96C40204CB9B4B1045A0C1E4475_13</vt:lpwstr>
  </property>
</Properties>
</file>