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w:t>
      </w:r>
      <w:r>
        <w:rPr>
          <w:rFonts w:hint="eastAsia" w:ascii="仿宋" w:hAnsi="仿宋" w:eastAsia="仿宋" w:cs="仿宋"/>
          <w:color w:val="000000"/>
          <w:sz w:val="24"/>
          <w:lang w:eastAsia="zh-CN"/>
        </w:rPr>
        <w:t>，</w:t>
      </w:r>
      <w:r>
        <w:rPr>
          <w:rFonts w:hint="eastAsia" w:ascii="仿宋" w:hAnsi="仿宋" w:eastAsia="仿宋" w:cs="仿宋"/>
          <w:color w:val="000000"/>
          <w:sz w:val="24"/>
        </w:rPr>
        <w:t>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w:t>
      </w:r>
      <w:r>
        <w:rPr>
          <w:rFonts w:hint="eastAsia" w:ascii="仿宋" w:hAnsi="仿宋" w:eastAsia="仿宋" w:cs="仿宋"/>
          <w:color w:val="000000"/>
          <w:sz w:val="24"/>
          <w:lang w:val="en-US" w:eastAsia="zh-CN"/>
        </w:rPr>
        <w:t>投标，</w:t>
      </w:r>
      <w:r>
        <w:rPr>
          <w:rFonts w:hint="eastAsia" w:ascii="仿宋" w:hAnsi="仿宋" w:eastAsia="仿宋" w:cs="仿宋"/>
          <w:color w:val="000000"/>
          <w:sz w:val="24"/>
        </w:rPr>
        <w:t>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w:t>
      </w:r>
      <w:r>
        <w:rPr>
          <w:rFonts w:hint="eastAsia" w:ascii="仿宋" w:hAnsi="仿宋" w:eastAsia="仿宋" w:cs="仿宋"/>
          <w:color w:val="000000"/>
          <w:sz w:val="24"/>
          <w:lang w:val="en-US" w:eastAsia="zh-CN"/>
        </w:rPr>
        <w:t>项目</w:t>
      </w:r>
      <w:r>
        <w:rPr>
          <w:rFonts w:hint="eastAsia" w:ascii="仿宋" w:hAnsi="仿宋" w:eastAsia="仿宋" w:cs="仿宋"/>
          <w:color w:val="000000"/>
          <w:sz w:val="24"/>
        </w:rPr>
        <w:t>下的招标活动。</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5.★投标供应商应符合《医疗器械监督管理条例》规定，如投标供应商为生产厂家，还应该符合《医疗器械生产质量管理规范》规定，如投标供应商为</w:t>
      </w:r>
      <w:r>
        <w:rPr>
          <w:rFonts w:hint="eastAsia" w:ascii="仿宋" w:hAnsi="仿宋" w:eastAsia="仿宋" w:cs="仿宋"/>
          <w:color w:val="000000"/>
          <w:sz w:val="24"/>
          <w:highlight w:val="none"/>
          <w:lang w:val="en-US" w:eastAsia="zh-CN"/>
        </w:rPr>
        <w:t>经销商</w:t>
      </w:r>
      <w:r>
        <w:rPr>
          <w:rFonts w:hint="eastAsia" w:ascii="仿宋" w:hAnsi="仿宋" w:eastAsia="仿宋" w:cs="仿宋"/>
          <w:color w:val="000000"/>
          <w:sz w:val="24"/>
          <w:highlight w:val="none"/>
        </w:rPr>
        <w:t>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自动组织脱水机</w:t>
            </w:r>
          </w:p>
        </w:tc>
        <w:tc>
          <w:tcPr>
            <w:tcW w:w="226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病理科</w:t>
            </w:r>
          </w:p>
        </w:tc>
        <w:tc>
          <w:tcPr>
            <w:tcW w:w="2508" w:type="dxa"/>
            <w:noWrap w:val="0"/>
            <w:vAlign w:val="top"/>
          </w:tcPr>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1台</w:t>
            </w:r>
          </w:p>
        </w:tc>
      </w:tr>
    </w:tbl>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脱水机</w:t>
      </w:r>
    </w:p>
    <w:p>
      <w:pPr>
        <w:spacing w:line="440" w:lineRule="exact"/>
        <w:rPr>
          <w:rFonts w:ascii="仿宋" w:hAnsi="仿宋" w:eastAsia="仿宋" w:cs="仿宋"/>
          <w:b/>
          <w:color w:val="000000"/>
          <w:sz w:val="24"/>
        </w:rPr>
      </w:pPr>
      <w:r>
        <w:rPr>
          <w:rFonts w:hint="eastAsia" w:ascii="仿宋" w:hAnsi="仿宋" w:eastAsia="仿宋" w:cs="仿宋"/>
          <w:color w:val="000000"/>
          <w:sz w:val="24"/>
        </w:rPr>
        <w:t>用途</w:t>
      </w:r>
      <w:r>
        <w:rPr>
          <w:rFonts w:hint="eastAsia" w:ascii="仿宋" w:hAnsi="仿宋" w:eastAsia="仿宋" w:cs="仿宋"/>
          <w:color w:val="000000"/>
          <w:sz w:val="24"/>
          <w:highlight w:val="none"/>
        </w:rPr>
        <w:t>：主要用于对动物或人体标本的细胞进行固定、脱水、透明、浸蜡，以脱去组织的水分并以石蜡填充，以维持细胞原来的形态，便于进行后续的包埋、切片、染色、封片和镜下诊断。</w:t>
      </w:r>
      <w:bookmarkStart w:id="1" w:name="_GoBack"/>
      <w:bookmarkEnd w:id="1"/>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7599" w:type="dxa"/>
            <w:noWrap w:val="0"/>
            <w:vAlign w:val="top"/>
          </w:tcPr>
          <w:p>
            <w:pPr>
              <w:spacing w:line="4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7599" w:type="dxa"/>
            <w:noWrap w:val="0"/>
            <w:vAlign w:val="top"/>
          </w:tcPr>
          <w:p>
            <w:pPr>
              <w:spacing w:line="44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组织处理缸单缸组织处理数量：有序有间隔排列≥300个标准包埋盒。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7599"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处理缸和标本篮筐要求为金属材质；打开和关闭组织处理缸盖的所有开关要求均为机械锁。试剂缸要求自由抽出和推入，无需螺丝固定，无需借助任何工具拆装。石蜡缸要求为抽屉式，有2个隔热把手，可自由抽出和推入，无需借助任何工具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7599"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组织脱水缸：①试剂温度范围：环境温度及35～50℃可调；②石蜡温度范围：45～70℃可调，控温精度：±1℃。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7599"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每个脱水程序可编辑≥14个步骤，其中浸蜡次数≥4次。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7599" w:type="dxa"/>
            <w:noWrap w:val="0"/>
            <w:vAlign w:val="top"/>
          </w:tcPr>
          <w:p>
            <w:pPr>
              <w:spacing w:line="440" w:lineRule="exact"/>
              <w:rPr>
                <w:rFonts w:hint="eastAsia" w:ascii="仿宋" w:hAnsi="仿宋" w:eastAsia="仿宋" w:cs="仿宋"/>
                <w:color w:val="000000"/>
                <w:sz w:val="24"/>
                <w:highlight w:val="none"/>
              </w:rPr>
            </w:pPr>
            <w:bookmarkStart w:id="0" w:name="_Hlk143874489"/>
            <w:r>
              <w:rPr>
                <w:rFonts w:hint="eastAsia" w:ascii="仿宋" w:hAnsi="仿宋" w:eastAsia="仿宋" w:cs="仿宋"/>
                <w:color w:val="000000"/>
                <w:sz w:val="24"/>
                <w:highlight w:val="none"/>
              </w:rPr>
              <w:t>每个脱水步骤可分别编辑搅拌程序。搅拌方式：通过泵入和泵出试剂进行全量搅拌。选项：关闭、慢、快</w:t>
            </w:r>
            <w:bookmarkEnd w:id="0"/>
            <w:r>
              <w:rPr>
                <w:rFonts w:hint="eastAsia" w:ascii="仿宋" w:hAnsi="仿宋" w:eastAsia="仿宋" w:cs="仿宋"/>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7599"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清洗次数可自由设定,可自行编辑清洗程序。二甲苯清洗次数设置范围为5～15次，酒精清洗次数设置范围为3～15次。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7599" w:type="dxa"/>
            <w:noWrap w:val="0"/>
            <w:vAlign w:val="top"/>
          </w:tcPr>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智能断电计算功能。来电后，设备会自动根据断电时间及石蜡的温度变化两个指标自动判断待机时间，自动继续运行。</w:t>
            </w:r>
          </w:p>
        </w:tc>
      </w:tr>
    </w:tbl>
    <w:p>
      <w:pPr>
        <w:numPr>
          <w:ilvl w:val="0"/>
          <w:numId w:val="4"/>
        </w:numPr>
        <w:spacing w:line="44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01"/>
        <w:gridCol w:w="3123"/>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2501" w:type="dxa"/>
            <w:noWrap w:val="0"/>
            <w:vAlign w:val="top"/>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3123" w:type="dxa"/>
            <w:noWrap w:val="0"/>
            <w:vAlign w:val="top"/>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要求</w:t>
            </w:r>
          </w:p>
        </w:tc>
        <w:tc>
          <w:tcPr>
            <w:tcW w:w="969" w:type="dxa"/>
            <w:noWrap w:val="0"/>
            <w:vAlign w:val="top"/>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920" w:type="dxa"/>
            <w:noWrap w:val="0"/>
            <w:vAlign w:val="top"/>
          </w:tcPr>
          <w:p>
            <w:pPr>
              <w:spacing w:line="44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rPr>
            </w:pPr>
            <w:r>
              <w:rPr>
                <w:rFonts w:hint="eastAsia" w:ascii="仿宋" w:hAnsi="仿宋" w:eastAsia="仿宋" w:cs="仿宋"/>
                <w:sz w:val="24"/>
                <w:szCs w:val="24"/>
              </w:rPr>
              <w:t>1</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w:t>
            </w:r>
          </w:p>
        </w:tc>
        <w:tc>
          <w:tcPr>
            <w:tcW w:w="3123" w:type="dxa"/>
            <w:noWrap w:val="0"/>
            <w:vAlign w:val="top"/>
          </w:tcPr>
          <w:p>
            <w:pPr>
              <w:spacing w:line="440" w:lineRule="exact"/>
              <w:rPr>
                <w:rFonts w:hint="eastAsia" w:ascii="仿宋" w:hAnsi="仿宋" w:eastAsia="仿宋" w:cs="仿宋"/>
                <w:sz w:val="24"/>
                <w:szCs w:val="24"/>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noWrap w:val="0"/>
            <w:vAlign w:val="top"/>
          </w:tcPr>
          <w:p>
            <w:pPr>
              <w:spacing w:line="440" w:lineRule="exact"/>
              <w:rPr>
                <w:rFonts w:hint="eastAsia" w:ascii="仿宋" w:hAnsi="仿宋" w:eastAsia="仿宋" w:cs="仿宋"/>
                <w:sz w:val="24"/>
                <w:szCs w:val="24"/>
              </w:rPr>
            </w:pPr>
            <w:r>
              <w:rPr>
                <w:rFonts w:hint="eastAsia" w:ascii="仿宋" w:hAnsi="仿宋" w:eastAsia="仿宋" w:cs="仿宋"/>
                <w:sz w:val="24"/>
                <w:szCs w:val="24"/>
              </w:rPr>
              <w:t>2</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电源线</w:t>
            </w:r>
          </w:p>
        </w:tc>
        <w:tc>
          <w:tcPr>
            <w:tcW w:w="3123" w:type="dxa"/>
            <w:noWrap w:val="0"/>
            <w:vAlign w:val="top"/>
          </w:tcPr>
          <w:p>
            <w:pPr>
              <w:spacing w:line="440" w:lineRule="exact"/>
              <w:rPr>
                <w:rFonts w:hint="eastAsia" w:ascii="仿宋" w:hAnsi="仿宋" w:eastAsia="仿宋" w:cs="仿宋"/>
                <w:sz w:val="24"/>
                <w:szCs w:val="24"/>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09" w:type="dxa"/>
            <w:noWrap w:val="0"/>
            <w:vAlign w:val="top"/>
          </w:tcPr>
          <w:p>
            <w:pPr>
              <w:spacing w:line="440" w:lineRule="exact"/>
              <w:rPr>
                <w:rFonts w:hint="eastAsia" w:ascii="仿宋" w:hAnsi="仿宋" w:eastAsia="仿宋" w:cs="仿宋"/>
                <w:sz w:val="24"/>
                <w:szCs w:val="24"/>
              </w:rPr>
            </w:pPr>
            <w:r>
              <w:rPr>
                <w:rFonts w:hint="eastAsia" w:ascii="仿宋" w:hAnsi="仿宋" w:eastAsia="仿宋" w:cs="仿宋"/>
                <w:sz w:val="24"/>
                <w:szCs w:val="24"/>
              </w:rPr>
              <w:t>3</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GB" w:eastAsia="zh-CN"/>
              </w:rPr>
              <w:t>石蜡缸</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noWrap w:val="0"/>
            <w:vAlign w:val="top"/>
          </w:tcPr>
          <w:p>
            <w:pPr>
              <w:spacing w:line="440" w:lineRule="exact"/>
              <w:rPr>
                <w:rFonts w:hint="eastAsia" w:ascii="仿宋" w:hAnsi="仿宋" w:eastAsia="仿宋" w:cs="仿宋"/>
                <w:sz w:val="24"/>
                <w:szCs w:val="24"/>
              </w:rPr>
            </w:pPr>
            <w:r>
              <w:rPr>
                <w:rFonts w:hint="eastAsia" w:ascii="仿宋" w:hAnsi="仿宋" w:eastAsia="仿宋" w:cs="仿宋"/>
                <w:sz w:val="24"/>
                <w:szCs w:val="24"/>
              </w:rPr>
              <w:t>4</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GB" w:eastAsia="zh-CN"/>
              </w:rPr>
              <w:t>试剂缸</w:t>
            </w:r>
          </w:p>
        </w:tc>
        <w:tc>
          <w:tcPr>
            <w:tcW w:w="3123"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包括试剂缸，连接器，瓶盖</w:t>
            </w: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rPr>
            </w:pPr>
            <w:r>
              <w:rPr>
                <w:rFonts w:hint="eastAsia" w:ascii="仿宋" w:hAnsi="仿宋" w:eastAsia="仿宋" w:cs="仿宋"/>
                <w:sz w:val="24"/>
                <w:szCs w:val="24"/>
              </w:rPr>
              <w:t>5</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样本篮筐</w:t>
            </w:r>
          </w:p>
        </w:tc>
        <w:tc>
          <w:tcPr>
            <w:tcW w:w="3123"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150个标准包埋盒容量</w:t>
            </w: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篮筐托盘</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活性炭过滤器</w:t>
            </w:r>
            <w:r>
              <w:rPr>
                <w:rFonts w:hint="eastAsia" w:ascii="仿宋" w:hAnsi="仿宋" w:eastAsia="仿宋" w:cs="仿宋"/>
                <w:sz w:val="24"/>
                <w:szCs w:val="24"/>
              </w:rPr>
              <w:t>（2个装）</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活性炭过滤器基座</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试剂缸(清洗瓶)标签</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刮刀</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溢液托盘（石蜡）</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溢液托盘（试剂）</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501"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说明书</w:t>
            </w:r>
          </w:p>
        </w:tc>
        <w:tc>
          <w:tcPr>
            <w:tcW w:w="3123" w:type="dxa"/>
            <w:noWrap w:val="0"/>
            <w:vAlign w:val="top"/>
          </w:tcPr>
          <w:p>
            <w:pPr>
              <w:spacing w:line="440" w:lineRule="exact"/>
              <w:rPr>
                <w:rFonts w:hint="eastAsia" w:ascii="仿宋" w:hAnsi="仿宋" w:eastAsia="仿宋" w:cs="仿宋"/>
                <w:sz w:val="24"/>
                <w:szCs w:val="24"/>
                <w:lang w:val="en-US" w:eastAsia="zh-CN"/>
              </w:rPr>
            </w:pPr>
          </w:p>
        </w:tc>
        <w:tc>
          <w:tcPr>
            <w:tcW w:w="969"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20" w:type="dxa"/>
            <w:noWrap w:val="0"/>
            <w:vAlign w:val="top"/>
          </w:tcPr>
          <w:p>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w:t>
            </w:r>
          </w:p>
        </w:tc>
      </w:tr>
    </w:tbl>
    <w:p>
      <w:pPr>
        <w:pStyle w:val="12"/>
        <w:numPr>
          <w:ilvl w:val="0"/>
          <w:numId w:val="5"/>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w:t>
      </w:r>
      <w:r>
        <w:rPr>
          <w:rFonts w:hint="eastAsia" w:ascii="仿宋" w:hAnsi="仿宋" w:eastAsia="仿宋" w:cs="仿宋"/>
          <w:color w:val="000000"/>
          <w:sz w:val="24"/>
          <w:highlight w:val="none"/>
        </w:rPr>
        <w:t>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30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lang w:val="en-US" w:eastAsia="zh-CN"/>
        </w:rPr>
        <w:t>1.3合同设备</w:t>
      </w:r>
      <w:r>
        <w:rPr>
          <w:rFonts w:hint="eastAsia" w:ascii="仿宋" w:hAnsi="仿宋" w:eastAsia="仿宋" w:cs="仿宋"/>
          <w:color w:val="000000"/>
          <w:sz w:val="24"/>
        </w:rPr>
        <w:t>交付时中标供应商应提供</w:t>
      </w:r>
      <w:r>
        <w:rPr>
          <w:rFonts w:hint="eastAsia" w:ascii="仿宋" w:hAnsi="仿宋" w:eastAsia="仿宋" w:cs="仿宋"/>
          <w:color w:val="000000"/>
          <w:sz w:val="24"/>
          <w:lang w:val="en-US" w:eastAsia="zh-CN"/>
        </w:rPr>
        <w:t>合同设备</w:t>
      </w:r>
      <w:r>
        <w:rPr>
          <w:rFonts w:hint="eastAsia" w:ascii="仿宋" w:hAnsi="仿宋" w:eastAsia="仿宋" w:cs="仿宋"/>
          <w:color w:val="000000"/>
          <w:sz w:val="24"/>
        </w:rPr>
        <w:t>真实有效的生产日期，且保证</w:t>
      </w:r>
      <w:r>
        <w:rPr>
          <w:rFonts w:hint="eastAsia" w:ascii="仿宋" w:hAnsi="仿宋" w:eastAsia="仿宋" w:cs="仿宋"/>
          <w:color w:val="000000"/>
          <w:sz w:val="24"/>
          <w:lang w:val="en-US" w:eastAsia="zh-CN"/>
        </w:rPr>
        <w:t>合同设备的</w:t>
      </w:r>
      <w:r>
        <w:rPr>
          <w:rFonts w:hint="eastAsia" w:ascii="仿宋" w:hAnsi="仿宋" w:eastAsia="仿宋" w:cs="仿宋"/>
          <w:color w:val="000000"/>
          <w:sz w:val="24"/>
        </w:rPr>
        <w:t>生产日期距交付时的时间差</w:t>
      </w:r>
      <w:r>
        <w:rPr>
          <w:rFonts w:hint="eastAsia" w:ascii="仿宋" w:hAnsi="仿宋" w:eastAsia="仿宋" w:cs="仿宋"/>
          <w:color w:val="000000"/>
          <w:sz w:val="24"/>
          <w:highlight w:val="none"/>
          <w:lang w:val="en-US" w:eastAsia="zh-CN"/>
        </w:rPr>
        <w:t>国产设备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进口设备</w:t>
      </w:r>
      <w:r>
        <w:rPr>
          <w:rFonts w:hint="eastAsia" w:ascii="仿宋" w:hAnsi="仿宋" w:eastAsia="仿宋" w:cs="仿宋"/>
          <w:color w:val="000000"/>
          <w:sz w:val="24"/>
          <w:highlight w:val="none"/>
        </w:rPr>
        <w:t>不超过</w:t>
      </w:r>
      <w:r>
        <w:rPr>
          <w:rFonts w:hint="eastAsia" w:ascii="仿宋" w:hAnsi="仿宋" w:eastAsia="仿宋" w:cs="仿宋"/>
          <w:color w:val="000000"/>
          <w:sz w:val="24"/>
          <w:highlight w:val="none"/>
          <w:u w:val="single"/>
          <w:lang w:val="en-US" w:eastAsia="zh-CN"/>
        </w:rPr>
        <w:t>12</w:t>
      </w:r>
      <w:r>
        <w:rPr>
          <w:rFonts w:hint="eastAsia" w:ascii="仿宋" w:hAnsi="仿宋" w:eastAsia="仿宋" w:cs="仿宋"/>
          <w:color w:val="000000"/>
          <w:sz w:val="24"/>
          <w:highlight w:val="none"/>
          <w:u w:val="none"/>
          <w:lang w:val="en-US" w:eastAsia="zh-CN"/>
        </w:rPr>
        <w:t>个</w:t>
      </w:r>
      <w:r>
        <w:rPr>
          <w:rFonts w:hint="eastAsia" w:ascii="仿宋" w:hAnsi="仿宋" w:eastAsia="仿宋" w:cs="仿宋"/>
          <w:color w:val="000000"/>
          <w:sz w:val="24"/>
          <w:highlight w:val="none"/>
        </w:rPr>
        <w:t>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r>
        <w:rPr>
          <w:rFonts w:hint="eastAsia" w:ascii="仿宋" w:hAnsi="仿宋" w:eastAsia="仿宋" w:cs="仿宋"/>
          <w:color w:val="000000"/>
          <w:sz w:val="24"/>
        </w:rPr>
        <w:t>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6</w:t>
      </w:r>
      <w:r>
        <w:rPr>
          <w:rFonts w:hint="eastAsia" w:ascii="仿宋" w:hAnsi="仿宋" w:eastAsia="仿宋" w:cs="仿宋"/>
          <w:color w:val="000000"/>
          <w:sz w:val="24"/>
        </w:rPr>
        <w:t>验收方式：按《小榄镇</w:t>
      </w:r>
      <w:r>
        <w:rPr>
          <w:rFonts w:hint="eastAsia" w:ascii="仿宋" w:hAnsi="仿宋" w:eastAsia="仿宋" w:cs="仿宋"/>
          <w:color w:val="000000"/>
          <w:sz w:val="24"/>
          <w:lang w:eastAsia="zh-CN"/>
        </w:rPr>
        <w:t>公立</w:t>
      </w:r>
      <w:r>
        <w:rPr>
          <w:rFonts w:hint="eastAsia" w:ascii="仿宋" w:hAnsi="仿宋" w:eastAsia="仿宋" w:cs="仿宋"/>
          <w:color w:val="000000"/>
          <w:sz w:val="24"/>
        </w:rPr>
        <w:t>医院</w:t>
      </w:r>
      <w:r>
        <w:rPr>
          <w:rFonts w:hint="eastAsia" w:ascii="仿宋" w:hAnsi="仿宋" w:eastAsia="仿宋" w:cs="仿宋"/>
          <w:color w:val="000000"/>
          <w:sz w:val="24"/>
          <w:lang w:eastAsia="zh-CN"/>
        </w:rPr>
        <w:t>政府</w:t>
      </w:r>
      <w:r>
        <w:rPr>
          <w:rFonts w:hint="eastAsia" w:ascii="仿宋" w:hAnsi="仿宋" w:eastAsia="仿宋" w:cs="仿宋"/>
          <w:color w:val="000000"/>
          <w:sz w:val="24"/>
        </w:rPr>
        <w:t>采购和验收</w:t>
      </w:r>
      <w:r>
        <w:rPr>
          <w:rFonts w:hint="eastAsia" w:ascii="仿宋" w:hAnsi="仿宋" w:eastAsia="仿宋" w:cs="仿宋"/>
          <w:color w:val="000000"/>
          <w:sz w:val="24"/>
          <w:lang w:eastAsia="zh-CN"/>
        </w:rPr>
        <w:t>办法</w:t>
      </w:r>
      <w:r>
        <w:rPr>
          <w:rFonts w:hint="eastAsia" w:ascii="仿宋" w:hAnsi="仿宋" w:eastAsia="仿宋" w:cs="仿宋"/>
          <w:color w:val="000000"/>
          <w:sz w:val="24"/>
        </w:rPr>
        <w:t>》。</w:t>
      </w:r>
    </w:p>
    <w:p>
      <w:pPr>
        <w:spacing w:line="44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3</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hint="eastAsia" w:ascii="仿宋" w:hAnsi="仿宋" w:eastAsia="仿宋" w:cs="仿宋"/>
          <w:color w:val="auto"/>
          <w:sz w:val="24"/>
          <w:highlight w:val="none"/>
        </w:rPr>
      </w:pPr>
      <w:r>
        <w:rPr>
          <w:rFonts w:hint="eastAsia" w:ascii="仿宋" w:hAnsi="仿宋" w:eastAsia="仿宋" w:cs="仿宋"/>
          <w:color w:val="000000"/>
          <w:sz w:val="24"/>
          <w:highlight w:val="none"/>
        </w:rPr>
        <w:t>★3.2</w:t>
      </w:r>
      <w:r>
        <w:rPr>
          <w:rFonts w:hint="eastAsia" w:ascii="仿宋" w:hAnsi="仿宋" w:eastAsia="仿宋" w:cs="仿宋"/>
          <w:color w:val="auto"/>
          <w:sz w:val="24"/>
          <w:highlight w:val="none"/>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仿宋" w:hAnsi="仿宋" w:eastAsia="仿宋" w:cs="仿宋"/>
          <w:color w:val="auto"/>
          <w:sz w:val="24"/>
          <w:highlight w:val="none"/>
          <w:u w:val="single"/>
        </w:rPr>
        <w:t>质保期</w:t>
      </w:r>
      <w:r>
        <w:rPr>
          <w:rFonts w:hint="eastAsia" w:ascii="仿宋" w:hAnsi="仿宋" w:eastAsia="仿宋" w:cs="仿宋"/>
          <w:color w:val="auto"/>
          <w:sz w:val="24"/>
          <w:highlight w:val="none"/>
        </w:rPr>
        <w:t>后无息支付。</w:t>
      </w:r>
    </w:p>
    <w:p>
      <w:pPr>
        <w:spacing w:line="440" w:lineRule="exact"/>
        <w:ind w:firstLine="480" w:firstLineChars="200"/>
        <w:rPr>
          <w:rFonts w:ascii="仿宋" w:hAnsi="仿宋" w:eastAsia="仿宋" w:cs="仿宋"/>
          <w:color w:val="000000"/>
          <w:sz w:val="24"/>
        </w:rPr>
      </w:pPr>
    </w:p>
    <w:p>
      <w:pPr>
        <w:spacing w:line="440" w:lineRule="exact"/>
        <w:jc w:val="center"/>
        <w:rPr>
          <w:rFonts w:ascii="仿宋" w:hAnsi="仿宋" w:eastAsia="仿宋" w:cs="仿宋"/>
          <w:b/>
          <w:bCs/>
          <w:color w:val="000000"/>
          <w:sz w:val="24"/>
        </w:rPr>
      </w:pPr>
    </w:p>
    <w:p>
      <w:pPr>
        <w:rPr>
          <w:rFonts w:ascii="仿宋" w:hAnsi="仿宋" w:eastAsia="仿宋" w:cs="仿宋"/>
          <w:color w:val="000000"/>
          <w:sz w:val="24"/>
          <w:highlight w:val="cyan"/>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2E3A51"/>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rFonts w:ascii="宋体"/>
    </w:rPr>
  </w:style>
  <w:style w:type="paragraph" w:styleId="4">
    <w:name w:val="Body Text"/>
    <w:basedOn w:val="1"/>
    <w:next w:val="5"/>
    <w:autoRedefine/>
    <w:qFormat/>
    <w:uiPriority w:val="0"/>
    <w:pPr>
      <w:spacing w:after="120"/>
    </w:pPr>
  </w:style>
  <w:style w:type="paragraph" w:styleId="5">
    <w:name w:val="toc 5"/>
    <w:basedOn w:val="1"/>
    <w:next w:val="1"/>
    <w:qFormat/>
    <w:uiPriority w:val="0"/>
    <w:pPr>
      <w:ind w:left="1680" w:leftChars="800"/>
    </w:p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631</Words>
  <Characters>723</Characters>
  <Lines>5</Lines>
  <Paragraphs>1</Paragraphs>
  <TotalTime>0</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2024-05-07T00:38:23Z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4A38B4D724464C8E923FA11AF8017490_13</vt:lpwstr>
  </property>
</Properties>
</file>