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1"/>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6"/>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6"/>
        <w:ind w:left="0" w:leftChars="0" w:firstLine="0" w:firstLineChars="0"/>
        <w:rPr>
          <w:rFonts w:hint="eastAsia"/>
          <w:b/>
          <w:bCs/>
          <w:color w:val="0000FF"/>
          <w:sz w:val="24"/>
        </w:rPr>
      </w:pPr>
    </w:p>
    <w:p>
      <w:pPr>
        <w:pStyle w:val="6"/>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9"/>
        <w:gridCol w:w="910"/>
        <w:gridCol w:w="1032"/>
        <w:gridCol w:w="543"/>
        <w:gridCol w:w="859"/>
        <w:gridCol w:w="481"/>
        <w:gridCol w:w="543"/>
        <w:gridCol w:w="1379"/>
        <w:gridCol w:w="1114"/>
        <w:gridCol w:w="902"/>
        <w:gridCol w:w="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olor w:val="FF0000"/>
                <w:sz w:val="24"/>
                <w:szCs w:val="24"/>
                <w:lang w:val="en-US" w:eastAsia="zh-CN"/>
              </w:rPr>
              <w:t>填写线下优惠价</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highlight w:val="yellow"/>
                <w:u w:val="none"/>
                <w:lang w:val="en-US" w:eastAsia="zh-CN"/>
              </w:rPr>
              <w:t>单测试价格（元/人份）：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6"/>
        <w:rPr>
          <w:rFonts w:hint="eastAsia"/>
          <w:b/>
          <w:sz w:val="32"/>
          <w:szCs w:val="32"/>
        </w:rPr>
      </w:pPr>
    </w:p>
    <w:p>
      <w:pPr>
        <w:pStyle w:val="6"/>
        <w:rPr>
          <w:rFonts w:hint="eastAsia"/>
          <w:b/>
          <w:sz w:val="32"/>
          <w:szCs w:val="32"/>
        </w:rPr>
      </w:pPr>
    </w:p>
    <w:p>
      <w:pPr>
        <w:pStyle w:val="6"/>
        <w:rPr>
          <w:rFonts w:hint="eastAsia"/>
          <w:b/>
          <w:sz w:val="32"/>
          <w:szCs w:val="32"/>
        </w:rPr>
      </w:pPr>
    </w:p>
    <w:p>
      <w:pPr>
        <w:pStyle w:val="6"/>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2"/>
        <w:rPr>
          <w:rFonts w:hint="eastAsia"/>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
      <w:pPr>
        <w:pStyle w:val="2"/>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6" w:beforeAutospacing="0" w:after="86" w:afterAutospacing="0" w:line="429" w:lineRule="atLeast"/>
              <w:ind w:left="0" w:right="0" w:firstLine="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全自动沉降式液基细胞制片染色机</w:t>
            </w:r>
          </w:p>
          <w:p>
            <w:pPr>
              <w:spacing w:line="440" w:lineRule="exact"/>
              <w:rPr>
                <w:rFonts w:ascii="仿宋" w:hAnsi="仿宋" w:eastAsia="仿宋" w:cs="仿宋"/>
                <w:color w:val="000000"/>
                <w:sz w:val="24"/>
              </w:rPr>
            </w:pPr>
          </w:p>
        </w:tc>
        <w:tc>
          <w:tcPr>
            <w:tcW w:w="2268" w:type="dxa"/>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病理科</w:t>
            </w:r>
          </w:p>
        </w:tc>
        <w:tc>
          <w:tcPr>
            <w:tcW w:w="250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r>
    </w:tbl>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核心产品：全自动沉降式液基细胞制片染色</w:t>
      </w:r>
      <w:r>
        <w:rPr>
          <w:rFonts w:hint="eastAsia" w:ascii="仿宋" w:hAnsi="仿宋" w:eastAsia="仿宋" w:cs="仿宋"/>
          <w:color w:val="000000"/>
          <w:sz w:val="24"/>
          <w:highlight w:val="none"/>
          <w:lang w:val="en-US" w:eastAsia="zh-CN"/>
        </w:rPr>
        <w:t>一体</w:t>
      </w:r>
      <w:r>
        <w:rPr>
          <w:rFonts w:hint="eastAsia" w:ascii="仿宋" w:hAnsi="仿宋" w:eastAsia="仿宋" w:cs="仿宋"/>
          <w:color w:val="000000"/>
          <w:sz w:val="24"/>
          <w:highlight w:val="none"/>
        </w:rPr>
        <w:t>机</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用于病理分析前对人体细胞</w:t>
      </w:r>
      <w:r>
        <w:rPr>
          <w:rFonts w:hint="eastAsia" w:ascii="仿宋" w:hAnsi="仿宋" w:eastAsia="仿宋" w:cs="仿宋"/>
          <w:color w:val="000000"/>
          <w:sz w:val="24"/>
          <w:highlight w:val="none"/>
          <w:lang w:val="en-US" w:eastAsia="zh-CN"/>
        </w:rPr>
        <w:t>或微生物</w:t>
      </w:r>
      <w:r>
        <w:rPr>
          <w:rFonts w:hint="eastAsia" w:ascii="仿宋" w:hAnsi="仿宋" w:eastAsia="仿宋" w:cs="仿宋"/>
          <w:color w:val="000000"/>
          <w:sz w:val="24"/>
          <w:highlight w:val="none"/>
        </w:rPr>
        <w:t>进行批量的制片和染色</w:t>
      </w:r>
      <w:r>
        <w:rPr>
          <w:rFonts w:hint="eastAsia" w:ascii="仿宋" w:hAnsi="仿宋" w:eastAsia="仿宋" w:cs="仿宋"/>
          <w:color w:val="000000"/>
          <w:sz w:val="24"/>
          <w:highlight w:val="none"/>
          <w:lang w:eastAsia="zh-CN"/>
        </w:rPr>
        <w:t>，制成薄层细胞片供病理诊断。</w:t>
      </w:r>
    </w:p>
    <w:p>
      <w:pPr>
        <w:pStyle w:val="2"/>
        <w:rPr>
          <w:rFonts w:hint="eastAsia"/>
          <w:lang w:eastAsia="zh-CN"/>
        </w:rPr>
      </w:pPr>
    </w:p>
    <w:p>
      <w:pPr>
        <w:spacing w:line="440" w:lineRule="exact"/>
        <w:rPr>
          <w:rFonts w:ascii="仿宋" w:hAnsi="仿宋" w:eastAsia="仿宋" w:cs="仿宋"/>
          <w:b/>
          <w:color w:val="000000"/>
          <w:sz w:val="24"/>
        </w:rPr>
      </w:pPr>
      <w:r>
        <w:rPr>
          <w:rFonts w:hint="eastAsia" w:ascii="仿宋" w:hAnsi="仿宋" w:eastAsia="仿宋" w:cs="仿宋"/>
          <w:color w:val="000000"/>
          <w:sz w:val="24"/>
          <w:highlight w:val="none"/>
        </w:rPr>
        <w:t>用途：</w:t>
      </w:r>
      <w:r>
        <w:rPr>
          <w:rFonts w:hint="eastAsia" w:ascii="仿宋" w:hAnsi="仿宋" w:eastAsia="仿宋" w:cs="仿宋"/>
          <w:color w:val="000000"/>
          <w:sz w:val="24"/>
          <w:highlight w:val="none"/>
          <w:lang w:val="en-US" w:eastAsia="zh-CN"/>
        </w:rPr>
        <w:t>用于细胞学病理检查，配套不同的试剂盒应用于包括妇科标本（</w:t>
      </w:r>
      <w:r>
        <w:rPr>
          <w:rFonts w:hint="eastAsia" w:ascii="仿宋" w:hAnsi="仿宋" w:eastAsia="仿宋" w:cs="仿宋"/>
          <w:color w:val="000000"/>
          <w:sz w:val="24"/>
          <w:highlight w:val="none"/>
        </w:rPr>
        <w:t>宫颈细胞</w:t>
      </w:r>
      <w:r>
        <w:rPr>
          <w:rFonts w:hint="eastAsia" w:ascii="仿宋" w:hAnsi="仿宋" w:eastAsia="仿宋" w:cs="仿宋"/>
          <w:color w:val="000000"/>
          <w:sz w:val="24"/>
          <w:highlight w:val="none"/>
          <w:lang w:val="en-US" w:eastAsia="zh-CN"/>
        </w:rPr>
        <w:t>）及非妇科标本（</w:t>
      </w:r>
      <w:r>
        <w:rPr>
          <w:rFonts w:hint="eastAsia" w:ascii="仿宋" w:hAnsi="仿宋" w:eastAsia="仿宋" w:cs="仿宋"/>
          <w:color w:val="000000"/>
          <w:sz w:val="24"/>
          <w:highlight w:val="none"/>
        </w:rPr>
        <w:t>痰</w:t>
      </w:r>
      <w:r>
        <w:rPr>
          <w:rFonts w:hint="eastAsia" w:ascii="仿宋" w:hAnsi="仿宋" w:eastAsia="仿宋" w:cs="仿宋"/>
          <w:color w:val="000000"/>
          <w:sz w:val="24"/>
          <w:highlight w:val="none"/>
          <w:lang w:val="en-US" w:eastAsia="zh-CN"/>
        </w:rPr>
        <w:t>液细胞</w:t>
      </w:r>
      <w:r>
        <w:rPr>
          <w:rFonts w:hint="eastAsia" w:ascii="仿宋" w:hAnsi="仿宋" w:eastAsia="仿宋" w:cs="仿宋"/>
          <w:color w:val="000000"/>
          <w:sz w:val="24"/>
          <w:highlight w:val="none"/>
        </w:rPr>
        <w:t>、尿液细胞、浆膜腔细胞、针吸细胞等</w:t>
      </w:r>
      <w:r>
        <w:rPr>
          <w:rFonts w:hint="eastAsia" w:ascii="仿宋" w:hAnsi="仿宋" w:eastAsia="仿宋" w:cs="仿宋"/>
          <w:color w:val="000000"/>
          <w:sz w:val="24"/>
          <w:highlight w:val="none"/>
          <w:lang w:val="en-US" w:eastAsia="zh-CN"/>
        </w:rPr>
        <w:t>）液基</w:t>
      </w:r>
      <w:r>
        <w:rPr>
          <w:rFonts w:hint="eastAsia" w:ascii="仿宋" w:hAnsi="仿宋" w:eastAsia="仿宋" w:cs="仿宋"/>
          <w:color w:val="000000"/>
          <w:sz w:val="24"/>
          <w:highlight w:val="none"/>
        </w:rPr>
        <w:t>细胞学</w:t>
      </w:r>
      <w:r>
        <w:rPr>
          <w:rFonts w:hint="eastAsia" w:ascii="仿宋" w:hAnsi="仿宋" w:eastAsia="仿宋" w:cs="仿宋"/>
          <w:color w:val="000000"/>
          <w:sz w:val="24"/>
          <w:highlight w:val="none"/>
          <w:lang w:val="en-US" w:eastAsia="zh-CN"/>
        </w:rPr>
        <w:t>制片染色</w:t>
      </w:r>
      <w:r>
        <w:rPr>
          <w:rFonts w:hint="eastAsia" w:ascii="仿宋" w:hAnsi="仿宋" w:eastAsia="仿宋" w:cs="仿宋"/>
          <w:color w:val="000000"/>
          <w:sz w:val="24"/>
          <w:highlight w:val="none"/>
        </w:rPr>
        <w:t>。</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spacing w:line="440" w:lineRule="exact"/>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全自动沉降式技术制片，每次最大制片染色标本数≥32片</w:t>
            </w:r>
            <w:r>
              <w:rPr>
                <w:rFonts w:hint="eastAsia" w:ascii="仿宋" w:hAnsi="仿宋" w:eastAsia="仿宋" w:cs="仿宋"/>
                <w:b/>
                <w:color w:val="000000"/>
                <w:sz w:val="24"/>
                <w:highlight w:val="none"/>
                <w:lang w:val="en-US" w:eastAsia="zh-CN"/>
              </w:rPr>
              <w:t>，</w:t>
            </w:r>
            <w:r>
              <w:rPr>
                <w:rFonts w:hint="eastAsia" w:ascii="仿宋" w:hAnsi="仿宋" w:eastAsia="仿宋" w:cs="仿宋"/>
                <w:b/>
                <w:color w:val="000000"/>
                <w:sz w:val="24"/>
                <w:highlight w:val="none"/>
              </w:rPr>
              <w:t>制片时长</w:t>
            </w:r>
            <w:r>
              <w:rPr>
                <w:rFonts w:hint="eastAsia" w:ascii="仿宋" w:hAnsi="仿宋" w:eastAsia="仿宋" w:cs="仿宋"/>
                <w:b/>
                <w:color w:val="000000"/>
                <w:sz w:val="24"/>
              </w:rPr>
              <w:t>≤36分钟/32片</w:t>
            </w: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运行速度快，节省工作人员操作时间。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7599" w:type="dxa"/>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rPr>
              <w:t>需要双转盘模块化，且两个模块可独立工作也可同时工作，以实现不同实验参数同时运行和循环上机</w:t>
            </w:r>
            <w:r>
              <w:rPr>
                <w:rFonts w:hint="eastAsia" w:ascii="仿宋" w:hAnsi="仿宋" w:eastAsia="仿宋" w:cs="仿宋"/>
                <w:b/>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7599" w:type="dxa"/>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rPr>
              <w:t>需要每个标本的制片染色都在独立的，染液一次性使用，避免标本间交叉污染</w:t>
            </w:r>
            <w:r>
              <w:rPr>
                <w:rFonts w:hint="eastAsia" w:ascii="仿宋" w:hAnsi="仿宋" w:eastAsia="仿宋" w:cs="仿宋"/>
                <w:b/>
                <w:color w:val="auto"/>
                <w:sz w:val="24"/>
                <w:lang w:val="en-US" w:eastAsia="zh-CN"/>
              </w:rPr>
              <w:t>。制成的玻片面积直径为13mm，细胞平铺均匀，细胞数量充足，颜色鲜明，结构清晰。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7599" w:type="dxa"/>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rPr>
              <w:t>需要通过转盘快速旋转产生离心力的方式将制片染色仓中的废液排除，废液不经过泵阀及钢针，避免废液管路堵塞的问题。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7599" w:type="dxa"/>
            <w:noWrap w:val="0"/>
            <w:vAlign w:val="top"/>
          </w:tcPr>
          <w:p>
            <w:pPr>
              <w:spacing w:line="440" w:lineRule="exact"/>
              <w:rPr>
                <w:rFonts w:hint="eastAsia" w:ascii="仿宋" w:hAnsi="仿宋" w:eastAsia="仿宋" w:cs="仿宋"/>
                <w:b/>
                <w:color w:val="auto"/>
                <w:sz w:val="24"/>
                <w:lang w:eastAsia="zh-CN"/>
              </w:rPr>
            </w:pPr>
            <w:r>
              <w:rPr>
                <w:rFonts w:hint="eastAsia" w:ascii="仿宋" w:hAnsi="仿宋" w:eastAsia="仿宋" w:cs="仿宋"/>
                <w:b/>
                <w:color w:val="auto"/>
                <w:sz w:val="24"/>
              </w:rPr>
              <w:t>需要有妇科标本和非妇科标本两套处理程序，</w:t>
            </w:r>
            <w:bookmarkStart w:id="0" w:name="_GoBack"/>
            <w:bookmarkEnd w:id="0"/>
            <w:r>
              <w:rPr>
                <w:rFonts w:hint="eastAsia" w:ascii="仿宋" w:hAnsi="仿宋" w:eastAsia="仿宋" w:cs="仿宋"/>
                <w:b/>
                <w:color w:val="auto"/>
                <w:sz w:val="24"/>
              </w:rPr>
              <w:t>自动识别运行相应的程序</w:t>
            </w:r>
            <w:r>
              <w:rPr>
                <w:rFonts w:hint="eastAsia" w:ascii="仿宋" w:hAnsi="仿宋" w:eastAsia="仿宋" w:cs="仿宋"/>
                <w:b/>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7599" w:type="dxa"/>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设备需要有管路自动清洗功能，节省日常维护。</w:t>
            </w:r>
          </w:p>
        </w:tc>
      </w:tr>
    </w:tbl>
    <w:p>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每套设备配置要求：</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3438"/>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017"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1723"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017" w:type="pct"/>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染色制片一体机</w:t>
            </w:r>
          </w:p>
        </w:tc>
        <w:tc>
          <w:tcPr>
            <w:tcW w:w="1723" w:type="pct"/>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017" w:type="pct"/>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低速离心机</w:t>
            </w:r>
          </w:p>
        </w:tc>
        <w:tc>
          <w:tcPr>
            <w:tcW w:w="1723" w:type="pct"/>
            <w:noWrap w:val="0"/>
            <w:vAlign w:val="top"/>
          </w:tcPr>
          <w:p>
            <w:p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017" w:type="pct"/>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漩涡振荡器</w:t>
            </w:r>
          </w:p>
        </w:tc>
        <w:tc>
          <w:tcPr>
            <w:tcW w:w="1723" w:type="pct"/>
            <w:noWrap w:val="0"/>
            <w:vAlign w:val="top"/>
          </w:tcPr>
          <w:p>
            <w:p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2017" w:type="pct"/>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自动样本转移机</w:t>
            </w:r>
          </w:p>
        </w:tc>
        <w:tc>
          <w:tcPr>
            <w:tcW w:w="1723" w:type="pct"/>
            <w:noWrap w:val="0"/>
            <w:vAlign w:val="top"/>
          </w:tcPr>
          <w:p>
            <w:p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2017" w:type="pct"/>
            <w:noWrap w:val="0"/>
            <w:vAlign w:val="top"/>
          </w:tcPr>
          <w:p>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真空废液装置</w:t>
            </w:r>
          </w:p>
        </w:tc>
        <w:tc>
          <w:tcPr>
            <w:tcW w:w="1723" w:type="pct"/>
            <w:noWrap w:val="0"/>
            <w:vAlign w:val="top"/>
          </w:tcPr>
          <w:p>
            <w:p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pct"/>
            <w:noWrap w:val="0"/>
            <w:vAlign w:val="top"/>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2017" w:type="pct"/>
            <w:noWrap w:val="0"/>
            <w:vAlign w:val="top"/>
          </w:tcPr>
          <w:p>
            <w:p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TBS报告系统软件</w:t>
            </w:r>
          </w:p>
        </w:tc>
        <w:tc>
          <w:tcPr>
            <w:tcW w:w="1723" w:type="pct"/>
            <w:noWrap w:val="0"/>
            <w:vAlign w:val="top"/>
          </w:tcPr>
          <w:p>
            <w:pPr>
              <w:spacing w:line="440" w:lineRule="exact"/>
              <w:rPr>
                <w:rFonts w:hint="default" w:ascii="仿宋" w:hAnsi="仿宋" w:eastAsia="仿宋" w:cs="仿宋"/>
                <w:b/>
                <w:color w:val="auto"/>
                <w:sz w:val="24"/>
                <w:lang w:val="en-US"/>
              </w:rPr>
            </w:pPr>
            <w:r>
              <w:rPr>
                <w:rFonts w:hint="eastAsia" w:ascii="仿宋" w:hAnsi="仿宋" w:eastAsia="仿宋" w:cs="仿宋"/>
                <w:b/>
                <w:color w:val="auto"/>
                <w:sz w:val="24"/>
                <w:lang w:val="en-US" w:eastAsia="zh-CN"/>
              </w:rPr>
              <w:t>1套</w:t>
            </w:r>
          </w:p>
        </w:tc>
      </w:tr>
    </w:tbl>
    <w:p>
      <w:pPr>
        <w:pStyle w:val="13"/>
        <w:numPr>
          <w:ilvl w:val="0"/>
          <w:numId w:val="5"/>
        </w:numPr>
        <w:spacing w:line="440" w:lineRule="exact"/>
        <w:ind w:firstLineChars="0"/>
        <w:rPr>
          <w:rFonts w:hint="eastAsia" w:ascii="仿宋" w:hAnsi="仿宋" w:eastAsia="仿宋" w:cs="仿宋"/>
          <w:b/>
          <w:color w:val="auto"/>
          <w:sz w:val="24"/>
          <w:highlight w:val="yellow"/>
        </w:rPr>
      </w:pPr>
      <w:r>
        <w:rPr>
          <w:rFonts w:ascii="仿宋" w:hAnsi="仿宋" w:eastAsia="仿宋" w:cs="仿宋"/>
          <w:b/>
          <w:color w:val="auto"/>
          <w:sz w:val="24"/>
        </w:rPr>
        <w:t>设备配套耗材</w:t>
      </w:r>
      <w:r>
        <w:rPr>
          <w:rFonts w:hint="eastAsia" w:ascii="仿宋" w:hAnsi="仿宋" w:eastAsia="仿宋" w:cs="仿宋"/>
          <w:b/>
          <w:color w:val="auto"/>
          <w:sz w:val="24"/>
        </w:rPr>
        <w:t>/试剂</w:t>
      </w:r>
    </w:p>
    <w:p>
      <w:pPr>
        <w:pStyle w:val="13"/>
        <w:numPr>
          <w:ilvl w:val="0"/>
          <w:numId w:val="0"/>
        </w:numPr>
        <w:spacing w:line="440" w:lineRule="exact"/>
        <w:ind w:leftChars="0"/>
        <w:rPr>
          <w:rFonts w:hint="default" w:ascii="仿宋" w:hAnsi="仿宋" w:eastAsia="仿宋" w:cs="仿宋"/>
          <w:b w:val="0"/>
          <w:bCs/>
          <w:color w:val="auto"/>
          <w:sz w:val="24"/>
          <w:lang w:val="en-US" w:eastAsia="zh-CN"/>
        </w:rPr>
      </w:pPr>
      <w:r>
        <w:rPr>
          <w:rFonts w:hint="eastAsia" w:ascii="仿宋" w:hAnsi="仿宋" w:eastAsia="仿宋" w:cs="仿宋"/>
          <w:color w:val="auto"/>
          <w:sz w:val="24"/>
          <w:highlight w:val="none"/>
        </w:rPr>
        <w:t>★</w:t>
      </w:r>
      <w:r>
        <w:rPr>
          <w:rFonts w:hint="eastAsia" w:ascii="仿宋" w:hAnsi="仿宋" w:eastAsia="仿宋" w:cs="仿宋"/>
          <w:b w:val="0"/>
          <w:bCs/>
          <w:color w:val="auto"/>
          <w:sz w:val="24"/>
          <w:lang w:val="en-US" w:eastAsia="zh-CN"/>
        </w:rPr>
        <w:t>1.响应供应商必须对开展本项目所包含的全部耗材进行报价并测算每测试人份价格，包括</w:t>
      </w:r>
      <w:r>
        <w:rPr>
          <w:rFonts w:hint="eastAsia" w:ascii="仿宋" w:hAnsi="仿宋" w:eastAsia="仿宋" w:cs="仿宋"/>
          <w:b/>
          <w:color w:val="auto"/>
          <w:sz w:val="24"/>
          <w:lang w:val="en-US" w:eastAsia="zh-CN"/>
        </w:rPr>
        <w:t>液基细胞和微生物处理、保存液（主要包括细胞保存液、一次性使用宫颈采样拭子、离心管、注射移液器、粘附载玻片、盖玻片、巴氏染色液、提取液、缓冲液</w:t>
      </w:r>
      <w:r>
        <w:rPr>
          <w:rFonts w:hint="eastAsia" w:ascii="仿宋" w:hAnsi="仿宋" w:eastAsia="仿宋" w:cs="仿宋"/>
          <w:b w:val="0"/>
          <w:bCs/>
          <w:color w:val="auto"/>
          <w:sz w:val="24"/>
          <w:lang w:val="en-US" w:eastAsia="zh-CN"/>
        </w:rPr>
        <w:t>等</w:t>
      </w:r>
      <w:r>
        <w:rPr>
          <w:rFonts w:hint="eastAsia" w:ascii="仿宋" w:hAnsi="仿宋" w:eastAsia="仿宋" w:cs="仿宋"/>
          <w:b/>
          <w:color w:val="auto"/>
          <w:sz w:val="24"/>
          <w:lang w:val="en-US" w:eastAsia="zh-CN"/>
        </w:rPr>
        <w:t>）</w:t>
      </w:r>
      <w:r>
        <w:rPr>
          <w:rFonts w:hint="eastAsia" w:ascii="仿宋" w:hAnsi="仿宋" w:eastAsia="仿宋" w:cs="仿宋"/>
          <w:b w:val="0"/>
          <w:bCs/>
          <w:color w:val="auto"/>
          <w:sz w:val="24"/>
          <w:lang w:val="en-US" w:eastAsia="zh-CN"/>
        </w:rPr>
        <w:t>。</w:t>
      </w:r>
    </w:p>
    <w:p>
      <w:pPr>
        <w:pStyle w:val="2"/>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2.所投设备的可收费配套耗材须有正规国家医保耗材码。</w:t>
      </w:r>
    </w:p>
    <w:p>
      <w:pPr>
        <w:spacing w:line="440" w:lineRule="exact"/>
        <w:rPr>
          <w:rFonts w:ascii="仿宋" w:hAnsi="仿宋" w:eastAsia="仿宋" w:cs="仿宋"/>
          <w:b/>
          <w:color w:val="auto"/>
          <w:sz w:val="24"/>
        </w:rPr>
      </w:pPr>
    </w:p>
    <w:p>
      <w:pPr>
        <w:pStyle w:val="13"/>
        <w:numPr>
          <w:ilvl w:val="0"/>
          <w:numId w:val="5"/>
        </w:numPr>
        <w:spacing w:line="440" w:lineRule="exact"/>
        <w:ind w:firstLineChars="0"/>
        <w:rPr>
          <w:rFonts w:ascii="仿宋" w:hAnsi="仿宋" w:eastAsia="仿宋" w:cs="仿宋"/>
          <w:b/>
          <w:color w:val="auto"/>
          <w:sz w:val="24"/>
        </w:rPr>
      </w:pPr>
      <w:r>
        <w:rPr>
          <w:rFonts w:hint="eastAsia" w:ascii="仿宋" w:hAnsi="仿宋" w:eastAsia="仿宋" w:cs="仿宋"/>
          <w:b/>
          <w:color w:val="auto"/>
          <w:sz w:val="24"/>
        </w:rPr>
        <w:t>商务要求：</w:t>
      </w:r>
    </w:p>
    <w:p>
      <w:pPr>
        <w:spacing w:line="440" w:lineRule="exact"/>
        <w:rPr>
          <w:rFonts w:ascii="仿宋" w:hAnsi="仿宋" w:eastAsia="仿宋" w:cs="仿宋"/>
          <w:b/>
          <w:color w:val="auto"/>
          <w:sz w:val="24"/>
        </w:rPr>
      </w:pPr>
      <w:r>
        <w:rPr>
          <w:rFonts w:hint="eastAsia" w:ascii="仿宋" w:hAnsi="仿宋" w:eastAsia="仿宋" w:cs="仿宋"/>
          <w:b/>
          <w:color w:val="auto"/>
          <w:sz w:val="24"/>
        </w:rPr>
        <w:t>1.交货及安装、验收要求</w:t>
      </w:r>
    </w:p>
    <w:p>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rPr>
        <w:t>内完成设备的安装调试。</w:t>
      </w:r>
    </w:p>
    <w:p>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lang w:val="en-US" w:eastAsia="zh-CN"/>
        </w:rPr>
        <w:t>1.3合同设备</w:t>
      </w:r>
      <w:r>
        <w:rPr>
          <w:rFonts w:hint="eastAsia" w:ascii="仿宋" w:hAnsi="仿宋" w:eastAsia="仿宋" w:cs="仿宋"/>
          <w:color w:val="auto"/>
          <w:sz w:val="24"/>
        </w:rPr>
        <w:t>交付时中标供应商应提供</w:t>
      </w:r>
      <w:r>
        <w:rPr>
          <w:rFonts w:hint="eastAsia" w:ascii="仿宋" w:hAnsi="仿宋" w:eastAsia="仿宋" w:cs="仿宋"/>
          <w:color w:val="auto"/>
          <w:sz w:val="24"/>
          <w:lang w:val="en-US" w:eastAsia="zh-CN"/>
        </w:rPr>
        <w:t>合同设备</w:t>
      </w:r>
      <w:r>
        <w:rPr>
          <w:rFonts w:hint="eastAsia" w:ascii="仿宋" w:hAnsi="仿宋" w:eastAsia="仿宋" w:cs="仿宋"/>
          <w:color w:val="auto"/>
          <w:sz w:val="24"/>
        </w:rPr>
        <w:t>真实有效的生产日期，且保证</w:t>
      </w:r>
      <w:r>
        <w:rPr>
          <w:rFonts w:hint="eastAsia" w:ascii="仿宋" w:hAnsi="仿宋" w:eastAsia="仿宋" w:cs="仿宋"/>
          <w:color w:val="auto"/>
          <w:sz w:val="24"/>
          <w:lang w:val="en-US" w:eastAsia="zh-CN"/>
        </w:rPr>
        <w:t>合同设备的</w:t>
      </w:r>
      <w:r>
        <w:rPr>
          <w:rFonts w:hint="eastAsia" w:ascii="仿宋" w:hAnsi="仿宋" w:eastAsia="仿宋" w:cs="仿宋"/>
          <w:color w:val="auto"/>
          <w:sz w:val="24"/>
        </w:rPr>
        <w:t>生产日期距交付时的时间差</w:t>
      </w:r>
      <w:r>
        <w:rPr>
          <w:rFonts w:hint="eastAsia" w:ascii="仿宋" w:hAnsi="仿宋" w:eastAsia="仿宋" w:cs="仿宋"/>
          <w:color w:val="auto"/>
          <w:sz w:val="24"/>
          <w:highlight w:val="none"/>
          <w:lang w:val="en-US" w:eastAsia="zh-CN"/>
        </w:rPr>
        <w:t>国产设备</w:t>
      </w:r>
      <w:r>
        <w:rPr>
          <w:rFonts w:hint="eastAsia" w:ascii="仿宋" w:hAnsi="仿宋" w:eastAsia="仿宋" w:cs="仿宋"/>
          <w:color w:val="auto"/>
          <w:sz w:val="24"/>
          <w:highlight w:val="none"/>
        </w:rPr>
        <w:t>不超过</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none"/>
          <w:lang w:val="en-US" w:eastAsia="zh-CN"/>
        </w:rPr>
        <w:t>个</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进口设备</w:t>
      </w:r>
      <w:r>
        <w:rPr>
          <w:rFonts w:hint="eastAsia" w:ascii="仿宋" w:hAnsi="仿宋" w:eastAsia="仿宋" w:cs="仿宋"/>
          <w:color w:val="auto"/>
          <w:sz w:val="24"/>
          <w:highlight w:val="none"/>
        </w:rPr>
        <w:t>不超过</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none"/>
          <w:lang w:val="en-US" w:eastAsia="zh-CN"/>
        </w:rPr>
        <w:t>个</w:t>
      </w:r>
      <w:r>
        <w:rPr>
          <w:rFonts w:hint="eastAsia" w:ascii="仿宋" w:hAnsi="仿宋" w:eastAsia="仿宋" w:cs="仿宋"/>
          <w:color w:val="auto"/>
          <w:sz w:val="24"/>
          <w:highlight w:val="none"/>
        </w:rPr>
        <w:t>月。</w:t>
      </w:r>
    </w:p>
    <w:p>
      <w:pPr>
        <w:spacing w:line="440" w:lineRule="exact"/>
        <w:rPr>
          <w:rFonts w:ascii="仿宋" w:hAnsi="仿宋" w:eastAsia="仿宋" w:cs="仿宋"/>
          <w:color w:val="auto"/>
          <w:sz w:val="24"/>
          <w:highlight w:val="yellow"/>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中标供应商须保证中标后所提供的设备为原装、全新合格的产品。</w:t>
      </w:r>
    </w:p>
    <w:p>
      <w:pPr>
        <w:spacing w:line="440" w:lineRule="exac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r>
        <w:rPr>
          <w:rFonts w:hint="eastAsia" w:ascii="仿宋" w:hAnsi="仿宋" w:eastAsia="仿宋" w:cs="仿宋"/>
          <w:color w:val="auto"/>
          <w:sz w:val="24"/>
        </w:rPr>
        <w:t>验收方式：按《小榄镇</w:t>
      </w:r>
      <w:r>
        <w:rPr>
          <w:rFonts w:hint="eastAsia" w:ascii="仿宋" w:hAnsi="仿宋" w:eastAsia="仿宋" w:cs="仿宋"/>
          <w:color w:val="auto"/>
          <w:sz w:val="24"/>
          <w:lang w:eastAsia="zh-CN"/>
        </w:rPr>
        <w:t>公立</w:t>
      </w:r>
      <w:r>
        <w:rPr>
          <w:rFonts w:hint="eastAsia" w:ascii="仿宋" w:hAnsi="仿宋" w:eastAsia="仿宋" w:cs="仿宋"/>
          <w:color w:val="auto"/>
          <w:sz w:val="24"/>
        </w:rPr>
        <w:t>医院</w:t>
      </w:r>
      <w:r>
        <w:rPr>
          <w:rFonts w:hint="eastAsia" w:ascii="仿宋" w:hAnsi="仿宋" w:eastAsia="仿宋" w:cs="仿宋"/>
          <w:color w:val="auto"/>
          <w:sz w:val="24"/>
          <w:lang w:eastAsia="zh-CN"/>
        </w:rPr>
        <w:t>政府</w:t>
      </w:r>
      <w:r>
        <w:rPr>
          <w:rFonts w:hint="eastAsia" w:ascii="仿宋" w:hAnsi="仿宋" w:eastAsia="仿宋" w:cs="仿宋"/>
          <w:color w:val="auto"/>
          <w:sz w:val="24"/>
        </w:rPr>
        <w:t>采购和验收</w:t>
      </w:r>
      <w:r>
        <w:rPr>
          <w:rFonts w:hint="eastAsia" w:ascii="仿宋" w:hAnsi="仿宋" w:eastAsia="仿宋" w:cs="仿宋"/>
          <w:color w:val="auto"/>
          <w:sz w:val="24"/>
          <w:lang w:eastAsia="zh-CN"/>
        </w:rPr>
        <w:t>办法</w:t>
      </w:r>
      <w:r>
        <w:rPr>
          <w:rFonts w:hint="eastAsia" w:ascii="仿宋" w:hAnsi="仿宋" w:eastAsia="仿宋" w:cs="仿宋"/>
          <w:color w:val="auto"/>
          <w:sz w:val="24"/>
        </w:rPr>
        <w:t>》。</w:t>
      </w:r>
    </w:p>
    <w:p>
      <w:pPr>
        <w:spacing w:line="440" w:lineRule="exac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投标供应商须要在投标文件做出具承诺函，该承诺函包括但不限于以下内容:</w:t>
      </w:r>
    </w:p>
    <w:p>
      <w:pPr>
        <w:spacing w:line="440" w:lineRule="exact"/>
        <w:rPr>
          <w:rFonts w:ascii="仿宋" w:hAnsi="仿宋" w:eastAsia="仿宋" w:cs="仿宋"/>
          <w:color w:val="auto"/>
          <w:sz w:val="24"/>
        </w:rPr>
      </w:pPr>
      <w:r>
        <w:rPr>
          <w:rFonts w:hint="eastAsia" w:ascii="仿宋" w:hAnsi="仿宋" w:eastAsia="仿宋" w:cs="仿宋"/>
          <w:color w:val="auto"/>
          <w:sz w:val="24"/>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auto"/>
          <w:sz w:val="24"/>
        </w:rPr>
      </w:pPr>
      <w:r>
        <w:rPr>
          <w:rFonts w:hint="eastAsia" w:ascii="仿宋" w:hAnsi="仿宋" w:eastAsia="仿宋" w:cs="仿宋"/>
          <w:b/>
          <w:color w:val="auto"/>
          <w:sz w:val="24"/>
        </w:rPr>
        <w:t>2.售后服务要求</w:t>
      </w:r>
    </w:p>
    <w:p>
      <w:pPr>
        <w:tabs>
          <w:tab w:val="left" w:pos="420"/>
        </w:tabs>
        <w:spacing w:line="440" w:lineRule="exact"/>
        <w:rPr>
          <w:rFonts w:ascii="仿宋" w:hAnsi="仿宋" w:eastAsia="仿宋" w:cs="仿宋"/>
          <w:color w:val="auto"/>
          <w:sz w:val="24"/>
        </w:rPr>
      </w:pPr>
      <w:r>
        <w:rPr>
          <w:rFonts w:hint="eastAsia" w:ascii="仿宋" w:hAnsi="仿宋" w:eastAsia="仿宋" w:cs="仿宋"/>
          <w:color w:val="auto"/>
          <w:sz w:val="24"/>
        </w:rPr>
        <w:t>2.1中标供应商必须在中国境内有售后服务机构，并附有售后服务能力说明。</w:t>
      </w:r>
    </w:p>
    <w:p>
      <w:pPr>
        <w:spacing w:line="440" w:lineRule="exact"/>
        <w:rPr>
          <w:rFonts w:ascii="仿宋" w:hAnsi="仿宋" w:eastAsia="仿宋" w:cs="仿宋"/>
          <w:color w:val="auto"/>
          <w:sz w:val="24"/>
        </w:rPr>
      </w:pPr>
      <w:r>
        <w:rPr>
          <w:rFonts w:hint="eastAsia" w:ascii="仿宋" w:hAnsi="仿宋" w:eastAsia="仿宋" w:cs="仿宋"/>
          <w:color w:val="auto"/>
          <w:sz w:val="24"/>
        </w:rPr>
        <w:t>★2.2中标供应商须提供设备原厂质保（设备原厂质量保修范围和保修期）至少为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p>
    <w:p>
      <w:pPr>
        <w:spacing w:line="440" w:lineRule="exact"/>
        <w:rPr>
          <w:rFonts w:ascii="仿宋" w:hAnsi="仿宋" w:eastAsia="仿宋" w:cs="仿宋"/>
          <w:color w:val="auto"/>
          <w:sz w:val="24"/>
        </w:rPr>
      </w:pPr>
      <w:r>
        <w:rPr>
          <w:rFonts w:hint="eastAsia" w:ascii="仿宋" w:hAnsi="仿宋" w:eastAsia="仿宋" w:cs="仿宋"/>
          <w:color w:val="auto"/>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auto"/>
          <w:sz w:val="24"/>
        </w:rPr>
        <w:t>2.4如果产品故障在检修12小时后仍</w:t>
      </w:r>
      <w:r>
        <w:rPr>
          <w:rFonts w:hint="eastAsia" w:ascii="仿宋" w:hAnsi="仿宋" w:eastAsia="仿宋" w:cs="仿宋"/>
          <w:color w:val="000000"/>
          <w:sz w:val="24"/>
        </w:rPr>
        <w:t>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pPr>
        <w:spacing w:line="440" w:lineRule="exact"/>
        <w:ind w:firstLine="480" w:firstLineChars="200"/>
        <w:rPr>
          <w:rFonts w:ascii="仿宋" w:hAnsi="仿宋" w:eastAsia="仿宋" w:cs="仿宋"/>
          <w:color w:val="000000"/>
          <w:sz w:val="24"/>
        </w:rPr>
      </w:pPr>
    </w:p>
    <w:p>
      <w:pPr>
        <w:spacing w:line="440" w:lineRule="exact"/>
        <w:jc w:val="center"/>
        <w:rPr>
          <w:rFonts w:ascii="仿宋" w:hAnsi="仿宋" w:eastAsia="仿宋" w:cs="仿宋"/>
          <w:b/>
          <w:bCs/>
          <w:color w:val="000000"/>
          <w:sz w:val="24"/>
        </w:rPr>
      </w:pPr>
    </w:p>
    <w:p>
      <w:pPr>
        <w:rPr>
          <w:rFonts w:ascii="仿宋" w:hAnsi="仿宋" w:eastAsia="仿宋" w:cs="仿宋"/>
          <w:color w:val="000000"/>
          <w:sz w:val="24"/>
          <w:highlight w:val="cyan"/>
          <w:lang w:val="zh-CN"/>
        </w:rPr>
      </w:pPr>
    </w:p>
    <w:p>
      <w:pPr>
        <w:pStyle w:val="3"/>
      </w:pPr>
    </w:p>
    <w:p>
      <w:pPr>
        <w:rPr>
          <w:rFonts w:hint="eastAsia" w:eastAsia="宋体"/>
          <w:lang w:eastAsia="zh-CN"/>
        </w:rPr>
      </w:pPr>
      <w:r>
        <w:rPr>
          <w:rFonts w:hint="eastAsia" w:eastAsia="宋体"/>
          <w:lang w:eastAsia="zh-CN"/>
        </w:rPr>
        <w:object>
          <v:shape id="_x0000_i1025" o:spt="75" type="#_x0000_t75" style="height:795pt;width:492pt;" o:ole="t" filled="f" o:preferrelative="t" stroked="f" coordsize="21600,21600">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AD373DC"/>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6648DF"/>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6">
    <w:name w:val="Normal Indent"/>
    <w:basedOn w:val="1"/>
    <w:autoRedefine/>
    <w:qFormat/>
    <w:uiPriority w:val="0"/>
    <w:pPr>
      <w:spacing w:line="360" w:lineRule="auto"/>
      <w:ind w:firstLine="420"/>
    </w:pPr>
    <w:rPr>
      <w:rFonts w:ascii="宋体"/>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semiHidden/>
    <w:unhideWhenUsed/>
    <w:qFormat/>
    <w:uiPriority w:val="99"/>
    <w:pPr>
      <w:spacing w:after="120" w:line="480" w:lineRule="auto"/>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autoRedefine/>
    <w:qFormat/>
    <w:uiPriority w:val="34"/>
    <w:pPr>
      <w:ind w:firstLine="420" w:firstLineChars="200"/>
    </w:pPr>
  </w:style>
  <w:style w:type="character" w:customStyle="1" w:styleId="14">
    <w:name w:val="Anrede1IhrZeichen"/>
    <w:basedOn w:val="12"/>
    <w:autoRedefine/>
    <w:qFormat/>
    <w:uiPriority w:val="0"/>
    <w:rPr>
      <w:rFonts w:ascii="Arial" w:hAnsi="Arial"/>
      <w:sz w:val="20"/>
    </w:rPr>
  </w:style>
  <w:style w:type="paragraph" w:customStyle="1" w:styleId="15">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631</Words>
  <Characters>723</Characters>
  <Lines>5</Lines>
  <Paragraphs>1</Paragraphs>
  <TotalTime>0</TotalTime>
  <ScaleCrop>false</ScaleCrop>
  <LinksUpToDate>false</LinksUpToDate>
  <CharactersWithSpaces>807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2024-04-24T09:06:09Z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7749A61BAD7745949EFEB08871954A62_13</vt:lpwstr>
  </property>
</Properties>
</file>