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请参与调研的供应商提交以下资料：</w:t>
      </w:r>
    </w:p>
    <w:p>
      <w:pPr>
        <w:bidi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1.报价单</w:t>
      </w:r>
    </w:p>
    <w:p>
      <w:pPr>
        <w:bidi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2.营业执照</w:t>
      </w:r>
    </w:p>
    <w:p>
      <w:pPr>
        <w:bidi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3.技术响应表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4.供应商认为需要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提供的资料</w:t>
      </w:r>
    </w:p>
    <w:p>
      <w:pPr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单</w:t>
      </w:r>
    </w:p>
    <w:tbl>
      <w:tblPr>
        <w:tblStyle w:val="5"/>
        <w:tblW w:w="74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781"/>
        <w:gridCol w:w="17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8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bidi="en-US"/>
              </w:rPr>
              <w:t>项目名称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 w:bidi="en-US"/>
              </w:rPr>
              <w:t>下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bidi="en-US"/>
              </w:rPr>
              <w:t>浮率（单位：%）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bidi="en-US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en-US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highlight w:val="none"/>
                <w:lang w:eastAsia="zh-CN"/>
              </w:rPr>
              <w:t>中山市小榄人民医院棉织用品采购项目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rPr>
                <w:rFonts w:hint="eastAsia" w:ascii="宋体" w:hAnsi="宋体" w:cs="宋体"/>
                <w:color w:val="auto"/>
                <w:szCs w:val="21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en-US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bidi="en-US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bidi="en-US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en-US"/>
              </w:rPr>
              <w:t>%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bidi="en-US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</w:p>
    <w:p>
      <w:pPr>
        <w:tabs>
          <w:tab w:val="left" w:pos="720"/>
        </w:tabs>
        <w:spacing w:line="360" w:lineRule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填写说明：</w:t>
      </w:r>
    </w:p>
    <w:p>
      <w:pPr>
        <w:tabs>
          <w:tab w:val="left" w:pos="720"/>
        </w:tabs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</w:t>
      </w:r>
      <w:r>
        <w:rPr>
          <w:rFonts w:hint="eastAsia" w:ascii="宋体" w:hAnsi="宋体" w:cs="Arial"/>
          <w:b w:val="0"/>
          <w:bCs/>
          <w:color w:val="auto"/>
          <w:szCs w:val="21"/>
          <w:highlight w:val="none"/>
        </w:rPr>
        <w:t>供应商应注意本</w:t>
      </w:r>
      <w:r>
        <w:rPr>
          <w:rFonts w:hint="eastAsia" w:ascii="宋体" w:hAnsi="宋体" w:cs="Arial"/>
          <w:b w:val="0"/>
          <w:bCs/>
          <w:color w:val="auto"/>
          <w:szCs w:val="21"/>
          <w:highlight w:val="none"/>
          <w:lang w:val="en-US" w:eastAsia="zh-CN"/>
        </w:rPr>
        <w:t>用户需求</w:t>
      </w:r>
      <w:r>
        <w:rPr>
          <w:rFonts w:hint="eastAsia" w:ascii="宋体" w:hAnsi="宋体" w:cs="Arial"/>
          <w:b w:val="0"/>
          <w:bCs/>
          <w:color w:val="auto"/>
          <w:szCs w:val="21"/>
          <w:highlight w:val="none"/>
        </w:rPr>
        <w:t>中货物/服务的详细清单中所列技术指标的值仅列出了最低限度。供应商在技术响应表中必须列出具体数值。如果供应商只注明“符合”或“满足”，将被视为放弃抗辩的权利，完全满足采购人的要求（包括延伸意义）</w:t>
      </w:r>
    </w:p>
    <w:p>
      <w:pPr>
        <w:adjustRightInd w:val="0"/>
        <w:snapToGrid w:val="0"/>
        <w:spacing w:beforeLines="0" w:afterLines="0"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Arial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2.供应商根据</w:t>
      </w:r>
      <w:r>
        <w:rPr>
          <w:rFonts w:hint="eastAsia" w:ascii="宋体" w:hAnsi="宋体" w:cs="Arial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采购需求中</w:t>
      </w:r>
      <w:r>
        <w:rPr>
          <w:rFonts w:hint="eastAsia" w:ascii="宋体" w:hAnsi="宋体" w:eastAsia="宋体" w:cs="Arial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项目采购清单内提供的含税单价进行统一</w:t>
      </w:r>
      <w:r>
        <w:rPr>
          <w:rFonts w:hint="eastAsia" w:ascii="宋体" w:hAnsi="宋体" w:cs="Arial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下</w:t>
      </w:r>
      <w:r>
        <w:rPr>
          <w:rFonts w:hint="eastAsia" w:ascii="宋体" w:hAnsi="宋体" w:eastAsia="宋体" w:cs="Arial"/>
          <w:b w:val="0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浮率报价，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供应商对采购物品的单价报出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统一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的下浮率，下浮率在0%（含本数）-100%（含本数）范围内取值，若报价超出此范围则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视为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无效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adjustRightInd w:val="0"/>
        <w:snapToGrid w:val="0"/>
        <w:spacing w:beforeLines="0" w:afterLines="0"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 供应商报价应为人民币含税全包价，包括货物、人工费、价格、包装费、运杂费、保险费、卸车费、配合费、检测费、配送费、税金及供应商认为需要的所有费用，采购人不再单独支付其他费用。</w:t>
      </w:r>
    </w:p>
    <w:p>
      <w:pPr>
        <w:adjustRightInd w:val="0"/>
        <w:snapToGrid w:val="0"/>
        <w:spacing w:beforeLines="0" w:afterLines="0"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．供货期间的价格：各类货物实际供货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单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价=最高单价限价×（1-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下浮率）。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以上单价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是合同期间的最终价格，在合同期内，价格不再随着市场同类商品市场价格的调整而进行调整。</w:t>
      </w:r>
    </w:p>
    <w:p>
      <w:pPr>
        <w:adjustRightInd w:val="0"/>
        <w:snapToGrid w:val="0"/>
        <w:spacing w:beforeLines="0" w:afterLines="0" w:line="360" w:lineRule="auto"/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例：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“序号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：扣布双层包布”，最高单价限价为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元/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块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，成交供应商的下浮率为5%，则实际供货价=1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×（1-5%）=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15.2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元。</w:t>
      </w:r>
    </w:p>
    <w:p>
      <w:pPr>
        <w:adjustRightInd w:val="0"/>
        <w:snapToGrid w:val="0"/>
        <w:spacing w:beforeLines="0" w:afterLines="0" w:line="360" w:lineRule="auto"/>
        <w:ind w:firstLine="420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缺项、漏项的报价为无效报价。</w:t>
      </w:r>
    </w:p>
    <w:p>
      <w:pPr>
        <w:rPr>
          <w:rFonts w:hint="eastAsia" w:ascii="宋体" w:hAnsi="宋体" w:cs="宋体"/>
          <w:color w:val="auto"/>
          <w:highlight w:val="none"/>
        </w:rPr>
      </w:pP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供应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名称（加盖公章）：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日期：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技术响应表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（一）</w:t>
      </w:r>
      <w:r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包布类、床上用品等采购清单</w:t>
      </w:r>
    </w:p>
    <w:tbl>
      <w:tblPr>
        <w:tblStyle w:val="5"/>
        <w:tblpPr w:leftFromText="180" w:rightFromText="180" w:vertAnchor="text" w:tblpXSpec="center" w:tblpY="1"/>
        <w:tblOverlap w:val="never"/>
        <w:tblW w:w="11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26"/>
        <w:gridCol w:w="1973"/>
        <w:gridCol w:w="2720"/>
        <w:gridCol w:w="681"/>
        <w:gridCol w:w="1064"/>
        <w:gridCol w:w="867"/>
        <w:gridCol w:w="1020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采购物品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规格（cm）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技术参数要求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单价最高限价 (元)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制造商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完全响应或正/负偏离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扣布双层包布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62*62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纱织：经纱20S、纬纱20S；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织法：宽幅梭织；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密度：经纱108，纬纱58；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工艺：丝光烧毛，轻磨毛，柔顺处理；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抗菌、耐酸碱；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断裂强度≥420N；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干摩擦≥3级、耐湿摩擦≥3级。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绿色双层包布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125*125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绿色手术衣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绿色单层治疗巾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90*80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外包布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（绿色/扣布）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85*85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绿色双层横单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200*140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白色中横单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170*90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绿色双层包布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165*150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绿色诊床单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280*90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绿色手术大孔巾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绿色双层包布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70*70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绿色手术横单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120(140)*55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洗手裤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短袖洗手衣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长袖室内衣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扣布外包布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40*40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绿色大裤套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90*70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纱织：经纱32S、纬纱32S；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织法：宽幅梭织；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密度：经纱130、纬纱70；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工艺：丝光烧毛，轻磨毛，柔顺处理；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抗菌、耐酸碱；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断裂强度≥420N；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干摩擦≥3级、耐湿摩擦≥3级。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扣布特大手术衣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95*95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扣布裤套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扣布外包巾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120*120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扣布双层大臀巾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180*85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160*160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扣布小孔巾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75*65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中药封包布袋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开孔裤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开孔床罩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三角治疗巾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扣布孔巾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70*36</w:t>
            </w:r>
          </w:p>
        </w:tc>
        <w:tc>
          <w:tcPr>
            <w:tcW w:w="2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孔巾（绿色/扣布）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150*90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纱织：经纱40S、纬纱40S；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织法：宽幅梭织；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密度：经纱133，纬纱72；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工艺：丝光烧毛，轻磨毛，柔顺处理；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抗菌、耐酸碱；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断裂强度≥420N；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干摩擦≥3级、耐湿摩擦≥3级。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小布袋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隔离衣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纱织：经纱21S、纬纱21S；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密度：经纱108、纬纱58；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工艺：丝光烧毛，轻磨毛，柔顺处理；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抗菌、耐酸碱；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断裂强度≥420N；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干摩擦≥3级、耐湿摩擦≥3级。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纱布袋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纱织：经纱21S、纬纱21S；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密度：经纱28，纬纱28；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蓝色条纹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/紫色白色间格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枕套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drawing>
                <wp:inline distT="0" distB="0" distL="0" distR="0">
                  <wp:extent cx="1359535" cy="1023620"/>
                  <wp:effectExtent l="0" t="0" r="5080" b="1206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9535" cy="102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仿宋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1114425" cy="960120"/>
                  <wp:effectExtent l="0" t="0" r="11430" b="9525"/>
                  <wp:docPr id="9" name="图片 9" descr="1710228272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7102282723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1442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85*45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面料成分：52%聚酯纤维、48%棉（±2%）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纱线线密度：经向18.7tex*纬向18.7tex（±2%）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断裂强力：经向≥1100，纬向≥530（±2%）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PH值范围为4.0-8.5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保证甲醛含量(mg/kg):0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色牢度≥4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工艺要求：医用专业织法，成品线路顺直，结实耐用。高级活性环保印染，防脱色、耐久性。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蓝色条纹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/紫色白色间格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被套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款式图案同序号35枕套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225*160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蓝色条纹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/紫色白色间格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床笠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款式图案同序号35枕套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220*105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drawing>
                <wp:inline distT="0" distB="0" distL="0" distR="0">
                  <wp:extent cx="1159510" cy="1362075"/>
                  <wp:effectExtent l="0" t="0" r="2540" b="9525"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892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47*70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面料成分：100%超细改性聚酯纤维+1%导电纱纤维斜纹磨绒面料（±2%）；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纱线线密度：110D*317D（±2%）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断裂强力：经向≥860，纬向≥370（±2%）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聚酯斜纹磨绒面料，喷水织机织造，采用环保耐氯漂分散染料印染，耐80度高温氯漂消毒洗涤，耐高温高压蒸气灭菌，永久静电， 耐水洗色牢度4-5级，耐汗渍色牢度4-5级，耐干摩擦色牢度4-5级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PH值范围为4.0-8.5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保证甲醛含量(mg/kg):0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枕套开口两层之间要有层叠≥8cm；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被套内四角加绑绳,被套开口两层之间要有层叠≥25cm。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款式图案同枕序号38枕套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160*220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床笠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款式图案同枕序号38枕套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195*90*15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drawing>
                <wp:inline distT="0" distB="0" distL="0" distR="0">
                  <wp:extent cx="1129665" cy="1352550"/>
                  <wp:effectExtent l="0" t="0" r="13335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47*70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面料成分：100%超细改性聚酯纤维+1%导电纱纤维斜纹磨绒面料（±2%）；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纱线线密度：110D*317D（±2%）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断裂强力：经向≥930，纬向≥340（±2%）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聚酯斜纹磨绒面料，喷水织机织造，采用环保耐氯漂分散染料印染，耐80度高温氯漂消毒洗涤，耐高温高压蒸气灭菌，永久静电， 耐水洗色牢度4-5级，耐汗渍色牢度4-5级，耐干摩擦色牢度4-5级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PH值范围为4.0-8.5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保证甲醛含量(mg/kg):0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枕套开口两层之间要有层叠≥8cm；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被套内四角加绑绳,被套开口两层之间要有层叠≥25cm。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款式图案同枕序号41枕套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160*220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床笠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款式图案同枕序号41枕套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195*90*15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粉色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drawing>
                <wp:inline distT="0" distB="0" distL="0" distR="0">
                  <wp:extent cx="1429385" cy="1096645"/>
                  <wp:effectExtent l="0" t="0" r="8255" b="18415"/>
                  <wp:docPr id="22" name="图片 1" descr="说明: C:\Users\fan\AppData\Local\Temp\WeChat Files\229467724170944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" descr="说明: C:\Users\fan\AppData\Local\Temp\WeChat Files\229467724170944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429539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47*70</w:t>
            </w:r>
          </w:p>
        </w:tc>
        <w:tc>
          <w:tcPr>
            <w:tcW w:w="2720" w:type="dxa"/>
            <w:vMerge w:val="restart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面料成分：100%棉（±2%）（时提供证明文件复印件）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纱线线密度：17tex*18tex（±2%）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断裂强力：经向≥760，纬向≥420（±2%）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全棉斜纹面料，喷气织机织造，采用环保耐氯漂印染， 耐水洗色牢度≥4级，耐汗渍色牢度≥4级，耐干摩擦色牢度≥4级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PH值范围为4.0-8.5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保证甲醛含量(mg/kg):0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枕套开口两层之间要有层叠≥8cm；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被套内四角加绑绳,被套开口两层之间要有层叠≥25cm。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粉色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款式图案同枕序号44枕套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160*220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粉色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床笠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款式图案同枕序号44枕套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220*105*20</w:t>
            </w:r>
          </w:p>
        </w:tc>
        <w:tc>
          <w:tcPr>
            <w:tcW w:w="272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棉被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150*200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全棉133/100防雨布包布，内充定型整张400g/m2羽丝绒，双针工艺，电脑绗缝。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成人枕芯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Cs w:val="21"/>
              </w:rPr>
              <w:t>40*60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全棉133/72斜纹包布，内充珍珠棉，立体滚边,重560g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儿童枕芯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37*25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210g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，材质：磨毛布+填充物聚酯纤维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（二）病人服类采购清单</w:t>
      </w:r>
    </w:p>
    <w:tbl>
      <w:tblPr>
        <w:tblStyle w:val="5"/>
        <w:tblW w:w="11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67"/>
        <w:gridCol w:w="2346"/>
        <w:gridCol w:w="3046"/>
        <w:gridCol w:w="682"/>
        <w:gridCol w:w="989"/>
        <w:gridCol w:w="988"/>
        <w:gridCol w:w="996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采购物品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参考款式样图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技术参数要求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单价限价 (元)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制造商</w:t>
            </w:r>
          </w:p>
        </w:tc>
        <w:tc>
          <w:tcPr>
            <w:tcW w:w="99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完全响应或正/负偏离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病人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上衣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drawing>
                <wp:inline distT="0" distB="0" distL="0" distR="0">
                  <wp:extent cx="1390650" cy="771525"/>
                  <wp:effectExtent l="0" t="0" r="0" b="9525"/>
                  <wp:docPr id="23" name="图片 23" descr="图片包含 室内, 桌子, 黑色, 白色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图片包含 室内, 桌子, 黑色, 白色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Cs/>
                <w:szCs w:val="21"/>
              </w:rPr>
              <w:t>款式：绿白间隔条纹</w:t>
            </w:r>
            <w:r>
              <w:rPr>
                <w:rFonts w:hint="eastAsia" w:ascii="宋体" w:hAnsi="宋体" w:cs="宋体"/>
                <w:bCs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</w:rPr>
              <w:t>圆领、长袖、扣钮</w:t>
            </w:r>
          </w:p>
        </w:tc>
        <w:tc>
          <w:tcPr>
            <w:tcW w:w="304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/>
                <w:szCs w:val="21"/>
              </w:rPr>
              <w:t>1、面料成分：50%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/>
                <w:szCs w:val="21"/>
              </w:rPr>
              <w:t>70%含棉、30%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/>
                <w:szCs w:val="21"/>
              </w:rPr>
              <w:t>50%含涤（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/>
                <w:szCs w:val="21"/>
              </w:rPr>
              <w:t>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2、纱织：经纱32，纬纱32（</w:t>
            </w:r>
            <w:r>
              <w:rPr>
                <w:rFonts w:hint="eastAsia"/>
                <w:szCs w:val="21"/>
              </w:rPr>
              <w:t>偏差允许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2，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3、织法:宽幅梭织；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4、密度：经纱130，纬纱70（</w:t>
            </w:r>
            <w:r>
              <w:rPr>
                <w:rFonts w:hint="eastAsia"/>
                <w:szCs w:val="21"/>
              </w:rPr>
              <w:t>偏差允许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2，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5、工艺：丝光烧毛，柔顺处理；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6、抗菌、耐酸碱；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7、PH值、甲醛含量符合国家标准（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）；</w:t>
            </w: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8、物品1-4的码数要求为：可选择提供M、L、XL码（上装48、50、52码，下装30、31、32码）。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9、特大病人上衣、特大病人裤为定制服装，要求供应商支持采购人提供样版尺寸的定制服务，服装适用群体为体重超250KG的患者。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病人裤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drawing>
                <wp:inline distT="0" distB="0" distL="0" distR="0">
                  <wp:extent cx="1390650" cy="1828800"/>
                  <wp:effectExtent l="0" t="0" r="0" b="0"/>
                  <wp:docPr id="24" name="图片 24" descr="图片包含 服装, 室内, 条纹, 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图片包含 服装, 室内, 条纹, 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Cs/>
                <w:szCs w:val="21"/>
              </w:rPr>
              <w:t>款式：绿白间隔条纹</w:t>
            </w:r>
            <w:r>
              <w:rPr>
                <w:rFonts w:hint="eastAsia" w:ascii="宋体" w:hAnsi="宋体" w:cs="宋体"/>
                <w:bCs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</w:rPr>
              <w:t>橡筋裤头</w:t>
            </w:r>
          </w:p>
        </w:tc>
        <w:tc>
          <w:tcPr>
            <w:tcW w:w="3046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条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骨科病人上衣（长袖/短袖）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drawing>
                <wp:inline distT="0" distB="0" distL="0" distR="0">
                  <wp:extent cx="1390650" cy="1019175"/>
                  <wp:effectExtent l="0" t="0" r="0" b="9525"/>
                  <wp:docPr id="25" name="图片 10" descr="图片包含 人, 桌子, 条纹, 衬衫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0" descr="图片包含 人, 桌子, 条纹, 衬衫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款式：绿白间隔条纹</w:t>
            </w:r>
            <w:r>
              <w:rPr>
                <w:rFonts w:hint="eastAsia" w:ascii="宋体" w:hAnsi="宋体" w:cs="宋体"/>
                <w:bCs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</w:rPr>
              <w:t>一侧开、扣钮</w:t>
            </w:r>
          </w:p>
        </w:tc>
        <w:tc>
          <w:tcPr>
            <w:tcW w:w="3046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4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骨科病人上衣（无袖）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drawing>
                <wp:inline distT="0" distB="0" distL="0" distR="0">
                  <wp:extent cx="1390650" cy="1571625"/>
                  <wp:effectExtent l="0" t="0" r="0" b="9525"/>
                  <wp:docPr id="26" name="图片 13" descr="图片包含 室内, 黑色, 桌子, 椅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3" descr="图片包含 室内, 黑色, 桌子, 椅子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款式：绿白间隔条纹；圆领、纽扣</w:t>
            </w:r>
          </w:p>
        </w:tc>
        <w:tc>
          <w:tcPr>
            <w:tcW w:w="3046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5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骨科病人裤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drawing>
                <wp:inline distT="0" distB="0" distL="0" distR="0">
                  <wp:extent cx="1390650" cy="1962150"/>
                  <wp:effectExtent l="0" t="0" r="0" b="0"/>
                  <wp:docPr id="27" name="图片 14" descr="图片包含 室内, 服装, 条纹, 桌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4" descr="图片包含 室内, 服装, 条纹, 桌子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款式：绿白间隔条纹；一侧开、绑绳</w:t>
            </w:r>
          </w:p>
        </w:tc>
        <w:tc>
          <w:tcPr>
            <w:tcW w:w="3046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条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6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特大病人上衣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款式同“1”（病人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上衣）</w:t>
            </w:r>
          </w:p>
        </w:tc>
        <w:tc>
          <w:tcPr>
            <w:tcW w:w="3046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7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特大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病人裤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款式同“2”（病人裤）</w:t>
            </w:r>
          </w:p>
        </w:tc>
        <w:tc>
          <w:tcPr>
            <w:tcW w:w="30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条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8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儿童病人上衣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drawing>
                <wp:inline distT="0" distB="0" distL="0" distR="0">
                  <wp:extent cx="1390650" cy="809625"/>
                  <wp:effectExtent l="0" t="0" r="0" b="9525"/>
                  <wp:docPr id="28" name="图片 15" descr="图片包含 桌子, 游戏机, 服装, 木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5" descr="图片包含 桌子, 游戏机, 服装, 木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款式：蓝色爱心小熊图案</w:t>
            </w:r>
            <w:r>
              <w:rPr>
                <w:rFonts w:hint="eastAsia" w:ascii="宋体" w:hAnsi="宋体" w:cs="宋体"/>
                <w:bCs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</w:rPr>
              <w:t>长袖、翻领、扣钮</w:t>
            </w:r>
          </w:p>
        </w:tc>
        <w:tc>
          <w:tcPr>
            <w:tcW w:w="3046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SimSun-Identity-H"/>
              </w:rPr>
              <w:t>★</w:t>
            </w:r>
            <w:r>
              <w:rPr>
                <w:rFonts w:hint="eastAsia" w:ascii="宋体" w:hAnsi="宋体" w:cs="宋体"/>
                <w:bCs/>
                <w:szCs w:val="21"/>
              </w:rPr>
              <w:t>1、全棉精梳细斜纹布，面料成分为98%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 w:ascii="宋体" w:hAnsi="宋体" w:cs="宋体"/>
                <w:bCs/>
                <w:szCs w:val="21"/>
              </w:rPr>
              <w:t>100%棉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/>
                <w:szCs w:val="21"/>
              </w:rPr>
              <w:t>）；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2、纱织：经纱32，纬纱32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偏差允许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2，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3、织法:宽幅梭织；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4、密度：经纱130，纬纱70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偏差允许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2，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5、工艺：丝光烧毛，柔顺处理；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6、抗菌、耐酸碱；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7、PH值、甲醛含量符合国家标准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8、码数：满足4-14岁儿童。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9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儿童病人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裤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图案同上衣，橡筋裤头</w:t>
            </w:r>
          </w:p>
        </w:tc>
        <w:tc>
          <w:tcPr>
            <w:tcW w:w="304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条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（三）医生、护士、医技工作服类采购清单</w:t>
      </w:r>
    </w:p>
    <w:tbl>
      <w:tblPr>
        <w:tblStyle w:val="5"/>
        <w:tblW w:w="11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65"/>
        <w:gridCol w:w="2215"/>
        <w:gridCol w:w="2922"/>
        <w:gridCol w:w="681"/>
        <w:gridCol w:w="918"/>
        <w:gridCol w:w="982"/>
        <w:gridCol w:w="968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采购物品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参照款式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技术参数要求</w:t>
            </w:r>
          </w:p>
        </w:tc>
        <w:tc>
          <w:tcPr>
            <w:tcW w:w="681" w:type="dxa"/>
            <w:vAlign w:val="center"/>
          </w:tcPr>
          <w:p>
            <w:pPr>
              <w:jc w:val="both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单位</w:t>
            </w:r>
          </w:p>
        </w:tc>
        <w:tc>
          <w:tcPr>
            <w:tcW w:w="918" w:type="dxa"/>
            <w:vAlign w:val="center"/>
          </w:tcPr>
          <w:p>
            <w:pPr>
              <w:jc w:val="both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单价上限（元）</w:t>
            </w:r>
          </w:p>
        </w:tc>
        <w:tc>
          <w:tcPr>
            <w:tcW w:w="98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制造商</w:t>
            </w:r>
          </w:p>
        </w:tc>
        <w:tc>
          <w:tcPr>
            <w:tcW w:w="96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完全响应或正/负偏离</w:t>
            </w:r>
          </w:p>
        </w:tc>
        <w:tc>
          <w:tcPr>
            <w:tcW w:w="96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女护士服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(长袖)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290955" cy="1541780"/>
                  <wp:effectExtent l="0" t="0" r="4445" b="1270"/>
                  <wp:docPr id="29" name="图片 29" descr="64541492589a8222c6b152c0b636d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64541492589a8222c6b152c0b636d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5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2922" w:type="dxa"/>
            <w:vMerge w:val="restart"/>
            <w:vAlign w:val="center"/>
          </w:tcPr>
          <w:p>
            <w:pPr>
              <w:spacing w:line="4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★（1）面料成分：涤纶卡其成份，86%涤，14%棉(允许±5%的偏差)。（报价文件中需提供证明资料）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★（2）密度≥126*71，克重≥205。（报价文件中需提供证明资料）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（3）车缝包边里布：基布为100%涤纶190T里布，涂层为100%高粘度共聚酰胺(COPA)，拼缝洗涤干燥后外观平整度及拼缝外观的要求。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（4）防水袋：上笔袋及两个口袋应加装防水层，采用21OT防水配色面料，防水袋的静水压&gt;5。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（5）拼缝抗皱处理：采用1mm厚高粘度热熔双面背胶膜TPU（高温逼压定型），达到GB/T18867-2002拼缝洗涤干燥后外观平整度及拼缝外观的要求。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（6）长袖工作服的两个袖口应采用三角袖叉。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（7）领底压全棉梭织热熔粘合衬：基布为100%棉，涂层为高密度聚乙烯(HDDE)。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（8）领面压布衬：基布为100%涤纶底弹丝(DTY)，涂层为100%高粘度共聚酰胺(COPA)。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（9）满足FZ/T8007.2006(2012)执行标准，拉伸速度为100m/min，剥离强力经向&gt;18，纬向&gt;18。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（10）甲醛含量、PH值符合GB18401-2010 B类产品要求。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（11）按采购人要求印制或绣制标志。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男医生服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63980" cy="1574165"/>
                  <wp:effectExtent l="0" t="0" r="7620" b="6985"/>
                  <wp:docPr id="30" name="图片 30" descr="61b8ff3f1d241cb05fc615665440b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61b8ff3f1d241cb05fc615665440b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29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女医生服</w:t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18895" cy="1506220"/>
                  <wp:effectExtent l="0" t="0" r="14605" b="17780"/>
                  <wp:docPr id="31" name="图片 31" descr="864e0f64ad0cd3b01e7129c2df7aa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864e0f64ad0cd3b01e7129c2df7aa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150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29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女技师服</w:t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43025" cy="1477010"/>
                  <wp:effectExtent l="0" t="0" r="9525" b="8890"/>
                  <wp:docPr id="32" name="图片 32" descr="fad9e9b03111407b0b488253ee109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fad9e9b03111407b0b488253ee1091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29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男技师服</w:t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51915" cy="1465580"/>
                  <wp:effectExtent l="0" t="0" r="635" b="1270"/>
                  <wp:docPr id="35" name="图片 35" descr="17d0042dcda1b2df634c86a1534f7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17d0042dcda1b2df634c86a1534f7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292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采购需求书</w:t>
      </w:r>
    </w:p>
    <w:p>
      <w:pPr>
        <w:pStyle w:val="2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一、项目基本要求</w:t>
      </w:r>
    </w:p>
    <w:p>
      <w:pPr>
        <w:widowControl w:val="0"/>
        <w:spacing w:line="360" w:lineRule="auto"/>
        <w:jc w:val="both"/>
        <w:rPr>
          <w:b w:val="0"/>
          <w:bCs/>
          <w:color w:val="auto"/>
          <w:szCs w:val="21"/>
          <w:highlight w:val="none"/>
        </w:rPr>
      </w:pPr>
      <w:r>
        <w:rPr>
          <w:rFonts w:hint="eastAsia"/>
          <w:b w:val="0"/>
          <w:bCs/>
          <w:color w:val="auto"/>
          <w:szCs w:val="21"/>
          <w:highlight w:val="none"/>
        </w:rPr>
        <w:t>1. 交货地点：中山市小榄人民医院日用品仓库。</w:t>
      </w:r>
    </w:p>
    <w:p>
      <w:pPr>
        <w:widowControl w:val="0"/>
        <w:spacing w:line="360" w:lineRule="auto"/>
        <w:jc w:val="both"/>
        <w:rPr>
          <w:rFonts w:hint="eastAsia" w:ascii="Times New Roman" w:hAnsi="Times New Roman" w:eastAsia="宋体" w:cs="Times New Roman"/>
          <w:b w:val="0"/>
          <w:bCs/>
          <w:color w:val="auto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highlight w:val="none"/>
        </w:rPr>
        <w:t>2．交货时间：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highlight w:val="none"/>
          <w:lang w:eastAsia="zh-CN"/>
        </w:rPr>
        <w:t>成交供应商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highlight w:val="none"/>
        </w:rPr>
        <w:t>应保证充足的货源，保证供货，在收到采购人下单通知后5个工作日内把指定货物交付到中山市小榄人民医院，不得断供。</w:t>
      </w:r>
    </w:p>
    <w:p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lang w:eastAsia="zh-CN"/>
        </w:rPr>
        <w:t>供货期限：</w:t>
      </w:r>
      <w:r>
        <w:rPr>
          <w:rFonts w:hint="eastAsia" w:ascii="宋体" w:hAnsi="宋体" w:cs="宋体"/>
          <w:b w:val="0"/>
          <w:bCs/>
          <w:color w:val="auto"/>
          <w:szCs w:val="21"/>
          <w:highlight w:val="none"/>
        </w:rPr>
        <w:t>供货期为1年</w:t>
      </w: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lang w:eastAsia="zh-CN"/>
        </w:rPr>
        <w:t>。本项目提供货物总额累计达到预算金额或项目供货期满，则合同自动终止。成交供应商在实施项目过程中如有违法违规行为的，采购人有权取消其供货资格，造成的损失由成交供应商承担。</w:t>
      </w:r>
    </w:p>
    <w:p>
      <w:pPr>
        <w:pStyle w:val="2"/>
        <w:numPr>
          <w:ilvl w:val="0"/>
          <w:numId w:val="6"/>
        </w:num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 w:bidi="ar-SA"/>
        </w:rPr>
        <w:t>成交供应商不得以任何方式转包或分包本项目，否则视为成交供应商毁约。</w:t>
      </w:r>
    </w:p>
    <w:p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  <w:t>响应供应商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须对本项目为单位的货物进行整体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，任何对其中一部分内容进行的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都视为无效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。</w:t>
      </w:r>
    </w:p>
    <w:p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产品符合执行标准：</w:t>
      </w:r>
      <w:r>
        <w:rPr>
          <w:rFonts w:hint="default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GB18401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类、《国家纺织品基本安全技术规范》等国家行业规范标准</w:t>
      </w: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lang w:val="en-US" w:eastAsia="zh-CN"/>
        </w:rPr>
        <w:t>。</w:t>
      </w:r>
    </w:p>
    <w:p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印染要求：严禁使用有毒有害含致癌物染料，医用环保印染、不含致癌物、不褪色、不起球、耐磨、耐洗、耐氯漂、耐高温消毒，耐皂洗色牢度、可分解致癌芳香胺染料等符合国家相关标准。</w:t>
      </w:r>
    </w:p>
    <w:p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制作要求：配原色线，印院标，车缝线路顺直、底面均匀、不漂线、不跳针、起落处回针、剪口锁边，衣领、前后上下肩、袖、裤脚、口袋、绑带、钮门与钮扣对正，不偏不斜，不歪整齐，熨烫平整美观，孔巾包布四边包边，中间一律不准打岔线。</w:t>
      </w:r>
    </w:p>
    <w:p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Cs w:val="21"/>
          <w:highlight w:val="none"/>
        </w:rPr>
      </w:pPr>
      <w:r>
        <w:rPr>
          <w:rFonts w:hint="eastAsia"/>
          <w:b w:val="0"/>
          <w:bCs/>
          <w:color w:val="auto"/>
          <w:highlight w:val="none"/>
        </w:rPr>
        <w:t>下述清单必须包含但不仅限于用户需求所列的内容。若清单中没列出的，但项目实施过程需用到的设备及辅材，供应商须补充列出，且报价须包含补充列出的设备及辅材。</w:t>
      </w:r>
    </w:p>
    <w:p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 w:ascii="宋体" w:hAnsi="宋体" w:cs="宋体"/>
          <w:b w:val="0"/>
          <w:bCs/>
          <w:color w:val="auto"/>
          <w:szCs w:val="21"/>
          <w:highlight w:val="none"/>
        </w:rPr>
      </w:pPr>
      <w:r>
        <w:rPr>
          <w:rFonts w:hint="eastAsia"/>
          <w:b w:val="0"/>
          <w:bCs/>
          <w:color w:val="auto"/>
          <w:szCs w:val="21"/>
          <w:highlight w:val="none"/>
        </w:rPr>
        <w:t>本项目由成交供应商承包及负责</w:t>
      </w:r>
      <w:r>
        <w:rPr>
          <w:rFonts w:hint="eastAsia"/>
          <w:b w:val="0"/>
          <w:bCs/>
          <w:color w:val="auto"/>
          <w:szCs w:val="21"/>
          <w:highlight w:val="none"/>
          <w:lang w:eastAsia="zh-CN"/>
        </w:rPr>
        <w:t>招标</w:t>
      </w:r>
      <w:r>
        <w:rPr>
          <w:rFonts w:hint="eastAsia"/>
          <w:b w:val="0"/>
          <w:bCs/>
          <w:color w:val="auto"/>
          <w:szCs w:val="21"/>
          <w:highlight w:val="none"/>
        </w:rPr>
        <w:t>文件对成交供应商要求的一切事宜及责任。</w:t>
      </w:r>
    </w:p>
    <w:p>
      <w:pPr>
        <w:widowControl w:val="0"/>
        <w:numPr>
          <w:ilvl w:val="0"/>
          <w:numId w:val="6"/>
        </w:numPr>
        <w:spacing w:line="360" w:lineRule="auto"/>
        <w:jc w:val="both"/>
        <w:rPr>
          <w:rFonts w:hint="eastAsia"/>
        </w:rPr>
      </w:pPr>
      <w:r>
        <w:rPr>
          <w:b w:val="0"/>
          <w:bCs/>
          <w:color w:val="auto"/>
          <w:szCs w:val="21"/>
          <w:highlight w:val="none"/>
        </w:rPr>
        <w:t>本项目不接受联合体</w:t>
      </w:r>
      <w:r>
        <w:rPr>
          <w:rFonts w:hint="eastAsia"/>
          <w:b w:val="0"/>
          <w:bCs/>
          <w:color w:val="auto"/>
          <w:szCs w:val="21"/>
          <w:highlight w:val="none"/>
        </w:rPr>
        <w:t>报价。</w:t>
      </w:r>
    </w:p>
    <w:p>
      <w:pPr>
        <w:pStyle w:val="9"/>
        <w:rPr>
          <w:rFonts w:hint="eastAsia"/>
        </w:rPr>
      </w:pPr>
    </w:p>
    <w:p>
      <w:pPr>
        <w:pStyle w:val="2"/>
        <w:numPr>
          <w:ilvl w:val="0"/>
          <w:numId w:val="7"/>
        </w:num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项目采购清单</w:t>
      </w: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（一）</w:t>
      </w:r>
      <w:r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包布类、床上用品等采购清单</w:t>
      </w:r>
    </w:p>
    <w:tbl>
      <w:tblPr>
        <w:tblStyle w:val="5"/>
        <w:tblpPr w:leftFromText="180" w:rightFromText="180" w:vertAnchor="text" w:tblpXSpec="center" w:tblpY="1"/>
        <w:tblOverlap w:val="never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26"/>
        <w:gridCol w:w="1973"/>
        <w:gridCol w:w="3153"/>
        <w:gridCol w:w="613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采购物品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规格（cm）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技术参数要求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</w:rPr>
              <w:t>单价最高限价 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扣布双层包布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62*62</w:t>
            </w:r>
          </w:p>
        </w:tc>
        <w:tc>
          <w:tcPr>
            <w:tcW w:w="3153" w:type="dxa"/>
            <w:vMerge w:val="restart"/>
            <w:noWrap w:val="0"/>
            <w:vAlign w:val="center"/>
          </w:tcPr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纱织：经纱20S、纬纱20S；</w:t>
            </w:r>
          </w:p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织法：宽幅梭织；</w:t>
            </w:r>
          </w:p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密度：经纱108，纬纱58；</w:t>
            </w:r>
          </w:p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工艺：丝光烧毛，轻磨毛，柔顺处理；</w:t>
            </w:r>
          </w:p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抗菌、耐酸碱；</w:t>
            </w:r>
          </w:p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PH值、甲醛含量符合国家标准；</w:t>
            </w:r>
          </w:p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断裂强度≥420N；</w:t>
            </w:r>
          </w:p>
          <w:p>
            <w:pPr>
              <w:numPr>
                <w:ilvl w:val="0"/>
                <w:numId w:val="8"/>
              </w:numPr>
              <w:ind w:left="360" w:leftChars="0" w:hanging="36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干摩擦≥3级、耐湿摩擦≥3级。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绿色双层包布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125*125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绿色手术衣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绿色单层治疗巾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90*80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外包布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（绿色/扣布）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85*85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绿色双层横单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200*140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白色中横单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170*90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绿色双层包布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165*150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绿色诊床单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280*90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绿色手术大孔巾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绿色双层包布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70*70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绿色手术横单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120(140)*55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洗手裤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短袖洗手衣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长袖室内衣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件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扣布外包布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40*40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绿色大裤套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90*70</w:t>
            </w:r>
          </w:p>
        </w:tc>
        <w:tc>
          <w:tcPr>
            <w:tcW w:w="3153" w:type="dxa"/>
            <w:vMerge w:val="restart"/>
            <w:noWrap w:val="0"/>
            <w:vAlign w:val="center"/>
          </w:tcPr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纱织：经纱32S、纬纱32S；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织法：宽幅梭织；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密度：经纱130、纬纱70；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工艺：丝光烧毛，轻磨毛，柔顺处理；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抗菌、耐酸碱；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断裂强度≥420N；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干摩擦≥3级、耐湿摩擦≥3级。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扣布特大手术衣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95*95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扣布裤套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扣布外包巾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120*120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扣布双层大臀巾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180*85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160*160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扣布小孔巾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75*65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中药封包布袋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开孔裤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开孔床罩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三角治疗巾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扣布孔巾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70*36</w:t>
            </w:r>
          </w:p>
        </w:tc>
        <w:tc>
          <w:tcPr>
            <w:tcW w:w="31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孔巾（绿色/扣布）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150*90</w:t>
            </w:r>
          </w:p>
        </w:tc>
        <w:tc>
          <w:tcPr>
            <w:tcW w:w="3153" w:type="dxa"/>
            <w:vMerge w:val="restart"/>
            <w:noWrap w:val="0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纱织：经纱40S、纬纱40S；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织法：宽幅梭织；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密度：经纱133，纬纱72；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工艺：丝光烧毛，轻磨毛，柔顺处理；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抗菌、耐酸碱；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断裂强度≥420N；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干摩擦≥3级、耐湿摩擦≥3级。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小布袋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隔离衣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各种码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纱织：经纱21S、纬纱21S；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密度：经纱108、纬纱58；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工艺：丝光烧毛，轻磨毛，柔顺处理；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抗菌、耐酸碱；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断裂强度≥420N；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干摩擦≥3级、耐湿摩擦≥3级。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纱布袋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按照样板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全棉斜纹布，面料成分为100%棉；</w:t>
            </w:r>
          </w:p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纱织：经纱21S、纬纱21S；</w:t>
            </w:r>
          </w:p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密度：经纱28，纬纱28；</w:t>
            </w:r>
          </w:p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PH值、甲醛含量符合国家标准。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蓝色条纹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/紫色白色间格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枕套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drawing>
                <wp:inline distT="0" distB="0" distL="0" distR="0">
                  <wp:extent cx="1359535" cy="1023620"/>
                  <wp:effectExtent l="0" t="0" r="5080" b="1206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9535" cy="102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仿宋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1114425" cy="960120"/>
                  <wp:effectExtent l="0" t="0" r="11430" b="9525"/>
                  <wp:docPr id="12" name="图片 12" descr="1710228272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7102282723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1442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85*45</w:t>
            </w:r>
          </w:p>
        </w:tc>
        <w:tc>
          <w:tcPr>
            <w:tcW w:w="3153" w:type="dxa"/>
            <w:vMerge w:val="restart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面料成分：52%聚酯纤维、48%棉（±2%）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纱线线密度：经向18.7tex*纬向18.7tex（±2%）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断裂强力：经向≥1100，纬向≥530（±2%）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PH值范围为4.0-8.5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保证甲醛含量(mg/kg):0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色牢度≥4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工艺要求：医用专业织法，成品线路顺直，结实耐用。高级活性环保印染，防脱色、耐久性。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蓝色条纹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/紫色白色间格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被套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款式图案同序号35枕套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225*160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蓝色条纹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/紫色白色间格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床笠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款式图案同序号35枕套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220*105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drawing>
                <wp:inline distT="0" distB="0" distL="0" distR="0">
                  <wp:extent cx="1159510" cy="1362075"/>
                  <wp:effectExtent l="0" t="0" r="2540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892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47*70</w:t>
            </w:r>
          </w:p>
        </w:tc>
        <w:tc>
          <w:tcPr>
            <w:tcW w:w="3153" w:type="dxa"/>
            <w:vMerge w:val="restart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面料成分：100%超细改性聚酯纤维+1%导电纱纤维斜纹磨绒面料（±2%）；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纱线线密度：110D*317D（±2%）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断裂强力：经向≥860，纬向≥370（±2%）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聚酯斜纹磨绒面料，喷水织机织造，采用环保耐氯漂分散染料印染，耐80度高温氯漂消毒洗涤，耐高温高压蒸气灭菌，永久静电， 耐水洗色牢度4-5级，耐汗渍色牢度4-5级，耐干摩擦色牢度4-5级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PH值范围为4.0-8.5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保证甲醛含量(mg/kg):0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枕套开口两层之间要有层叠≥8cm；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被套内四角加绑绳,被套开口两层之间要有层叠≥25cm。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款式图案同枕序号38枕套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160*220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蓝色小方格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床笠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款式图案同枕序号38枕套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195*90*15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drawing>
                <wp:inline distT="0" distB="0" distL="0" distR="0">
                  <wp:extent cx="1129665" cy="1352550"/>
                  <wp:effectExtent l="0" t="0" r="1333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47*70</w:t>
            </w:r>
          </w:p>
        </w:tc>
        <w:tc>
          <w:tcPr>
            <w:tcW w:w="3153" w:type="dxa"/>
            <w:vMerge w:val="restart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面料成分：100%超细改性聚酯纤维+1%导电纱纤维斜纹磨绒面料（±2%）；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纱线线密度：110D*317D（±2%）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断裂强力：经向≥930，纬向≥340（±2%）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聚酯斜纹磨绒面料，喷水织机织造，采用环保耐氯漂分散染料印染，耐80度高温氯漂消毒洗涤，耐高温高压蒸气灭菌，永久静电， 耐水洗色牢度4-5级，耐汗渍色牢度4-5级，耐干摩擦色牢度4-5级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PH值范围为4.0-8.5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保证甲醛含量(mg/kg):0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枕套开口两层之间要有层叠≥8cm；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被套内四角加绑绳,被套开口两层之间要有层叠≥25cm。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款式图案同枕序号41枕套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160*220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紫色大方格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床笠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款式图案同枕序号41枕套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195*90*15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粉色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drawing>
                <wp:inline distT="0" distB="0" distL="0" distR="0">
                  <wp:extent cx="1429385" cy="1096645"/>
                  <wp:effectExtent l="0" t="0" r="8255" b="18415"/>
                  <wp:docPr id="17" name="图片 1" descr="说明: C:\Users\fan\AppData\Local\Temp\WeChat Files\229467724170944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说明: C:\Users\fan\AppData\Local\Temp\WeChat Files\229467724170944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429539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47*70</w:t>
            </w:r>
          </w:p>
        </w:tc>
        <w:tc>
          <w:tcPr>
            <w:tcW w:w="3153" w:type="dxa"/>
            <w:vMerge w:val="restart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面料成分：100%棉（±2%）（时提供证明文件复印件）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纱线线密度：17tex*18tex（±2%）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断裂强力：经向≥760，纬向≥420（±2%）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全棉斜纹面料，喷气织机织造，采用环保耐氯漂印染， 耐水洗色牢度≥4级，耐汗渍色牢度≥4级，耐干摩擦色牢度≥4级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PH值范围为4.0-8.5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保证甲醛含量(mg/kg):0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枕套开口两层之间要有层叠≥8cm；</w:t>
            </w:r>
          </w:p>
          <w:p>
            <w:pPr>
              <w:shd w:val="clear" w:color="auto" w:fill="FFFFFF"/>
              <w:tabs>
                <w:tab w:val="left" w:pos="4253"/>
              </w:tabs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被套内四角加绑绳,被套开口两层之间要有层叠≥25cm。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389"/>
                <w:tab w:val="center" w:pos="802"/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粉色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被套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款式图案同枕序号44枕套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160*220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粉色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床笠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款式图案同枕序号44枕套</w:t>
            </w:r>
          </w:p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220*105*20</w:t>
            </w:r>
          </w:p>
        </w:tc>
        <w:tc>
          <w:tcPr>
            <w:tcW w:w="315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棉被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150*200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全棉133/100防雨布包布，内充定型整张400g/m2羽丝绒，双针工艺，电脑绗缝。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成人枕芯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zCs w:val="21"/>
              </w:rPr>
              <w:t>40*60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全棉133/72斜纹包布，内充珍珠棉，立体滚边,重560g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儿童枕芯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4253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37*25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210g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，材质：磨毛布+填充物聚酯纤维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</w:tr>
    </w:tbl>
    <w:p>
      <w:pPr>
        <w:pStyle w:val="2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（二）病人服类采购清单</w:t>
      </w:r>
    </w:p>
    <w:tbl>
      <w:tblPr>
        <w:tblStyle w:val="5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67"/>
        <w:gridCol w:w="2346"/>
        <w:gridCol w:w="3768"/>
        <w:gridCol w:w="609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采购物品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参考款式样图</w:t>
            </w:r>
          </w:p>
        </w:tc>
        <w:tc>
          <w:tcPr>
            <w:tcW w:w="37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技术参数要求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单价限价 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病人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上衣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drawing>
                <wp:inline distT="0" distB="0" distL="0" distR="0">
                  <wp:extent cx="1390650" cy="771525"/>
                  <wp:effectExtent l="0" t="0" r="0" b="9525"/>
                  <wp:docPr id="2" name="图片 2" descr="图片包含 室内, 桌子, 黑色, 白色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包含 室内, 桌子, 黑色, 白色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Cs/>
                <w:szCs w:val="21"/>
              </w:rPr>
              <w:t>款式：绿白间隔条纹</w:t>
            </w:r>
            <w:r>
              <w:rPr>
                <w:rFonts w:hint="eastAsia" w:ascii="宋体" w:hAnsi="宋体" w:cs="宋体"/>
                <w:bCs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</w:rPr>
              <w:t>圆领、长袖、扣钮</w:t>
            </w:r>
          </w:p>
        </w:tc>
        <w:tc>
          <w:tcPr>
            <w:tcW w:w="37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/>
                <w:szCs w:val="21"/>
              </w:rPr>
              <w:t>1、面料成分：50%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/>
                <w:szCs w:val="21"/>
              </w:rPr>
              <w:t>70%含棉、30%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/>
                <w:szCs w:val="21"/>
              </w:rPr>
              <w:t>50%含涤（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/>
                <w:szCs w:val="21"/>
              </w:rPr>
              <w:t>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2、纱织：经纱32，纬纱32（</w:t>
            </w:r>
            <w:r>
              <w:rPr>
                <w:rFonts w:hint="eastAsia"/>
                <w:szCs w:val="21"/>
              </w:rPr>
              <w:t>偏差允许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2，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3、织法:宽幅梭织；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4、密度：经纱130，纬纱70（</w:t>
            </w:r>
            <w:r>
              <w:rPr>
                <w:rFonts w:hint="eastAsia"/>
                <w:szCs w:val="21"/>
              </w:rPr>
              <w:t>偏差允许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2，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5、工艺：丝光烧毛，柔顺处理；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6、抗菌、耐酸碱；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7、PH值、甲醛含量符合国家标准（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）；</w:t>
            </w: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8、物品1-4的码数要求为：可选择提供M、L、XL码（上装48、50、52码，下装30、31、32码）。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9、特大病人上衣、特大病人裤为定制服装，要求供应商支持采购人提供样版尺寸的定制服务，服装适用群体为体重超250KG的患者。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病人裤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drawing>
                <wp:inline distT="0" distB="0" distL="0" distR="0">
                  <wp:extent cx="1390650" cy="1828800"/>
                  <wp:effectExtent l="0" t="0" r="0" b="0"/>
                  <wp:docPr id="3" name="图片 3" descr="图片包含 服装, 室内, 条纹, 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包含 服装, 室内, 条纹, 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Cs/>
                <w:szCs w:val="21"/>
              </w:rPr>
              <w:t>款式：绿白间隔条纹</w:t>
            </w:r>
            <w:r>
              <w:rPr>
                <w:rFonts w:hint="eastAsia" w:ascii="宋体" w:hAnsi="宋体" w:cs="宋体"/>
                <w:bCs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</w:rPr>
              <w:t>橡筋裤头</w:t>
            </w:r>
          </w:p>
        </w:tc>
        <w:tc>
          <w:tcPr>
            <w:tcW w:w="3768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条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3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骨科病人上衣（长袖/短袖）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drawing>
                <wp:inline distT="0" distB="0" distL="0" distR="0">
                  <wp:extent cx="1390650" cy="1019175"/>
                  <wp:effectExtent l="0" t="0" r="0" b="9525"/>
                  <wp:docPr id="4" name="图片 10" descr="图片包含 人, 桌子, 条纹, 衬衫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图片包含 人, 桌子, 条纹, 衬衫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款式：绿白间隔条纹</w:t>
            </w:r>
            <w:r>
              <w:rPr>
                <w:rFonts w:hint="eastAsia" w:ascii="宋体" w:hAnsi="宋体" w:cs="宋体"/>
                <w:bCs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</w:rPr>
              <w:t>一侧开、扣钮</w:t>
            </w:r>
          </w:p>
        </w:tc>
        <w:tc>
          <w:tcPr>
            <w:tcW w:w="3768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4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骨科病人上衣（无袖）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drawing>
                <wp:inline distT="0" distB="0" distL="0" distR="0">
                  <wp:extent cx="1390650" cy="1571625"/>
                  <wp:effectExtent l="0" t="0" r="0" b="9525"/>
                  <wp:docPr id="5" name="图片 13" descr="图片包含 室内, 黑色, 桌子, 椅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3" descr="图片包含 室内, 黑色, 桌子, 椅子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款式：绿白间隔条纹；圆领、纽扣</w:t>
            </w:r>
          </w:p>
        </w:tc>
        <w:tc>
          <w:tcPr>
            <w:tcW w:w="3768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5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骨科病人裤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drawing>
                <wp:inline distT="0" distB="0" distL="0" distR="0">
                  <wp:extent cx="1390650" cy="1962150"/>
                  <wp:effectExtent l="0" t="0" r="0" b="0"/>
                  <wp:docPr id="6" name="图片 14" descr="图片包含 室内, 服装, 条纹, 桌子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4" descr="图片包含 室内, 服装, 条纹, 桌子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款式：绿白间隔条纹；一侧开、绑绳</w:t>
            </w:r>
          </w:p>
        </w:tc>
        <w:tc>
          <w:tcPr>
            <w:tcW w:w="3768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条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6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特大病人上衣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款式同“1”（病人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上衣）</w:t>
            </w:r>
          </w:p>
        </w:tc>
        <w:tc>
          <w:tcPr>
            <w:tcW w:w="3768" w:type="dxa"/>
            <w:vMerge w:val="continue"/>
            <w:vAlign w:val="center"/>
          </w:tcPr>
          <w:p>
            <w:pPr>
              <w:rPr>
                <w:rFonts w:ascii="宋体" w:hAnsi="宋体" w:cs="宋体"/>
                <w:bCs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7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特大</w:t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病人裤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款式同“2”（病人裤）</w:t>
            </w:r>
          </w:p>
        </w:tc>
        <w:tc>
          <w:tcPr>
            <w:tcW w:w="376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条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1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8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儿童病人上衣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drawing>
                <wp:inline distT="0" distB="0" distL="0" distR="0">
                  <wp:extent cx="1390650" cy="809625"/>
                  <wp:effectExtent l="0" t="0" r="0" b="9525"/>
                  <wp:docPr id="7" name="图片 15" descr="图片包含 桌子, 游戏机, 服装, 木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5" descr="图片包含 桌子, 游戏机, 服装, 木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款式：蓝色爱心小熊图案</w:t>
            </w:r>
            <w:r>
              <w:rPr>
                <w:rFonts w:hint="eastAsia" w:ascii="宋体" w:hAnsi="宋体" w:cs="宋体"/>
                <w:bCs/>
              </w:rPr>
              <w:t>；</w:t>
            </w:r>
            <w:r>
              <w:rPr>
                <w:rFonts w:hint="eastAsia" w:ascii="宋体" w:hAnsi="宋体" w:cs="宋体"/>
                <w:bCs/>
                <w:szCs w:val="21"/>
              </w:rPr>
              <w:t>长袖、翻领、扣钮</w:t>
            </w:r>
          </w:p>
        </w:tc>
        <w:tc>
          <w:tcPr>
            <w:tcW w:w="3768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SimSun-Identity-H"/>
              </w:rPr>
              <w:t>★</w:t>
            </w:r>
            <w:r>
              <w:rPr>
                <w:rFonts w:hint="eastAsia" w:ascii="宋体" w:hAnsi="宋体" w:cs="宋体"/>
                <w:bCs/>
                <w:szCs w:val="21"/>
              </w:rPr>
              <w:t>1、全棉精梳细斜纹布，面料成分为98%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 w:ascii="宋体" w:hAnsi="宋体" w:cs="宋体"/>
                <w:bCs/>
                <w:szCs w:val="21"/>
              </w:rPr>
              <w:t>100%棉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/>
                <w:szCs w:val="21"/>
              </w:rPr>
              <w:t>）；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2、纱织：经纱32，纬纱32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偏差允许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2，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3、织法:宽幅梭织；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4、密度：经纱130，纬纱70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/>
                <w:szCs w:val="21"/>
              </w:rPr>
              <w:t>偏差允许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2，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5、工艺：丝光烧毛，柔顺处理；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6、抗菌、耐酸碱；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7、PH值、甲醛含量符合国家标准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/>
                <w:szCs w:val="20"/>
              </w:rPr>
              <w:t>以</w:t>
            </w:r>
            <w:r>
              <w:rPr>
                <w:rFonts w:hint="eastAsia" w:ascii="宋体" w:hAnsi="宋体" w:cs="SimSun-Identity-H"/>
                <w:szCs w:val="20"/>
              </w:rPr>
              <w:t>检测报告为准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8、码数：满足4-14岁儿童。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件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9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儿童病人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裤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图案同上衣，橡筋裤头</w:t>
            </w:r>
          </w:p>
        </w:tc>
        <w:tc>
          <w:tcPr>
            <w:tcW w:w="3768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条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</w:tbl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（三）医生、护士、医技工作服类采购清单</w:t>
      </w:r>
    </w:p>
    <w:tbl>
      <w:tblPr>
        <w:tblStyle w:val="5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65"/>
        <w:gridCol w:w="2215"/>
        <w:gridCol w:w="3888"/>
        <w:gridCol w:w="56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采购物品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参照款式</w:t>
            </w:r>
          </w:p>
        </w:tc>
        <w:tc>
          <w:tcPr>
            <w:tcW w:w="388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技术参数要求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单位</w:t>
            </w:r>
          </w:p>
        </w:tc>
        <w:tc>
          <w:tcPr>
            <w:tcW w:w="1257" w:type="dxa"/>
          </w:tcPr>
          <w:p>
            <w:pPr>
              <w:jc w:val="center"/>
              <w:rPr>
                <w:rFonts w:ascii="宋体" w:hAnsi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2"/>
                <w:sz w:val="21"/>
                <w:szCs w:val="21"/>
              </w:rPr>
              <w:t>单价上限（元）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女护士服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(长袖)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290955" cy="1541780"/>
                  <wp:effectExtent l="0" t="0" r="4445" b="1270"/>
                  <wp:docPr id="40" name="图片 40" descr="64541492589a8222c6b152c0b636d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64541492589a8222c6b152c0b636d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55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3888" w:type="dxa"/>
            <w:vMerge w:val="restart"/>
            <w:vAlign w:val="center"/>
          </w:tcPr>
          <w:p>
            <w:pPr>
              <w:spacing w:line="4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★（1）面料成分：涤纶卡其成份，86%涤，14%棉(允许±5%的偏差)。（报价文件中需提供证明资料）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★（2）密度≥126*71，克重≥205。（报价文件中需提供证明资料）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（3）车缝包边里布：基布为100%涤纶190T里布，涂层为100%高粘度共聚酰胺(COPA)，拼缝洗涤干燥后外观平整度及拼缝外观的要求。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（4）防水袋：上笔袋及两个口袋应加装防水层，采用21OT防水配色面料，防水袋的静水压&gt;5。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（5）拼缝抗皱处理：采用1mm厚高粘度热熔双面背胶膜TPU（高温逼压定型），达到GB/T18867-2002拼缝洗涤干燥后外观平整度及拼缝外观的要求。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（6）长袖工作服的两个袖口应采用三角袖叉。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（7）领底压全棉梭织热熔粘合衬：基布为100%棉，涂层为高密度聚乙烯(HDDE)。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（8）领面压布衬：基布为100%涤纶底弹丝(DTY)，涂层为100%高粘度共聚酰胺(COPA)。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（9）满足FZ/T8007.2006(2012)执行标准，拉伸速度为100m/min，剥离强力经向&gt;18，纬向&gt;18。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（10）甲醛含量、PH值符合GB18401-2010 B类产品要求。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（11）按采购人要求印制或绣制标志。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男医生服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63980" cy="1574165"/>
                  <wp:effectExtent l="0" t="0" r="7620" b="6985"/>
                  <wp:docPr id="10" name="图片 10" descr="61b8ff3f1d241cb05fc615665440b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1b8ff3f1d241cb05fc615665440b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3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女医生服</w:t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18895" cy="1506220"/>
                  <wp:effectExtent l="0" t="0" r="14605" b="17780"/>
                  <wp:docPr id="13" name="图片 13" descr="864e0f64ad0cd3b01e7129c2df7aa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64e0f64ad0cd3b01e7129c2df7aa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150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3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女技师服</w:t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43025" cy="1477010"/>
                  <wp:effectExtent l="0" t="0" r="9525" b="8890"/>
                  <wp:docPr id="15" name="图片 15" descr="fad9e9b03111407b0b488253ee109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fad9e9b03111407b0b488253ee1091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3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男技师服</w:t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（长袖）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51915" cy="1465580"/>
                  <wp:effectExtent l="0" t="0" r="635" b="1270"/>
                  <wp:docPr id="19" name="图片 19" descr="17d0042dcda1b2df634c86a1534f7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7d0042dcda1b2df634c86a1534f7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3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8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女护士裤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207135" cy="1599565"/>
                  <wp:effectExtent l="0" t="0" r="12065" b="635"/>
                  <wp:docPr id="21" name="图片 21" descr="35f205af15f7dbb0875343748c59d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35f205af15f7dbb0875343748c59d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裤头为橡皮筋裤头，款式详见样板</w:t>
            </w:r>
          </w:p>
        </w:tc>
        <w:tc>
          <w:tcPr>
            <w:tcW w:w="3888" w:type="dxa"/>
            <w:vAlign w:val="center"/>
          </w:tcPr>
          <w:p>
            <w:pPr>
              <w:spacing w:line="4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★（1）面料成分：涤纶卡其成份，86%涤，14%棉(允许±5%的偏差)。（报价文件中需提供证明资料）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★（2）密度≥126*71，克重≥205。（报价文件中需提供证明资料）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（3）车缝包边里布：基布为100%涤纶190T里布，涂层为100%高粘度共聚酰胺(COPA)，拼缝洗涤干燥后外观平整度及拼缝外观的要求。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）拼缝抗皱处理：采用1mm厚高粘度热熔双面背胶膜TPU（高温逼压定型），达到GB/T18867-2002拼缝洗涤干燥后外观平整度及拼缝外观的要求。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）满足FZ/T8007.2006(2012)执行标准，拉伸速度为100m/min，剥离强力经向&gt;18，纬向&gt;18。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）甲醛含量、PH值符合GB18401-2010 B类产品要求。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条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女护士服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2"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391285" cy="1428750"/>
                  <wp:effectExtent l="0" t="0" r="18415" b="0"/>
                  <wp:docPr id="34" name="图片 34" descr="6681be70d40267c768de6f1dffc1d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6681be70d40267c768de6f1dffc1d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宋体" w:eastAsia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3888" w:type="dxa"/>
            <w:vMerge w:val="restart"/>
            <w:vAlign w:val="center"/>
          </w:tcPr>
          <w:p>
            <w:pPr>
              <w:spacing w:line="4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★（1）面料：医护服高科技创新产品（抗皱面料）99.1%特殊涤纶（聚酯纤维）0.9%静电丝。(允许±5%的偏差) （报价文件中需提供证明资料）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（2）颜色：漂白色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（3）纱支：160D*160D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★（4）密度：≥经向630根/10CM,纬向230根/10CM（报价文件中需提供证明资料）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（5）克重：≥215g/平方米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（6）衣服拼缝需做抗皱处理,拼缝需洗涤干燥后外观平整度≥3.5级及洗涤干燥后拼缝外观≥3级，执行标准GB/T18863-2002（五次洗涤干燥循环程序及翻滚烘干）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（7）衣服口袋需做防墨水渗漏处理,要求静水压平均值≥5（增压法：60mbar），水温20度（执行标准：GB/T4744-2013）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（8）衣服采用西装领工艺，面领破大小上下级领，领面压布朴，领底压涤棉热熔衬布，布衬剥离强力≥1.2（执行标准：FZ/T80007.1-2006（2012）)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（9）标志彩色丝印，固色能达到重度洗涤（强酸、强碱、强漂白）不掉色（执行标准：FZ/T31900-2015)。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（10）衣服拼缝止口采用190T配色里布包边。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（11）衣服左前胸开D袋，袋口两端用全涤U121线挑枣。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（12）按采购人要求印制或绣制标志。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（13）面料要求滴水扩散时间/S≤3，执行标准GB/T 21655.1-2008 8.2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（14）芯吸高度/mm：经向≥160，纬向≥120,执行标准FZ/T 01071-2008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（15）蒸发速率/(g/h)≥0.4，执行标准GB/T21655.1-2008 8.3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（16）透湿率/(g/(㎡.24h))≥8000，执行标准GB/T12704.1-2009。</w:t>
            </w:r>
          </w:p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男医生服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205230" cy="1430655"/>
                  <wp:effectExtent l="0" t="0" r="13970" b="17145"/>
                  <wp:docPr id="8" name="图片 33" descr="ee21b970ec618235b068283456614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3" descr="ee21b970ec618235b068283456614b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72" r="110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82" cy="143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3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女医生服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/>
                <w:bCs/>
                <w:kern w:val="2"/>
                <w:sz w:val="21"/>
                <w:szCs w:val="21"/>
              </w:rPr>
              <w:drawing>
                <wp:inline distT="0" distB="0" distL="0" distR="0">
                  <wp:extent cx="1216660" cy="1456055"/>
                  <wp:effectExtent l="0" t="0" r="2540" b="10795"/>
                  <wp:docPr id="33" name="图片 33" descr="ee21b970ec618235b068283456614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ee21b970ec618235b068283456614b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详见样板</w:t>
            </w:r>
          </w:p>
        </w:tc>
        <w:tc>
          <w:tcPr>
            <w:tcW w:w="3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女技师服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款式同“7”女医生服，区别为胸口袋（按长袖）</w:t>
            </w:r>
          </w:p>
        </w:tc>
        <w:tc>
          <w:tcPr>
            <w:tcW w:w="3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11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男技师服</w:t>
            </w:r>
          </w:p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（短袖）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款式同“5”男医生服，区别为胸口袋（按长袖）</w:t>
            </w:r>
          </w:p>
        </w:tc>
        <w:tc>
          <w:tcPr>
            <w:tcW w:w="38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件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</w:tbl>
    <w:p>
      <w:pPr>
        <w:pStyle w:val="2"/>
        <w:jc w:val="both"/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EB954"/>
    <w:multiLevelType w:val="multilevel"/>
    <w:tmpl w:val="850EB95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9933D4AD"/>
    <w:multiLevelType w:val="singleLevel"/>
    <w:tmpl w:val="9933D4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02C4F0A"/>
    <w:multiLevelType w:val="multilevel"/>
    <w:tmpl w:val="A02C4F0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C9C0FA03"/>
    <w:multiLevelType w:val="multilevel"/>
    <w:tmpl w:val="C9C0FA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DB081704"/>
    <w:multiLevelType w:val="singleLevel"/>
    <w:tmpl w:val="DB081704"/>
    <w:lvl w:ilvl="0" w:tentative="0">
      <w:start w:val="3"/>
      <w:numFmt w:val="decimal"/>
      <w:suff w:val="space"/>
      <w:lvlText w:val="%1."/>
      <w:lvlJc w:val="left"/>
    </w:lvl>
  </w:abstractNum>
  <w:abstractNum w:abstractNumId="5">
    <w:nsid w:val="0874F03C"/>
    <w:multiLevelType w:val="multilevel"/>
    <w:tmpl w:val="0874F03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0D47B8"/>
    <w:multiLevelType w:val="multilevel"/>
    <w:tmpl w:val="0E0D47B8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2024F"/>
    <w:multiLevelType w:val="multilevel"/>
    <w:tmpl w:val="1422024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A20F5F"/>
    <w:multiLevelType w:val="multilevel"/>
    <w:tmpl w:val="3EA20F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5A2865"/>
    <w:multiLevelType w:val="multilevel"/>
    <w:tmpl w:val="6F5A286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406019"/>
    <w:multiLevelType w:val="multilevel"/>
    <w:tmpl w:val="7140601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EFDCA62"/>
    <w:multiLevelType w:val="multilevel"/>
    <w:tmpl w:val="7EFDCA62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zk3NzUwMGUwNGNhMDMwYmI3NjJjZDM0MWY5MzYifQ=="/>
  </w:docVars>
  <w:rsids>
    <w:rsidRoot w:val="7CA97624"/>
    <w:rsid w:val="00C12DE3"/>
    <w:rsid w:val="06206A3C"/>
    <w:rsid w:val="125D4F01"/>
    <w:rsid w:val="322B4301"/>
    <w:rsid w:val="5AC24903"/>
    <w:rsid w:val="606C4E14"/>
    <w:rsid w:val="7CA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华文新魏" w:eastAsia="华文新魏"/>
      <w:sz w:val="48"/>
      <w:szCs w:val="44"/>
    </w:rPr>
  </w:style>
  <w:style w:type="paragraph" w:customStyle="1" w:styleId="7">
    <w:name w:val="列出段落2"/>
    <w:basedOn w:val="1"/>
    <w:autoRedefine/>
    <w:qFormat/>
    <w:uiPriority w:val="0"/>
    <w:pPr>
      <w:widowControl w:val="0"/>
      <w:ind w:firstLine="420" w:firstLineChars="200"/>
      <w:jc w:val="both"/>
    </w:pPr>
    <w:rPr>
      <w:kern w:val="2"/>
      <w:szCs w:val="22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2024-04-09T03:44:00Z</dcterms:created>
  <dc:creator>Administrator</dc:creator>
  <cp:lastModifiedBy>Administrator</cp:lastModifiedBy>
  <dcterms:modified xsi:type="dcterms:W3CDTF">2024-04-09T08:34:31Z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32E624CE28A947C08E3A9F229432C9EA_11</vt:lpwstr>
  </property>
</Properties>
</file>