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color w:val="000000" w:themeColor="text1"/>
          <w:kern w:val="28"/>
          <w:sz w:val="44"/>
          <w:szCs w:val="44"/>
          <w14:textFill>
            <w14:solidFill>
              <w14:schemeClr w14:val="tx1"/>
            </w14:solidFill>
          </w14:textFill>
        </w:rPr>
      </w:pPr>
      <w:r>
        <w:rPr>
          <w:rFonts w:hint="eastAsia" w:ascii="仿宋" w:hAnsi="仿宋" w:eastAsia="仿宋" w:cs="仿宋"/>
          <w:b/>
          <w:sz w:val="44"/>
          <w:szCs w:val="44"/>
        </w:rPr>
        <w:t>采购需求表</w:t>
      </w:r>
    </w:p>
    <w:p>
      <w:pPr>
        <w:jc w:val="center"/>
        <w:rPr>
          <w:rFonts w:ascii="仿宋" w:hAnsi="仿宋" w:eastAsia="仿宋" w:cs="仿宋"/>
          <w:bCs/>
          <w:color w:val="000000" w:themeColor="text1"/>
          <w:sz w:val="30"/>
          <w:szCs w:val="30"/>
          <w14:textFill>
            <w14:solidFill>
              <w14:schemeClr w14:val="tx1"/>
            </w14:solidFill>
          </w14:textFill>
        </w:rPr>
      </w:pPr>
    </w:p>
    <w:p>
      <w:pPr>
        <w:numPr>
          <w:ilvl w:val="0"/>
          <w:numId w:val="1"/>
        </w:num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基本需求</w:t>
      </w:r>
    </w:p>
    <w:tbl>
      <w:tblPr>
        <w:tblStyle w:val="3"/>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项目名称</w:t>
            </w:r>
          </w:p>
        </w:tc>
        <w:tc>
          <w:tcPr>
            <w:tcW w:w="2268"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需求科室/部门</w:t>
            </w:r>
          </w:p>
        </w:tc>
        <w:tc>
          <w:tcPr>
            <w:tcW w:w="2508"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维保期限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中山市小榄人民医院GE -DSA维保三年采购项目</w:t>
            </w:r>
          </w:p>
        </w:tc>
        <w:tc>
          <w:tcPr>
            <w:tcW w:w="2268"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介入科</w:t>
            </w:r>
          </w:p>
        </w:tc>
        <w:tc>
          <w:tcPr>
            <w:tcW w:w="2508"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自本项目合同签订之日起三年</w:t>
            </w:r>
          </w:p>
        </w:tc>
      </w:tr>
    </w:tbl>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服务核心：GE Innova 3100IQ DSA维保服务</w:t>
      </w: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用途：对设备进行日常的维护和保养，配合保养计划，针对产品的外部环境</w:t>
      </w:r>
      <w:r>
        <w:rPr>
          <w:rFonts w:hint="eastAsia" w:ascii="仿宋_GB2312" w:hAnsi="仿宋_GB2312" w:eastAsia="仿宋_GB2312" w:cs="仿宋_GB2312"/>
          <w:bCs/>
          <w:color w:val="000000" w:themeColor="text1"/>
          <w:sz w:val="30"/>
          <w:szCs w:val="30"/>
          <w14:textFill>
            <w14:solidFill>
              <w14:schemeClr w14:val="tx1"/>
            </w14:solidFill>
          </w14:textFill>
        </w:rPr>
        <w:t>、主要参数与性能做质量评估，为机器潜在的问题预测提示，以期减少机器非正常停机的风险，提高医疗设备的正常使用率</w:t>
      </w:r>
      <w:bookmarkStart w:id="2" w:name="_GoBack"/>
      <w:bookmarkEnd w:id="2"/>
      <w:r>
        <w:rPr>
          <w:rFonts w:hint="eastAsia" w:ascii="仿宋" w:hAnsi="仿宋" w:eastAsia="仿宋" w:cs="仿宋"/>
          <w:bCs/>
          <w:color w:val="000000" w:themeColor="text1"/>
          <w:sz w:val="30"/>
          <w:szCs w:val="30"/>
          <w14:textFill>
            <w14:solidFill>
              <w14:schemeClr w14:val="tx1"/>
            </w14:solidFill>
          </w14:textFill>
        </w:rPr>
        <w:t>。</w:t>
      </w:r>
    </w:p>
    <w:p>
      <w:pPr>
        <w:numPr>
          <w:ilvl w:val="0"/>
          <w:numId w:val="1"/>
        </w:numPr>
        <w:spacing w:line="440" w:lineRule="exact"/>
        <w:rPr>
          <w:rFonts w:ascii="仿宋" w:hAnsi="仿宋" w:eastAsia="仿宋" w:cs="仿宋"/>
          <w:bCs/>
          <w:color w:val="000000" w:themeColor="text1"/>
          <w:sz w:val="30"/>
          <w:szCs w:val="30"/>
          <w14:textFill>
            <w14:solidFill>
              <w14:schemeClr w14:val="tx1"/>
            </w14:solidFill>
          </w14:textFill>
        </w:rPr>
      </w:pP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技术参数要求：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序号</w:t>
            </w:r>
          </w:p>
        </w:tc>
        <w:tc>
          <w:tcPr>
            <w:tcW w:w="73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w:t>
            </w:r>
          </w:p>
        </w:tc>
        <w:tc>
          <w:tcPr>
            <w:tcW w:w="7336" w:type="dxa"/>
            <w:vAlign w:val="center"/>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sz w:val="30"/>
                <w:szCs w:val="30"/>
              </w:rPr>
              <w:t>设备型号：</w:t>
            </w:r>
            <w:r>
              <w:rPr>
                <w:rFonts w:hint="eastAsia" w:ascii="仿宋" w:hAnsi="仿宋" w:eastAsia="仿宋" w:cs="仿宋"/>
                <w:bCs/>
                <w:color w:val="000000" w:themeColor="text1"/>
                <w:sz w:val="30"/>
                <w:szCs w:val="30"/>
                <w14:textFill>
                  <w14:solidFill>
                    <w14:schemeClr w14:val="tx1"/>
                  </w14:solidFill>
                </w14:textFill>
              </w:rPr>
              <w:t>Innova 3100IQ</w:t>
            </w:r>
            <w:r>
              <w:rPr>
                <w:rFonts w:hint="eastAsia" w:ascii="仿宋" w:hAnsi="仿宋" w:eastAsia="仿宋" w:cs="仿宋"/>
                <w:bCs/>
                <w:color w:val="00000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w:t>
            </w:r>
          </w:p>
        </w:tc>
        <w:tc>
          <w:tcPr>
            <w:tcW w:w="7336" w:type="dxa"/>
          </w:tcPr>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（1）维保周期：三年</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（2）维保内容：包括</w:t>
            </w:r>
            <w:r>
              <w:rPr>
                <w:rFonts w:hint="eastAsia" w:ascii="仿宋" w:hAnsi="仿宋" w:eastAsia="仿宋" w:cs="仿宋"/>
                <w:bCs/>
                <w:color w:val="000000" w:themeColor="text1"/>
                <w:sz w:val="30"/>
                <w:szCs w:val="30"/>
                <w14:textFill>
                  <w14:solidFill>
                    <w14:schemeClr w14:val="tx1"/>
                  </w14:solidFill>
                </w14:textFill>
              </w:rPr>
              <w:t>Innova 3100IQ</w:t>
            </w:r>
            <w:r>
              <w:rPr>
                <w:rFonts w:hint="eastAsia" w:ascii="仿宋" w:hAnsi="仿宋" w:eastAsia="仿宋" w:cs="仿宋"/>
                <w:bCs/>
                <w:color w:val="000000"/>
                <w:sz w:val="30"/>
                <w:szCs w:val="30"/>
              </w:rPr>
              <w:t>型DSA的整机维修及保养所需的备件及费用。包含每年至少4次整机保养，无限次数维修，维修维保所需任何费用（包括但不限于配件费、人工费等）均包含在合同总价内，采购人不在额外支付任何费用。</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（3）服务范围包括但不限于以下内容：球管、平板探测器、高压注射器、主机零配件及工作站的保修。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3</w:t>
            </w:r>
          </w:p>
        </w:tc>
        <w:tc>
          <w:tcPr>
            <w:tcW w:w="7336" w:type="dxa"/>
          </w:tcPr>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安全检查：按照厂家设备本身标准及当地规定执行。</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（1）制定检查计划</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（2）机械安全检查</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（3）电气安全检查</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（4）记录检查结果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4</w:t>
            </w:r>
          </w:p>
        </w:tc>
        <w:tc>
          <w:tcPr>
            <w:tcW w:w="7336" w:type="dxa"/>
          </w:tcPr>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预防性保养：按照保养计划提供，每年提供至少四次专业保养，以保证设备处于最佳运行状态。</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（1）记录并安排保养时间</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（2）按照厂家标准进行调校</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（3）确认各项技术指标及性能</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（4）年检时，中标人负责配合医院按照相关部门流程进行检测，以保障取得合格证。</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（5）记录设备状况</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（6）提供每次保养后由设备本身导出的保养报告</w:t>
            </w:r>
          </w:p>
          <w:p>
            <w:pPr>
              <w:spacing w:line="440" w:lineRule="exact"/>
              <w:rPr>
                <w:rFonts w:ascii="仿宋" w:hAnsi="仿宋" w:eastAsia="仿宋" w:cs="仿宋"/>
                <w:bCs/>
                <w:color w:val="000000"/>
                <w:sz w:val="30"/>
                <w:szCs w:val="30"/>
              </w:rPr>
            </w:pPr>
            <w:r>
              <w:rPr>
                <w:rFonts w:hint="eastAsia" w:ascii="仿宋" w:hAnsi="仿宋" w:eastAsia="仿宋" w:cs="仿宋"/>
                <w:bCs/>
                <w:color w:val="000000"/>
                <w:sz w:val="30"/>
                <w:szCs w:val="30"/>
              </w:rPr>
              <w:t>（7）预防性保养损耗品：预防性保养中需要更换的损耗品由中标人提供，以上费用已包含在投标报价中。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5</w:t>
            </w:r>
          </w:p>
        </w:tc>
        <w:tc>
          <w:tcPr>
            <w:tcW w:w="7336" w:type="dxa"/>
          </w:tcPr>
          <w:p>
            <w:pPr>
              <w:spacing w:line="440" w:lineRule="exact"/>
              <w:rPr>
                <w:rFonts w:ascii="仿宋" w:hAnsi="仿宋" w:eastAsia="仿宋" w:cs="仿宋"/>
                <w:bCs/>
                <w:color w:val="000000"/>
                <w:sz w:val="30"/>
                <w:szCs w:val="30"/>
              </w:rPr>
            </w:pPr>
            <w:r>
              <w:rPr>
                <w:rFonts w:hint="eastAsia" w:ascii="仿宋" w:hAnsi="仿宋" w:eastAsia="仿宋" w:cs="仿宋"/>
                <w:bCs/>
                <w:color w:val="000000" w:themeColor="text1"/>
                <w:sz w:val="30"/>
                <w:szCs w:val="30"/>
                <w14:textFill>
                  <w14:solidFill>
                    <w14:schemeClr w14:val="tx1"/>
                  </w14:solidFill>
                </w14:textFill>
              </w:rPr>
              <w:t>安全升级：投标人或其维修服务商必须在原厂规定的升级文件规定时间内完成，并在升级完成后提供原厂升级文件及工作记录。针对设备原厂官网发布的FCO，必须在有效期内执行；投标人须确保不会因安全升级导致整机出现任何故障，若因此而故障，须由投标人负责复原，无法复原须原价赔偿。投标人须提供相关证明文件（包括但不限于投标人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▲开机率：</w:t>
            </w: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  在合同期内保证 95%的开机率（按一年365个日历日计算）。如果此开机率由于中标人的原因未能达到，按 1：4 比例顺延保修期时间（开机日每降低 1 个日历日，保修期顺延 4 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7</w:t>
            </w:r>
          </w:p>
        </w:tc>
        <w:tc>
          <w:tcPr>
            <w:tcW w:w="7336" w:type="dxa"/>
          </w:tcPr>
          <w:p>
            <w:pPr>
              <w:widowControl/>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中标人对本设备的任何维修保养，须有纸质记录，并经采购人相关人员签字确认服务内容。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bookmarkStart w:id="0" w:name="OLE_LINK3"/>
            <w:bookmarkStart w:id="1" w:name="OLE_LINK4"/>
            <w:r>
              <w:rPr>
                <w:rFonts w:hint="eastAsia" w:ascii="仿宋" w:hAnsi="仿宋" w:eastAsia="仿宋" w:cs="仿宋"/>
                <w:bCs/>
                <w:color w:val="000000" w:themeColor="text1"/>
                <w:sz w:val="30"/>
                <w:szCs w:val="30"/>
                <w14:textFill>
                  <w14:solidFill>
                    <w14:schemeClr w14:val="tx1"/>
                  </w14:solidFill>
                </w14:textFill>
              </w:rPr>
              <w:t>▲</w:t>
            </w:r>
            <w:bookmarkEnd w:id="0"/>
            <w:bookmarkEnd w:id="1"/>
            <w:r>
              <w:rPr>
                <w:rFonts w:hint="eastAsia" w:ascii="仿宋" w:hAnsi="仿宋" w:eastAsia="仿宋" w:cs="仿宋"/>
                <w:bCs/>
                <w:color w:val="000000" w:themeColor="text1"/>
                <w:sz w:val="30"/>
                <w:szCs w:val="30"/>
                <w14:textFill>
                  <w14:solidFill>
                    <w14:schemeClr w14:val="tx1"/>
                  </w14:solidFill>
                </w14:textFill>
              </w:rPr>
              <w:t>备件：</w:t>
            </w: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备件必须是原厂认证合格的零备件，备件有追踪号码，保障不会对设备质量或图像产生不良影响。提供保修所需的备件，备件供应要及时、充足。如因提供不合法不合规或来路不明的备件而引起的相关损失及法律责任由中标人自行承担(投标文件中提供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▲在采购人报修之日起，中标人须在5日完成故障修复（含备件更换）并经采购人相关部门签字确认修复结果，若超期，每超1个日历日，保修期顺延 4 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10</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远程服务：</w:t>
            </w: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投标人，在用户允许的情况下可以远程接入本设备，及时对设备系统bug等故障进行远程维修/修复以保证维修的及时性，且远程服务应满足以下需求：</w:t>
            </w: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▲（1）该远程服务可以实现远程不断监控和保护医疗设备，及时发出预警，在出现故障之前，就可对其进行远程维护和处理，以减少设备停机时间，提高设备使用率。</w:t>
            </w: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（2）基于设备嵌入式远程连接方案投标人需符合HIPAA和NEMA安全要求，并且通过ISO27001国际信息安全管理体系。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11</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提供热线电话，24小时 *365天有工程师接听，为采购人快速诊断和提供技术支持服务。接到维修要求后，如是设备停机或是影响设备使用的故障，第2日内到达现场，接到保修之日起，5内完成修复使设备正常运行；如是间接性故障或不影响设备使用的故障，在取得科室同意的情况下，可酌情延长到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12</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提供维护保养的专业工具的介绍（投标人须在投标文件提供相应证明材料）。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13</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更换本设备的所有备件，皆须经采购人相关人员签字确认后，方可更换，更换的备件需与原部件为同一厂家。本设备的球管为D2801A球管，中标人所更换的球管须为同品牌型号的全新球管。若更换其他系列球管，一经发现中标人须向采购人赔偿合同金额20%的违约金，同时设备因此而引发的故障或采购人因此而承受的损伤，均由中标人负责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15</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投标人须在每次维护保养后，三个工作日内，向采购人提供保养记录报告，由采购人签字确认；投标人须在每次维修后，三个工作日内向采购人提供维修记录报告（报告包括不限于损害配件、故障原因、更换备件名称、型号、来源等内容）；中标人每年12月31日前向采购人提供年度维修报告（报告符合三甲医院要求标准，同时包括但不限于以下内容：故障明细及解决时间、预防性建议、易发生故障部件及日常防范方式等）。（投标文件中提供承诺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6"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16</w:t>
            </w:r>
          </w:p>
        </w:tc>
        <w:tc>
          <w:tcPr>
            <w:tcW w:w="7336"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★中标人不得有出现但不包括以下情况：复制本次维保设备的任何数据，盗用数据，同时维保维护数据向第三方透露等情形，若上述情况一经发现，采购人保留向中标人追偿追责的权利。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6" w:type="dxa"/>
          </w:tcPr>
          <w:p>
            <w:pPr>
              <w:spacing w:line="440" w:lineRule="exact"/>
              <w:jc w:val="center"/>
              <w:rPr>
                <w:rFonts w:hint="default" w:ascii="仿宋" w:hAnsi="仿宋" w:eastAsia="仿宋" w:cs="仿宋"/>
                <w:bCs/>
                <w:color w:val="000000" w:themeColor="text1"/>
                <w:sz w:val="30"/>
                <w:szCs w:val="30"/>
                <w:lang w:val="en-US" w:eastAsia="zh-CN"/>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17</w:t>
            </w:r>
          </w:p>
        </w:tc>
        <w:tc>
          <w:tcPr>
            <w:tcW w:w="7336" w:type="dxa"/>
          </w:tcPr>
          <w:p>
            <w:pPr>
              <w:spacing w:line="440" w:lineRule="exact"/>
              <w:rPr>
                <w:rFonts w:hint="default" w:ascii="仿宋" w:hAnsi="仿宋" w:eastAsia="仿宋" w:cs="仿宋"/>
                <w:bCs/>
                <w:color w:val="000000" w:themeColor="text1"/>
                <w:sz w:val="30"/>
                <w:szCs w:val="30"/>
                <w:lang w:val="en-US" w:eastAsia="zh-CN"/>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在维保期内，若无更换过全新球管，则中标人须在出保前，于这台设备更换一支新球管。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6" w:type="dxa"/>
          </w:tcPr>
          <w:p>
            <w:pPr>
              <w:spacing w:line="440" w:lineRule="exact"/>
              <w:jc w:val="center"/>
              <w:rPr>
                <w:rFonts w:hint="default" w:ascii="仿宋" w:hAnsi="仿宋" w:eastAsia="仿宋" w:cs="仿宋"/>
                <w:bCs/>
                <w:color w:val="000000" w:themeColor="text1"/>
                <w:sz w:val="30"/>
                <w:szCs w:val="30"/>
                <w:lang w:val="en-US" w:eastAsia="zh-CN"/>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18</w:t>
            </w:r>
          </w:p>
        </w:tc>
        <w:tc>
          <w:tcPr>
            <w:tcW w:w="7336" w:type="dxa"/>
          </w:tcPr>
          <w:p>
            <w:pPr>
              <w:spacing w:line="440" w:lineRule="exac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 w:val="0"/>
                <w:bCs/>
                <w:color w:val="000000" w:themeColor="text1"/>
                <w:sz w:val="30"/>
                <w:szCs w:val="30"/>
                <w14:textFill>
                  <w14:solidFill>
                    <w14:schemeClr w14:val="tx1"/>
                  </w14:solidFill>
                </w14:textFill>
              </w:rPr>
              <w:t>▲</w:t>
            </w:r>
            <w:r>
              <w:rPr>
                <w:rFonts w:hint="eastAsia" w:ascii="仿宋" w:hAnsi="仿宋" w:eastAsia="仿宋" w:cs="仿宋"/>
                <w:b w:val="0"/>
                <w:bCs/>
                <w:color w:val="000000" w:themeColor="text1"/>
                <w:sz w:val="30"/>
                <w:szCs w:val="30"/>
                <w:lang w:val="en-US" w:eastAsia="zh-CN"/>
                <w14:textFill>
                  <w14:solidFill>
                    <w14:schemeClr w14:val="tx1"/>
                  </w14:solidFill>
                </w14:textFill>
              </w:rPr>
              <w:t>投标人须在每次维护保养后，三个工作日内，向采购人提供保养记录报告，由采购人签字确认；投标人须在每次维修后，三个工作日内向采购人提供维修记录报告（报告包括不限于损害配件、故障原因、更换备件名称、型号、来源等内容）；中标人每年12月31日前向采购人提供年度维修报告（报告符合三甲医院要求标准，同时包括但不限于以下内容：故障明细及解决时间、预防性建议、易发生故障部件及日常防范方式等）。</w:t>
            </w:r>
            <w:r>
              <w:rPr>
                <w:rFonts w:hint="eastAsia" w:ascii="仿宋" w:hAnsi="仿宋" w:eastAsia="仿宋" w:cs="仿宋"/>
                <w:b w:val="0"/>
                <w:bCs/>
                <w:color w:val="000000" w:themeColor="text1"/>
                <w:sz w:val="30"/>
                <w:szCs w:val="30"/>
                <w14:textFill>
                  <w14:solidFill>
                    <w14:schemeClr w14:val="tx1"/>
                  </w14:solidFill>
                </w14:textFill>
              </w:rPr>
              <w:t>（投标文件中提供承诺书并加盖投标人公章）。</w:t>
            </w:r>
          </w:p>
        </w:tc>
      </w:tr>
    </w:tbl>
    <w:p>
      <w:pPr>
        <w:spacing w:line="440" w:lineRule="exact"/>
        <w:rPr>
          <w:rFonts w:ascii="仿宋" w:hAnsi="仿宋" w:eastAsia="仿宋" w:cs="仿宋"/>
          <w:bCs/>
          <w:color w:val="000000" w:themeColor="text1"/>
          <w:sz w:val="30"/>
          <w:szCs w:val="30"/>
          <w14:textFill>
            <w14:solidFill>
              <w14:schemeClr w14:val="tx1"/>
            </w14:solidFill>
          </w14:textFill>
        </w:rPr>
      </w:pPr>
    </w:p>
    <w:p>
      <w:pPr>
        <w:spacing w:line="440" w:lineRule="exact"/>
        <w:rPr>
          <w:rFonts w:ascii="仿宋" w:hAnsi="仿宋" w:eastAsia="仿宋" w:cs="仿宋"/>
          <w:bCs/>
          <w:color w:val="000000" w:themeColor="text1"/>
          <w:sz w:val="30"/>
          <w:szCs w:val="30"/>
          <w14:textFill>
            <w14:solidFill>
              <w14:schemeClr w14:val="tx1"/>
            </w14:solidFill>
          </w14:textFill>
        </w:rPr>
      </w:pP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商务参数要求：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序号</w:t>
            </w:r>
          </w:p>
        </w:tc>
        <w:tc>
          <w:tcPr>
            <w:tcW w:w="7599"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w:t>
            </w:r>
          </w:p>
        </w:tc>
        <w:tc>
          <w:tcPr>
            <w:tcW w:w="7599" w:type="dxa"/>
            <w:vAlign w:val="center"/>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付款方式：</w:t>
            </w:r>
            <w:r>
              <w:rPr>
                <w:rFonts w:hint="eastAsia" w:ascii="仿宋" w:hAnsi="仿宋" w:eastAsia="仿宋" w:cs="仿宋"/>
                <w:bCs/>
                <w:color w:val="000000" w:themeColor="text1"/>
                <w:sz w:val="30"/>
                <w:szCs w:val="30"/>
                <w14:textFill>
                  <w14:solidFill>
                    <w14:schemeClr w14:val="tx1"/>
                  </w14:solidFill>
                </w14:textFill>
              </w:rPr>
              <w:br w:type="textWrapping"/>
            </w:r>
            <w:r>
              <w:rPr>
                <w:rFonts w:hint="eastAsia" w:ascii="仿宋" w:hAnsi="仿宋" w:eastAsia="仿宋" w:cs="仿宋"/>
                <w:bCs/>
                <w:color w:val="000000" w:themeColor="text1"/>
                <w:sz w:val="30"/>
                <w:szCs w:val="30"/>
                <w14:textFill>
                  <w14:solidFill>
                    <w14:schemeClr w14:val="tx1"/>
                  </w14:solidFill>
                </w14:textFill>
              </w:rPr>
              <w:t>采购人按每个季度进行付款。每个季度末，成交供应商提供合同总金额的(100%</w:t>
            </w:r>
            <w:r>
              <w:rPr>
                <w:rFonts w:hint="eastAsia" w:ascii="仿宋" w:hAnsi="仿宋" w:eastAsia="仿宋" w:cs="仿宋"/>
                <w:bCs/>
                <w:color w:val="000000" w:themeColor="text1"/>
                <w:sz w:val="30"/>
                <w:szCs w:val="30"/>
                <w:lang w:val="en-US"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3年</w:t>
            </w:r>
            <w:r>
              <w:rPr>
                <w:rFonts w:hint="eastAsia" w:ascii="仿宋" w:hAnsi="仿宋" w:eastAsia="仿宋" w:cs="仿宋"/>
                <w:bCs/>
                <w:color w:val="000000" w:themeColor="text1"/>
                <w:sz w:val="30"/>
                <w:szCs w:val="30"/>
                <w14:textFill>
                  <w14:solidFill>
                    <w14:schemeClr w14:val="tx1"/>
                  </w14:solidFill>
                </w14:textFill>
              </w:rPr>
              <w:t>X4</w:t>
            </w:r>
            <w:r>
              <w:rPr>
                <w:rFonts w:hint="eastAsia" w:ascii="仿宋" w:hAnsi="仿宋" w:eastAsia="仿宋" w:cs="仿宋"/>
                <w:bCs/>
                <w:color w:val="000000" w:themeColor="text1"/>
                <w:sz w:val="30"/>
                <w:szCs w:val="30"/>
                <w:lang w:val="en-US" w:eastAsia="zh-CN"/>
                <w14:textFill>
                  <w14:solidFill>
                    <w14:schemeClr w14:val="tx1"/>
                  </w14:solidFill>
                </w14:textFill>
              </w:rPr>
              <w:t>季度/年</w:t>
            </w:r>
            <w:r>
              <w:rPr>
                <w:rFonts w:hint="eastAsia" w:ascii="仿宋" w:hAnsi="仿宋" w:eastAsia="仿宋" w:cs="仿宋"/>
                <w:bCs/>
                <w:color w:val="000000" w:themeColor="text1"/>
                <w:sz w:val="30"/>
                <w:szCs w:val="30"/>
                <w14:textFill>
                  <w14:solidFill>
                    <w14:schemeClr w14:val="tx1"/>
                  </w14:solidFill>
                </w14:textFill>
              </w:rPr>
              <w:t>))(保留小数后两位) 款项发票，采购人收到发票并审核无误后，采购人支付该笔款项。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w:t>
            </w:r>
          </w:p>
        </w:tc>
        <w:tc>
          <w:tcPr>
            <w:tcW w:w="7599" w:type="dxa"/>
          </w:tcPr>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报价要求</w:t>
            </w:r>
          </w:p>
          <w:p>
            <w:pPr>
              <w:spacing w:line="440" w:lineRule="exac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投标报价应包含本项目维保范围内的医疗设备在合同有效期内进行维保所发生的一切费用，如标的设备维修维护保养（含零件及人工、配件、材料、工时、差旅、仓储、运输、节假日服务等）、一切税费（包括关税、增值税等）、保险费、调试、验收、资料等相关的全部费用。 </w:t>
            </w:r>
          </w:p>
        </w:tc>
      </w:tr>
    </w:tbl>
    <w:p>
      <w:pPr>
        <w:spacing w:line="440" w:lineRule="exact"/>
        <w:rPr>
          <w:rFonts w:ascii="仿宋" w:hAnsi="仿宋" w:eastAsia="仿宋" w:cs="仿宋"/>
          <w:bCs/>
          <w:color w:val="000000" w:themeColor="text1"/>
          <w:sz w:val="30"/>
          <w:szCs w:val="30"/>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1DEB0795"/>
    <w:rsid w:val="1DEB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2024-01-15T01:25:00Z</dcterms:created>
  <dc:creator>ye</dc:creator>
  <cp:lastModifiedBy>ye</cp:lastModifiedBy>
  <dcterms:modified xsi:type="dcterms:W3CDTF">2024-01-15T01:26:19Z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F931B58704D3436B9CD5A2F6A3C40C8D_11</vt:lpwstr>
  </property>
</Properties>
</file>