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1"/>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rFonts w:hint="eastAsia" w:eastAsia="宋体"/>
                <w:sz w:val="24"/>
                <w:szCs w:val="24"/>
                <w:lang w:eastAsia="zh-CN"/>
              </w:rPr>
            </w:pPr>
            <w:r>
              <w:rPr>
                <w:rFonts w:hint="eastAsia" w:ascii="宋体" w:hAnsi="宋体"/>
                <w:szCs w:val="21"/>
                <w:lang w:val="en-US" w:eastAsia="zh-CN"/>
              </w:rPr>
              <w:t>中山市小榄人民医院</w:t>
            </w:r>
            <w:r>
              <w:rPr>
                <w:rFonts w:hint="eastAsia" w:ascii="宋体" w:hAnsi="宋体"/>
                <w:szCs w:val="21"/>
              </w:rPr>
              <w:t>飞利浦</w:t>
            </w:r>
            <w:r>
              <w:rPr>
                <w:rFonts w:ascii="宋体" w:hAnsi="宋体"/>
                <w:szCs w:val="21"/>
              </w:rPr>
              <w:t>Brilliance iCT</w:t>
            </w:r>
            <w:r>
              <w:rPr>
                <w:rFonts w:hint="eastAsia" w:ascii="宋体" w:hAnsi="宋体"/>
                <w:szCs w:val="21"/>
              </w:rPr>
              <w:t>保修服务</w:t>
            </w:r>
            <w:r>
              <w:rPr>
                <w:rFonts w:hint="eastAsia" w:ascii="宋体" w:hAnsi="宋体"/>
                <w:szCs w:val="21"/>
                <w:lang w:val="en-US" w:eastAsia="zh-CN"/>
              </w:rPr>
              <w:t>采购项目</w:t>
            </w:r>
          </w:p>
        </w:tc>
        <w:tc>
          <w:tcPr>
            <w:tcW w:w="469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sz w:val="24"/>
                <w:szCs w:val="24"/>
              </w:rPr>
            </w:pPr>
            <w:r>
              <w:rPr>
                <w:rFonts w:hint="eastAsia"/>
                <w:sz w:val="24"/>
                <w:szCs w:val="24"/>
              </w:rPr>
              <w:t>产地</w:t>
            </w:r>
          </w:p>
        </w:tc>
        <w:tc>
          <w:tcPr>
            <w:tcW w:w="469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数量（年）</w:t>
            </w:r>
          </w:p>
        </w:tc>
        <w:tc>
          <w:tcPr>
            <w:tcW w:w="4695" w:type="dxa"/>
            <w:vAlign w:val="top"/>
          </w:tcPr>
          <w:p>
            <w:pPr>
              <w:spacing w:line="360" w:lineRule="auto"/>
              <w:jc w:val="left"/>
              <w:rPr>
                <w:rFonts w:hint="default" w:eastAsia="宋体"/>
                <w:sz w:val="24"/>
                <w:szCs w:val="24"/>
                <w:lang w:val="en-US" w:eastAsia="zh-CN"/>
              </w:rPr>
            </w:pPr>
            <w:r>
              <w:rPr>
                <w:rFonts w:hint="eastAsia"/>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sz w:val="24"/>
                <w:szCs w:val="24"/>
              </w:rPr>
            </w:pPr>
            <w:r>
              <w:rPr>
                <w:rFonts w:hint="eastAsia"/>
                <w:sz w:val="24"/>
                <w:szCs w:val="24"/>
              </w:rPr>
              <w:t>单价（元）</w:t>
            </w:r>
          </w:p>
        </w:tc>
        <w:tc>
          <w:tcPr>
            <w:tcW w:w="469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sz w:val="24"/>
                <w:szCs w:val="24"/>
              </w:rPr>
            </w:pPr>
            <w:r>
              <w:rPr>
                <w:rFonts w:hint="eastAsia"/>
                <w:sz w:val="24"/>
                <w:szCs w:val="24"/>
              </w:rPr>
              <w:t>总价（元）</w:t>
            </w:r>
          </w:p>
        </w:tc>
        <w:tc>
          <w:tcPr>
            <w:tcW w:w="4695" w:type="dxa"/>
            <w:vAlign w:val="top"/>
          </w:tcPr>
          <w:p>
            <w:pPr>
              <w:spacing w:line="360" w:lineRule="auto"/>
              <w:jc w:val="left"/>
              <w:rPr>
                <w:sz w:val="24"/>
                <w:szCs w:val="24"/>
              </w:rPr>
            </w:pP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4"/>
          <w:szCs w:val="24"/>
        </w:rPr>
        <w:t>报价时间：</w:t>
      </w: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5833" w:type="pct"/>
        <w:tblInd w:w="-8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41"/>
        <w:gridCol w:w="156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ind w:left="-178" w:leftChars="-85" w:right="-107" w:rightChars="-51"/>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序号</w:t>
            </w:r>
          </w:p>
        </w:tc>
        <w:tc>
          <w:tcPr>
            <w:tcW w:w="308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参数要求</w:t>
            </w:r>
          </w:p>
        </w:tc>
        <w:tc>
          <w:tcPr>
            <w:tcW w:w="786" w:type="pct"/>
            <w:shd w:val="clear" w:color="auto" w:fill="FFFFFF"/>
            <w:noWrap w:val="0"/>
            <w:vAlign w:val="center"/>
          </w:tcPr>
          <w:p>
            <w:pPr>
              <w:tabs>
                <w:tab w:val="left" w:pos="720"/>
              </w:tabs>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完全响应或</w:t>
            </w:r>
          </w:p>
          <w:p>
            <w:pPr>
              <w:autoSpaceDE w:val="0"/>
              <w:autoSpaceDN w:val="0"/>
              <w:adjustRightInd w:val="0"/>
              <w:spacing w:line="240" w:lineRule="auto"/>
              <w:jc w:val="center"/>
              <w:rPr>
                <w:rFonts w:hint="eastAsia" w:ascii="宋体" w:hAnsi="宋体" w:eastAsia="宋体" w:cs="宋体"/>
                <w:b w:val="0"/>
                <w:bCs/>
                <w:kern w:val="0"/>
                <w:sz w:val="21"/>
                <w:szCs w:val="21"/>
                <w:lang w:val="zh-CN" w:eastAsia="zh-CN" w:bidi="ar-SA"/>
              </w:rPr>
            </w:pPr>
            <w:r>
              <w:rPr>
                <w:rFonts w:hint="eastAsia" w:ascii="宋体" w:hAnsi="宋体" w:eastAsia="宋体" w:cs="宋体"/>
                <w:b w:val="0"/>
                <w:bCs/>
                <w:sz w:val="21"/>
                <w:szCs w:val="21"/>
              </w:rPr>
              <w:t>正/负偏离</w:t>
            </w: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eastAsia="zh-CN" w:bidi="ar-SA"/>
              </w:rPr>
            </w:pPr>
            <w:r>
              <w:rPr>
                <w:rFonts w:hint="eastAsia" w:ascii="宋体" w:hAnsi="宋体" w:eastAsia="宋体" w:cs="宋体"/>
                <w:b w:val="0"/>
                <w:bCs/>
                <w:sz w:val="21"/>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w:t>
            </w:r>
          </w:p>
        </w:tc>
        <w:tc>
          <w:tcPr>
            <w:tcW w:w="3088" w:type="pct"/>
            <w:shd w:val="clear" w:color="auto" w:fill="FFFFFF"/>
            <w:noWrap w:val="0"/>
            <w:vAlign w:val="center"/>
          </w:tcPr>
          <w:p>
            <w:pPr>
              <w:spacing w:line="440" w:lineRule="exact"/>
              <w:jc w:val="center"/>
              <w:rPr>
                <w:rFonts w:hint="eastAsia" w:ascii="宋体" w:hAnsi="宋体"/>
                <w:szCs w:val="21"/>
              </w:rPr>
            </w:pPr>
            <w:r>
              <w:rPr>
                <w:rFonts w:hint="eastAsia" w:ascii="宋体" w:hAnsi="宋体" w:cs="宋体"/>
                <w:color w:val="000000"/>
                <w:szCs w:val="21"/>
              </w:rPr>
              <w:t>维保期限</w:t>
            </w:r>
            <w:r>
              <w:rPr>
                <w:rFonts w:hint="eastAsia" w:ascii="宋体" w:hAnsi="宋体" w:cs="宋体"/>
                <w:color w:val="000000"/>
                <w:szCs w:val="21"/>
                <w:lang w:eastAsia="zh-CN"/>
              </w:rPr>
              <w:t>：</w:t>
            </w:r>
            <w:r>
              <w:rPr>
                <w:rFonts w:hint="eastAsia" w:ascii="宋体" w:hAnsi="宋体"/>
                <w:szCs w:val="21"/>
              </w:rPr>
              <w:t>自合同签订之日起三年</w:t>
            </w:r>
          </w:p>
          <w:p>
            <w:pPr>
              <w:autoSpaceDE w:val="0"/>
              <w:autoSpaceDN w:val="0"/>
              <w:adjustRightInd w:val="0"/>
              <w:spacing w:line="240" w:lineRule="auto"/>
              <w:jc w:val="center"/>
              <w:rPr>
                <w:rFonts w:hint="eastAsia" w:ascii="宋体" w:hAnsi="宋体" w:eastAsia="宋体" w:cs="宋体"/>
                <w:b w:val="0"/>
                <w:bCs/>
                <w:color w:val="auto"/>
                <w:sz w:val="21"/>
                <w:szCs w:val="21"/>
              </w:rPr>
            </w:pPr>
            <w:r>
              <w:rPr>
                <w:rFonts w:hint="eastAsia" w:ascii="宋体" w:hAnsi="宋体"/>
                <w:szCs w:val="21"/>
                <w:lang w:eastAsia="zh-CN"/>
              </w:rPr>
              <w:t>（</w:t>
            </w:r>
            <w:r>
              <w:rPr>
                <w:rFonts w:hint="eastAsia" w:ascii="宋体" w:hAnsi="宋体"/>
                <w:szCs w:val="21"/>
                <w:lang w:val="en-US" w:eastAsia="zh-CN"/>
              </w:rPr>
              <w:t>即整机主机、球管、探测器等：2024年5月27日至2027年5月26日；星云工作站和iMR技术平台的相关软硬件保修期为：2025年4月7日至2027年5月26日</w:t>
            </w:r>
            <w:r>
              <w:rPr>
                <w:rFonts w:hint="eastAsia" w:ascii="宋体" w:hAnsi="宋体"/>
                <w:szCs w:val="21"/>
                <w:lang w:eastAsia="zh-CN"/>
              </w:rPr>
              <w:t>）</w:t>
            </w: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p>
        </w:tc>
        <w:tc>
          <w:tcPr>
            <w:tcW w:w="3088"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r>
              <w:rPr>
                <w:rFonts w:hint="eastAsia" w:ascii="宋体" w:hAnsi="宋体"/>
                <w:color w:val="000000" w:themeColor="text1"/>
                <w:szCs w:val="21"/>
                <w14:textFill>
                  <w14:solidFill>
                    <w14:schemeClr w14:val="tx1"/>
                  </w14:solidFill>
                </w14:textFill>
              </w:rPr>
              <w:t>用途</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对设备进行日常的维护和保养，配合保养计划，针对产品的外部环境、主要参数与性能做质量评估，为机器潜在的问题预测提示，以减少机器非正常停机的风险，提高医疗设备的正常使用率，帮助医院实现高质量、低风险的医疗服务，确保最佳投资的回报率。</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w:t>
            </w:r>
          </w:p>
        </w:tc>
        <w:tc>
          <w:tcPr>
            <w:tcW w:w="3088"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r>
              <w:rPr>
                <w:rFonts w:hint="eastAsia" w:ascii="宋体" w:hAnsi="宋体"/>
                <w:color w:val="000000"/>
                <w:szCs w:val="21"/>
              </w:rPr>
              <w:t>设备型号：</w:t>
            </w:r>
            <w:r>
              <w:rPr>
                <w:rFonts w:ascii="宋体" w:hAnsi="宋体"/>
                <w:color w:val="000000"/>
                <w:szCs w:val="21"/>
              </w:rPr>
              <w:t>Brilliance iCT</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3088" w:type="pct"/>
            <w:shd w:val="clear" w:color="auto" w:fill="FFFFFF"/>
            <w:noWrap w:val="0"/>
            <w:vAlign w:val="center"/>
          </w:tcPr>
          <w:p>
            <w:pPr>
              <w:spacing w:line="440" w:lineRule="exact"/>
              <w:rPr>
                <w:rFonts w:ascii="宋体" w:hAnsi="宋体"/>
                <w:color w:val="000000"/>
                <w:szCs w:val="21"/>
              </w:rPr>
            </w:pPr>
            <w:r>
              <w:rPr>
                <w:rFonts w:hint="eastAsia" w:ascii="宋体" w:hAnsi="宋体"/>
                <w:color w:val="000000"/>
                <w:szCs w:val="21"/>
              </w:rPr>
              <w:t>维保内容：包括</w:t>
            </w:r>
            <w:r>
              <w:rPr>
                <w:rFonts w:ascii="宋体" w:hAnsi="宋体"/>
                <w:color w:val="000000"/>
                <w:szCs w:val="21"/>
              </w:rPr>
              <w:t>Brilliance iCT</w:t>
            </w:r>
            <w:r>
              <w:rPr>
                <w:rFonts w:hint="eastAsia" w:ascii="宋体" w:hAnsi="宋体"/>
                <w:color w:val="000000"/>
                <w:szCs w:val="21"/>
              </w:rPr>
              <w:t>的维修及保养所需的备件及费用。包含每年4次整机保养，无限次数维修。</w:t>
            </w:r>
          </w:p>
          <w:p>
            <w:pPr>
              <w:spacing w:line="440" w:lineRule="exac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服务范围包括：球管、整机主机、探测器、工作站、高压注射器；维修和备件范围不包含其他除高压注射器外的所有第三方生产或拥有的设备和软件，如稳压电源，UPS，激光相机，外配打印机，录像机，视频外设，操作系统升级等。</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3088" w:type="pct"/>
            <w:shd w:val="clear" w:color="auto" w:fill="FFFFFF"/>
            <w:noWrap w:val="0"/>
            <w:vAlign w:val="center"/>
          </w:tcPr>
          <w:p>
            <w:pPr>
              <w:spacing w:line="440" w:lineRule="exact"/>
              <w:rPr>
                <w:rFonts w:ascii="宋体" w:hAnsi="宋体"/>
                <w:color w:val="000000"/>
                <w:szCs w:val="21"/>
              </w:rPr>
            </w:pPr>
            <w:r>
              <w:rPr>
                <w:rFonts w:hint="eastAsia" w:ascii="宋体" w:hAnsi="宋体"/>
                <w:color w:val="000000"/>
                <w:szCs w:val="21"/>
              </w:rPr>
              <w:t>安全检查：按照厂家设备本身标准及当地规定执行。</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制定检查计划</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机械安全检查</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电气安全检查</w:t>
            </w:r>
          </w:p>
          <w:p>
            <w:pPr>
              <w:spacing w:line="440" w:lineRule="exac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记录检查结果</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lang w:val="en-US" w:eastAsia="zh-CN"/>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6</w:t>
            </w:r>
          </w:p>
        </w:tc>
        <w:tc>
          <w:tcPr>
            <w:tcW w:w="3088" w:type="pct"/>
            <w:shd w:val="clear" w:color="auto" w:fill="FFFFFF"/>
            <w:noWrap w:val="0"/>
            <w:vAlign w:val="center"/>
          </w:tcPr>
          <w:p>
            <w:pPr>
              <w:spacing w:line="440" w:lineRule="exact"/>
              <w:rPr>
                <w:rFonts w:ascii="宋体" w:hAnsi="宋体"/>
                <w:color w:val="000000"/>
                <w:szCs w:val="21"/>
              </w:rPr>
            </w:pPr>
            <w:r>
              <w:rPr>
                <w:rFonts w:hint="eastAsia" w:ascii="宋体" w:hAnsi="宋体"/>
                <w:color w:val="000000"/>
                <w:szCs w:val="21"/>
              </w:rPr>
              <w:t>预防性保养：按照保养计划提供，每年提供四次专业保养，以保证设备处于最佳运行状态。</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记录并安排保养时间</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按照厂家标准进行调校</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确认各项技术指标及性能</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年检时，中标人负责配合医院按照相关部门流程进行检测，以保障取得合格证。</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记录设备状况</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提供每次保养后由设备本身导出的保养报告</w:t>
            </w:r>
          </w:p>
          <w:p>
            <w:pPr>
              <w:spacing w:line="440" w:lineRule="exac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预防性保养损耗品：预防性保养中需要更换的损耗品由中标人提供，以上费用已包含在投标报价中。</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7</w:t>
            </w:r>
          </w:p>
        </w:tc>
        <w:tc>
          <w:tcPr>
            <w:tcW w:w="308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bCs/>
                <w:color w:val="000000" w:themeColor="text1"/>
                <w:szCs w:val="21"/>
                <w14:textFill>
                  <w14:solidFill>
                    <w14:schemeClr w14:val="tx1"/>
                  </w14:solidFill>
                </w14:textFill>
              </w:rPr>
              <w:t>安全升级：投标人或其维修服务商必须在原厂规定的升级文件规定时间内完成，并在升级完成后提供原厂升级文件及工作记录。针对设备原厂官网发布的FCO，必须在有效期内执行；投标人须提供相关证明文件。</w:t>
            </w:r>
          </w:p>
        </w:tc>
        <w:tc>
          <w:tcPr>
            <w:tcW w:w="786" w:type="pct"/>
            <w:shd w:val="clear" w:color="auto" w:fill="FFFFFF"/>
            <w:noWrap w:val="0"/>
            <w:vAlign w:val="top"/>
          </w:tcPr>
          <w:p>
            <w:pPr>
              <w:spacing w:line="440" w:lineRule="exact"/>
              <w:rPr>
                <w:rFonts w:hint="eastAsia" w:ascii="宋体" w:hAnsi="宋体" w:eastAsia="宋体" w:cs="Times New Roman"/>
                <w:color w:val="000000"/>
                <w:kern w:val="2"/>
                <w:sz w:val="21"/>
                <w:szCs w:val="21"/>
                <w:lang w:val="en-US" w:eastAsia="zh-CN" w:bidi="ar-SA"/>
              </w:rPr>
            </w:pP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8</w:t>
            </w:r>
          </w:p>
        </w:tc>
        <w:tc>
          <w:tcPr>
            <w:tcW w:w="3088" w:type="pct"/>
            <w:shd w:val="clear" w:color="auto" w:fill="FFFFFF"/>
            <w:noWrap w:val="0"/>
            <w:vAlign w:val="center"/>
          </w:tcPr>
          <w:p>
            <w:pPr>
              <w:spacing w:line="440" w:lineRule="exact"/>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开机率：在合同期内保证 95%的开机率（按一年365个日历日计算）。由于中标人的原因导致未能达到此开机率，则按1：</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的比例顺延维保期时间（即按天算，开机日每降低1个日历日，维保期顺延</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个日历日）。</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9</w:t>
            </w:r>
          </w:p>
        </w:tc>
        <w:tc>
          <w:tcPr>
            <w:tcW w:w="3088" w:type="pct"/>
            <w:shd w:val="clear" w:color="auto" w:fill="FFFFFF"/>
            <w:noWrap w:val="0"/>
            <w:vAlign w:val="center"/>
          </w:tcPr>
          <w:p>
            <w:pPr>
              <w:widowControl/>
              <w:jc w:val="left"/>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工时：投标报价包含维保期内所需的人工费用及节假日的加班费用，同时采购人享有优先派工权，中标后采购人不再另行支付费用。</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10</w:t>
            </w:r>
          </w:p>
        </w:tc>
        <w:tc>
          <w:tcPr>
            <w:tcW w:w="3088" w:type="pct"/>
            <w:shd w:val="clear" w:color="auto" w:fill="FFFFFF"/>
            <w:noWrap w:val="0"/>
            <w:vAlign w:val="center"/>
          </w:tcPr>
          <w:p>
            <w:pPr>
              <w:spacing w:line="440" w:lineRule="exact"/>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▲备件：备件必须是原厂认证合格的零备件，备件有追踪号码，保障不会对设备质量或图像产生不良影响。提供保修所需的备件，备件需</w:t>
            </w:r>
            <w:r>
              <w:rPr>
                <w:rFonts w:hint="eastAsia"/>
              </w:rPr>
              <w:t>48小时内必须到达现场</w:t>
            </w:r>
            <w:r>
              <w:rPr>
                <w:rFonts w:hint="eastAsia" w:ascii="宋体" w:hAnsi="宋体"/>
                <w:bCs/>
                <w:color w:val="000000" w:themeColor="text1"/>
                <w:szCs w:val="21"/>
                <w14:textFill>
                  <w14:solidFill>
                    <w14:schemeClr w14:val="tx1"/>
                  </w14:solidFill>
                </w14:textFill>
              </w:rPr>
              <w:t>。如因提供不合法不合规或来路不明的备件而引起的相关损失及法律责任由中标人自行承担</w:t>
            </w:r>
            <w:r>
              <w:rPr>
                <w:rFonts w:hint="eastAsia" w:ascii="宋体" w:hAnsi="宋体"/>
                <w:b/>
                <w:color w:val="000000" w:themeColor="text1"/>
                <w:szCs w:val="21"/>
                <w14:textFill>
                  <w14:solidFill>
                    <w14:schemeClr w14:val="tx1"/>
                  </w14:solidFill>
                </w14:textFill>
              </w:rPr>
              <w:t>(投标文件中提供承诺函并加盖投标人公章)</w:t>
            </w:r>
            <w:r>
              <w:rPr>
                <w:rFonts w:hint="eastAsia" w:ascii="宋体" w:hAnsi="宋体"/>
                <w:bCs/>
                <w:color w:val="000000" w:themeColor="text1"/>
                <w:szCs w:val="21"/>
                <w14:textFill>
                  <w14:solidFill>
                    <w14:schemeClr w14:val="tx1"/>
                  </w14:solidFill>
                </w14:textFill>
              </w:rPr>
              <w:t>。</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11</w:t>
            </w:r>
          </w:p>
        </w:tc>
        <w:tc>
          <w:tcPr>
            <w:tcW w:w="3088" w:type="pct"/>
            <w:shd w:val="clear" w:color="auto" w:fill="FFFFFF"/>
            <w:noWrap w:val="0"/>
            <w:vAlign w:val="center"/>
          </w:tcPr>
          <w:p>
            <w:pPr>
              <w:spacing w:line="440" w:lineRule="exact"/>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▲为保障备件的快速且安全的供应，投标人或其维修服务商需在国内设有零备件保税仓库</w:t>
            </w:r>
            <w:r>
              <w:rPr>
                <w:rFonts w:hint="eastAsia" w:ascii="宋体" w:hAnsi="宋体"/>
                <w:b/>
                <w:color w:val="000000" w:themeColor="text1"/>
                <w:szCs w:val="21"/>
                <w14:textFill>
                  <w14:solidFill>
                    <w14:schemeClr w14:val="tx1"/>
                  </w14:solidFill>
                </w14:textFill>
              </w:rPr>
              <w:t>（投标文件中提供</w:t>
            </w:r>
            <w:r>
              <w:rPr>
                <w:rFonts w:ascii="宋体" w:hAnsi="宋体"/>
                <w:b/>
                <w:color w:val="000000" w:themeColor="text1"/>
                <w:szCs w:val="21"/>
                <w14:textFill>
                  <w14:solidFill>
                    <w14:schemeClr w14:val="tx1"/>
                  </w14:solidFill>
                </w14:textFill>
              </w:rPr>
              <w:t>相应</w:t>
            </w:r>
            <w:r>
              <w:rPr>
                <w:rFonts w:hint="eastAsia" w:ascii="宋体" w:hAnsi="宋体"/>
                <w:b/>
                <w:color w:val="000000" w:themeColor="text1"/>
                <w:szCs w:val="21"/>
                <w14:textFill>
                  <w14:solidFill>
                    <w14:schemeClr w14:val="tx1"/>
                  </w14:solidFill>
                </w14:textFill>
              </w:rPr>
              <w:t>的产权证明文件（或租赁合同）复印件以及保税仓库注册登记证书复印件并加盖投标人公章）</w:t>
            </w:r>
            <w:r>
              <w:rPr>
                <w:rFonts w:hint="eastAsia" w:ascii="宋体" w:hAnsi="宋体"/>
                <w:bCs/>
                <w:color w:val="000000" w:themeColor="text1"/>
                <w:szCs w:val="21"/>
                <w14:textFill>
                  <w14:solidFill>
                    <w14:schemeClr w14:val="tx1"/>
                  </w14:solidFill>
                </w14:textFill>
              </w:rPr>
              <w:t>。</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12</w:t>
            </w:r>
          </w:p>
        </w:tc>
        <w:tc>
          <w:tcPr>
            <w:tcW w:w="3088" w:type="pct"/>
            <w:shd w:val="clear" w:color="auto" w:fill="FFFFFF"/>
            <w:noWrap w:val="0"/>
            <w:vAlign w:val="center"/>
          </w:tcPr>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▲远程连接：投标人或其维修服务商需提供基于设备嵌入式远程连接方案的实时远程服务，在用户允许的情况下可以接入设备，以保证维修的及时性，且远程服务应满足以下需求：</w:t>
            </w:r>
          </w:p>
          <w:p>
            <w:pPr>
              <w:spacing w:line="440" w:lineRule="exact"/>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1、该远程服务可以实现远程不断监控和保护医疗设备，及时发出预警，在出现故障之前，就可对其进行远程维护和处理，以减少设备停机时间，提高设备使用率。</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、基于设备嵌入式远程连接方案，投标服务商需符合HIPAA和NEMA安全要求，并且通过ISO27001国际信息安全管理体系。</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13</w:t>
            </w:r>
          </w:p>
        </w:tc>
        <w:tc>
          <w:tcPr>
            <w:tcW w:w="3088" w:type="pct"/>
            <w:shd w:val="clear" w:color="auto" w:fill="FFFFFF"/>
            <w:noWrap w:val="0"/>
            <w:vAlign w:val="center"/>
          </w:tcPr>
          <w:p>
            <w:pPr>
              <w:pStyle w:val="4"/>
              <w:rPr>
                <w:rFonts w:hint="eastAsia" w:ascii="Times New Roman" w:hAnsi="Times New Roman" w:eastAsia="宋体" w:cs="Times New Roman"/>
                <w:kern w:val="0"/>
                <w:sz w:val="21"/>
                <w:szCs w:val="20"/>
                <w:lang w:val="en-US" w:eastAsia="zh-CN" w:bidi="ar-SA"/>
              </w:rPr>
            </w:pPr>
            <w:r>
              <w:rPr>
                <w:rFonts w:hint="eastAsia" w:ascii="宋体" w:hAnsi="宋体"/>
                <w:bCs/>
                <w:color w:val="000000" w:themeColor="text1"/>
                <w:szCs w:val="21"/>
                <w14:textFill>
                  <w14:solidFill>
                    <w14:schemeClr w14:val="tx1"/>
                  </w14:solidFill>
                </w14:textFill>
              </w:rPr>
              <w:t>▲提供400免费热线电话，24小时 *365天有工程师接听，为用户快速诊断和提供技术支持服务。接到维修要求后，如是设备停机或是影响设备使用的故障，</w:t>
            </w:r>
            <w:r>
              <w:rPr>
                <w:rFonts w:hint="eastAsia"/>
              </w:rPr>
              <w:t>24小时</w:t>
            </w:r>
            <w:r>
              <w:rPr>
                <w:rFonts w:hint="eastAsia" w:ascii="宋体" w:hAnsi="宋体"/>
                <w:bCs/>
                <w:color w:val="000000" w:themeColor="text1"/>
                <w:szCs w:val="21"/>
                <w14:textFill>
                  <w14:solidFill>
                    <w14:schemeClr w14:val="tx1"/>
                  </w14:solidFill>
                </w14:textFill>
              </w:rPr>
              <w:t>内到达现场；如是间接性故障或不影响设备使用的故障，</w:t>
            </w:r>
            <w:r>
              <w:rPr>
                <w:rFonts w:hint="eastAsia"/>
              </w:rPr>
              <w:t>48小时内到达现场。</w:t>
            </w:r>
            <w:r>
              <w:rPr>
                <w:rFonts w:ascii="宋体" w:hAnsi="宋体"/>
                <w:bCs/>
                <w:color w:val="000000" w:themeColor="text1"/>
                <w:szCs w:val="21"/>
                <w14:textFill>
                  <w14:solidFill>
                    <w14:schemeClr w14:val="tx1"/>
                  </w14:solidFill>
                </w14:textFill>
              </w:rPr>
              <w:t xml:space="preserve"> </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14</w:t>
            </w:r>
          </w:p>
        </w:tc>
        <w:tc>
          <w:tcPr>
            <w:tcW w:w="3088" w:type="pct"/>
            <w:shd w:val="clear" w:color="auto" w:fill="FFFFFF"/>
            <w:noWrap w:val="0"/>
            <w:vAlign w:val="center"/>
          </w:tcPr>
          <w:p>
            <w:pPr>
              <w:spacing w:line="440" w:lineRule="exact"/>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投标文件中提供维护保养的专业工具的介绍，需图文并茂。</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15</w:t>
            </w:r>
          </w:p>
        </w:tc>
        <w:tc>
          <w:tcPr>
            <w:tcW w:w="3088" w:type="pct"/>
            <w:shd w:val="clear" w:color="auto" w:fill="FFFFFF"/>
            <w:noWrap w:val="0"/>
            <w:vAlign w:val="center"/>
          </w:tcPr>
          <w:p>
            <w:pPr>
              <w:spacing w:line="440" w:lineRule="exact"/>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对于该设备包含的iMRC球管，为设备的核心重点备件，投标人或其维修服务商需具备原厂提供的全新合格球管的库存，在投标文件中提供近一年内该库存球管的合法进口证明文件，包含但不限于该球管的进口报关单、清晰体现该球管序列号的运货单以及中国海关要求的医疗器械标签等资料不低于2条球管信息。</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16</w:t>
            </w:r>
          </w:p>
        </w:tc>
        <w:tc>
          <w:tcPr>
            <w:tcW w:w="3088" w:type="pct"/>
            <w:shd w:val="clear" w:color="auto" w:fill="FFFFFF"/>
            <w:noWrap w:val="0"/>
            <w:vAlign w:val="center"/>
          </w:tcPr>
          <w:p>
            <w:pPr>
              <w:spacing w:line="440" w:lineRule="exact"/>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为保障更快捷更满意的服务，投标人或其维修服务商需在国内设有维修站，满足应急维修要求，并具备至少有6名具备CT设备维修资质的工程师组成的服务团队（需提供有效期内的经设备生产商培训机构针对与本标的同型号设备的培训证书作为工程师培训资质证明，并提供近3个月中任意1月投标人为其缴纳的社保证明）。</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17</w:t>
            </w:r>
          </w:p>
        </w:tc>
        <w:tc>
          <w:tcPr>
            <w:tcW w:w="3088" w:type="pct"/>
            <w:shd w:val="clear" w:color="auto" w:fill="FFFFFF"/>
            <w:noWrap w:val="0"/>
            <w:vAlign w:val="center"/>
          </w:tcPr>
          <w:p>
            <w:pPr>
              <w:spacing w:line="440" w:lineRule="exact"/>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投标人或其维修服务商承诺在整个合同期内都能合法获得原厂高级故障诊断软件的诊断维修钥匙（service key），并保证不违反国家有关知识产权的法律规定，并能按时提交年度维修报告书</w:t>
            </w:r>
            <w:r>
              <w:rPr>
                <w:rFonts w:hint="eastAsia" w:ascii="宋体" w:hAnsi="宋体"/>
                <w:b/>
                <w:color w:val="000000" w:themeColor="text1"/>
                <w:szCs w:val="21"/>
                <w14:textFill>
                  <w14:solidFill>
                    <w14:schemeClr w14:val="tx1"/>
                  </w14:solidFill>
                </w14:textFill>
              </w:rPr>
              <w:t>（投标文件中提供承诺书或证明材料并加盖投标人公章）</w:t>
            </w:r>
            <w:r>
              <w:rPr>
                <w:rFonts w:hint="eastAsia" w:ascii="宋体" w:hAnsi="宋体"/>
                <w:bCs/>
                <w:color w:val="000000" w:themeColor="text1"/>
                <w:szCs w:val="21"/>
                <w14:textFill>
                  <w14:solidFill>
                    <w14:schemeClr w14:val="tx1"/>
                  </w14:solidFill>
                </w14:textFill>
              </w:rPr>
              <w:t xml:space="preserve">。 </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38" w:type="pct"/>
            <w:shd w:val="clear" w:color="auto" w:fill="FFFFFF"/>
            <w:noWrap w:val="0"/>
            <w:vAlign w:val="center"/>
          </w:tcPr>
          <w:p>
            <w:pPr>
              <w:autoSpaceDE w:val="0"/>
              <w:autoSpaceDN w:val="0"/>
              <w:adjustRightInd w:val="0"/>
              <w:spacing w:line="240" w:lineRule="auto"/>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18</w:t>
            </w:r>
          </w:p>
        </w:tc>
        <w:tc>
          <w:tcPr>
            <w:tcW w:w="3088" w:type="pct"/>
            <w:shd w:val="clear" w:color="auto" w:fill="FFFFFF"/>
            <w:noWrap w:val="0"/>
            <w:vAlign w:val="center"/>
          </w:tcPr>
          <w:p>
            <w:pPr>
              <w:spacing w:line="440" w:lineRule="exact"/>
              <w:rPr>
                <w:rFonts w:hint="eastAsia" w:ascii="宋体" w:hAnsi="宋体" w:eastAsia="宋体" w:cs="Times New Roman"/>
                <w:kern w:val="2"/>
                <w:sz w:val="21"/>
                <w:szCs w:val="21"/>
                <w:lang w:val="zh-CN" w:eastAsia="zh-CN" w:bidi="ar-SA"/>
              </w:rPr>
            </w:pPr>
            <w:r>
              <w:rPr>
                <w:rFonts w:hint="eastAsia" w:ascii="宋体" w:hAnsi="宋体"/>
                <w:bCs/>
                <w:color w:val="000000" w:themeColor="text1"/>
                <w:szCs w:val="21"/>
                <w14:textFill>
                  <w14:solidFill>
                    <w14:schemeClr w14:val="tx1"/>
                  </w14:solidFill>
                </w14:textFill>
              </w:rPr>
              <w:t>▲</w:t>
            </w:r>
            <w:r>
              <w:rPr>
                <w:rFonts w:hint="eastAsia" w:ascii="宋体" w:hAnsi="宋体" w:eastAsia="宋体" w:cs="Times New Roman"/>
                <w:szCs w:val="21"/>
                <w:lang w:val="zh-CN"/>
              </w:rPr>
              <w:t>投标人或其维修服务商需在国内有专门的培训基地</w:t>
            </w:r>
            <w:r>
              <w:rPr>
                <w:rFonts w:hint="eastAsia" w:ascii="宋体" w:hAnsi="宋体" w:eastAsia="宋体" w:cs="Times New Roman"/>
                <w:b/>
                <w:bCs/>
                <w:szCs w:val="21"/>
                <w:lang w:val="zh-CN"/>
              </w:rPr>
              <w:t>（</w:t>
            </w:r>
            <w:r>
              <w:rPr>
                <w:rFonts w:hint="eastAsia" w:ascii="宋体" w:hAnsi="宋体" w:eastAsia="宋体" w:cs="Times New Roman"/>
                <w:b/>
                <w:bCs/>
                <w:szCs w:val="21"/>
              </w:rPr>
              <w:t>投标文件中</w:t>
            </w:r>
            <w:r>
              <w:rPr>
                <w:rFonts w:hint="eastAsia" w:ascii="宋体" w:hAnsi="宋体" w:eastAsia="宋体" w:cs="Times New Roman"/>
                <w:b/>
                <w:bCs/>
                <w:szCs w:val="21"/>
                <w:lang w:val="zh-CN"/>
              </w:rPr>
              <w:t>提供该培训基地的场地信息</w:t>
            </w:r>
            <w:r>
              <w:rPr>
                <w:rFonts w:hint="eastAsia" w:ascii="宋体" w:hAnsi="宋体" w:eastAsia="宋体" w:cs="Times New Roman"/>
                <w:b/>
                <w:bCs/>
                <w:szCs w:val="21"/>
              </w:rPr>
              <w:t>以及产权证明（或</w:t>
            </w:r>
            <w:r>
              <w:rPr>
                <w:rFonts w:hint="eastAsia" w:ascii="宋体" w:hAnsi="宋体" w:eastAsia="宋体" w:cs="Times New Roman"/>
                <w:b/>
                <w:bCs/>
                <w:szCs w:val="21"/>
                <w:lang w:val="zh-CN"/>
              </w:rPr>
              <w:t>租赁合同</w:t>
            </w:r>
            <w:r>
              <w:rPr>
                <w:rFonts w:hint="eastAsia" w:ascii="宋体" w:hAnsi="宋体" w:eastAsia="宋体" w:cs="Times New Roman"/>
                <w:b/>
                <w:bCs/>
                <w:szCs w:val="21"/>
              </w:rPr>
              <w:t>）</w:t>
            </w:r>
            <w:r>
              <w:rPr>
                <w:rFonts w:hint="eastAsia" w:ascii="宋体" w:hAnsi="宋体" w:eastAsia="宋体" w:cs="Times New Roman"/>
                <w:b/>
                <w:bCs/>
                <w:szCs w:val="21"/>
                <w:lang w:val="zh-CN"/>
              </w:rPr>
              <w:t>）</w:t>
            </w:r>
            <w:r>
              <w:rPr>
                <w:rFonts w:hint="eastAsia" w:ascii="宋体" w:hAnsi="宋体" w:eastAsia="宋体" w:cs="Times New Roman"/>
                <w:szCs w:val="21"/>
                <w:lang w:val="zh-CN"/>
              </w:rPr>
              <w:t>，同时</w:t>
            </w:r>
            <w:r>
              <w:rPr>
                <w:rFonts w:hint="eastAsia" w:ascii="宋体" w:hAnsi="宋体" w:eastAsia="宋体" w:cs="Times New Roman"/>
                <w:szCs w:val="21"/>
              </w:rPr>
              <w:t>具备</w:t>
            </w:r>
            <w:r>
              <w:rPr>
                <w:rFonts w:hint="eastAsia" w:ascii="宋体" w:hAnsi="宋体" w:eastAsia="宋体" w:cs="Times New Roman"/>
                <w:szCs w:val="21"/>
                <w:lang w:val="zh-CN"/>
              </w:rPr>
              <w:t>培训的讲师，</w:t>
            </w:r>
            <w:r>
              <w:rPr>
                <w:rFonts w:hint="eastAsia" w:ascii="宋体" w:hAnsi="宋体" w:eastAsia="宋体" w:cs="Times New Roman"/>
                <w:szCs w:val="21"/>
              </w:rPr>
              <w:t>讲师</w:t>
            </w:r>
            <w:r>
              <w:rPr>
                <w:rFonts w:hint="eastAsia" w:ascii="宋体" w:hAnsi="宋体" w:eastAsia="宋体" w:cs="Times New Roman"/>
                <w:szCs w:val="21"/>
                <w:lang w:val="zh-CN"/>
              </w:rPr>
              <w:t>需具备国际认证的CTT+培训资格</w:t>
            </w:r>
            <w:r>
              <w:rPr>
                <w:rFonts w:hint="eastAsia" w:ascii="宋体" w:hAnsi="宋体" w:eastAsia="宋体" w:cs="Times New Roman"/>
                <w:b/>
                <w:bCs/>
                <w:szCs w:val="21"/>
                <w:lang w:val="zh-CN"/>
              </w:rPr>
              <w:t>（</w:t>
            </w:r>
            <w:r>
              <w:rPr>
                <w:rFonts w:hint="eastAsia" w:ascii="宋体" w:hAnsi="宋体" w:eastAsia="宋体" w:cs="Times New Roman"/>
                <w:b/>
                <w:bCs/>
                <w:szCs w:val="21"/>
              </w:rPr>
              <w:t>投标文件中</w:t>
            </w:r>
            <w:r>
              <w:rPr>
                <w:rFonts w:hint="eastAsia" w:ascii="宋体" w:hAnsi="宋体" w:eastAsia="宋体" w:cs="Times New Roman"/>
                <w:b/>
                <w:bCs/>
                <w:szCs w:val="21"/>
                <w:lang w:val="zh-CN"/>
              </w:rPr>
              <w:t>提供</w:t>
            </w:r>
            <w:r>
              <w:rPr>
                <w:rFonts w:hint="eastAsia" w:ascii="宋体" w:hAnsi="宋体" w:eastAsia="宋体" w:cs="Times New Roman"/>
                <w:b/>
                <w:bCs/>
                <w:szCs w:val="21"/>
              </w:rPr>
              <w:t>资格证书</w:t>
            </w:r>
            <w:r>
              <w:rPr>
                <w:rFonts w:hint="eastAsia" w:ascii="宋体" w:hAnsi="宋体" w:eastAsia="宋体" w:cs="Times New Roman"/>
                <w:b/>
                <w:bCs/>
                <w:szCs w:val="21"/>
                <w:lang w:val="zh-CN"/>
              </w:rPr>
              <w:t>复印件</w:t>
            </w:r>
            <w:r>
              <w:rPr>
                <w:rFonts w:hint="eastAsia" w:ascii="宋体" w:hAnsi="宋体" w:eastAsia="宋体" w:cs="Times New Roman"/>
                <w:b/>
                <w:bCs/>
                <w:szCs w:val="21"/>
              </w:rPr>
              <w:t>并</w:t>
            </w:r>
            <w:r>
              <w:rPr>
                <w:rFonts w:hint="eastAsia" w:ascii="宋体" w:hAnsi="宋体" w:eastAsia="宋体" w:cs="Times New Roman"/>
                <w:b/>
                <w:bCs/>
                <w:szCs w:val="21"/>
                <w:lang w:val="zh-CN"/>
              </w:rPr>
              <w:t>加盖</w:t>
            </w:r>
            <w:r>
              <w:rPr>
                <w:rFonts w:hint="eastAsia" w:ascii="宋体" w:hAnsi="宋体" w:eastAsia="宋体" w:cs="Times New Roman"/>
                <w:b/>
                <w:bCs/>
                <w:szCs w:val="21"/>
              </w:rPr>
              <w:t>投标人</w:t>
            </w:r>
            <w:r>
              <w:rPr>
                <w:rFonts w:hint="eastAsia" w:ascii="宋体" w:hAnsi="宋体" w:eastAsia="宋体" w:cs="Times New Roman"/>
                <w:b/>
                <w:bCs/>
                <w:szCs w:val="21"/>
                <w:lang w:val="zh-CN"/>
              </w:rPr>
              <w:t>公章）</w:t>
            </w:r>
            <w:r>
              <w:rPr>
                <w:rFonts w:hint="eastAsia" w:ascii="宋体" w:hAnsi="宋体" w:eastAsia="宋体" w:cs="Times New Roman"/>
                <w:szCs w:val="21"/>
                <w:lang w:val="zh-CN"/>
              </w:rPr>
              <w:t>。</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19</w:t>
            </w:r>
          </w:p>
        </w:tc>
        <w:tc>
          <w:tcPr>
            <w:tcW w:w="3088" w:type="pct"/>
            <w:shd w:val="clear" w:color="auto" w:fill="FFFFFF"/>
            <w:noWrap w:val="0"/>
            <w:vAlign w:val="center"/>
          </w:tcPr>
          <w:p>
            <w:pPr>
              <w:spacing w:line="440" w:lineRule="exact"/>
              <w:rPr>
                <w:rFonts w:hint="eastAsia" w:ascii="宋体" w:hAnsi="宋体" w:eastAsia="宋体" w:cs="Times New Roman"/>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每年</w:t>
            </w:r>
            <w:r>
              <w:rPr>
                <w:rFonts w:hint="eastAsia" w:ascii="宋体" w:hAnsi="宋体"/>
                <w:bCs/>
                <w:color w:val="000000" w:themeColor="text1"/>
                <w:szCs w:val="21"/>
                <w:lang w:val="en-US" w:eastAsia="zh-CN"/>
                <w14:textFill>
                  <w14:solidFill>
                    <w14:schemeClr w14:val="tx1"/>
                  </w14:solidFill>
                </w14:textFill>
              </w:rPr>
              <w:t>至少</w:t>
            </w:r>
            <w:r>
              <w:rPr>
                <w:rFonts w:hint="eastAsia" w:ascii="宋体" w:hAnsi="宋体"/>
                <w:bCs/>
                <w:color w:val="000000" w:themeColor="text1"/>
                <w:szCs w:val="21"/>
                <w14:textFill>
                  <w14:solidFill>
                    <w14:schemeClr w14:val="tx1"/>
                  </w14:solidFill>
                </w14:textFill>
              </w:rPr>
              <w:t>提供一次</w:t>
            </w:r>
            <w:r>
              <w:rPr>
                <w:rFonts w:hint="eastAsia" w:ascii="宋体" w:hAnsi="宋体"/>
                <w:bCs/>
                <w:color w:val="000000" w:themeColor="text1"/>
                <w:szCs w:val="21"/>
                <w:lang w:val="en-US" w:eastAsia="zh-CN"/>
                <w14:textFill>
                  <w14:solidFill>
                    <w14:schemeClr w14:val="tx1"/>
                  </w14:solidFill>
                </w14:textFill>
              </w:rPr>
              <w:t>合</w:t>
            </w:r>
            <w:r>
              <w:rPr>
                <w:rFonts w:hint="eastAsia" w:ascii="宋体" w:hAnsi="宋体"/>
                <w:bCs/>
                <w:color w:val="000000" w:themeColor="text1"/>
                <w:szCs w:val="21"/>
                <w14:textFill>
                  <w14:solidFill>
                    <w14:schemeClr w14:val="tx1"/>
                  </w14:solidFill>
                </w14:textFill>
              </w:rPr>
              <w:t>计4人次原厂临床应用培训。</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bl>
    <w:p>
      <w:pPr>
        <w:tabs>
          <w:tab w:val="left" w:pos="720"/>
        </w:tabs>
        <w:spacing w:line="340" w:lineRule="exact"/>
        <w:jc w:val="left"/>
        <w:rPr>
          <w:rFonts w:ascii="宋体" w:hAnsi="宋体"/>
          <w:b/>
          <w:bCs/>
          <w:szCs w:val="21"/>
        </w:rPr>
      </w:pPr>
    </w:p>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945" w:type="dxa"/>
        <w:tblInd w:w="-8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150"/>
        <w:gridCol w:w="1602"/>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75"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kern w:val="0"/>
                <w:sz w:val="21"/>
                <w:szCs w:val="21"/>
                <w:lang w:val="zh-CN"/>
              </w:rPr>
              <w:t>序号</w:t>
            </w:r>
          </w:p>
        </w:tc>
        <w:tc>
          <w:tcPr>
            <w:tcW w:w="6150"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kern w:val="0"/>
                <w:sz w:val="21"/>
                <w:szCs w:val="21"/>
                <w:lang w:val="zh-CN"/>
              </w:rPr>
              <w:t>商务要求</w:t>
            </w:r>
          </w:p>
        </w:tc>
        <w:tc>
          <w:tcPr>
            <w:tcW w:w="1602" w:type="dxa"/>
            <w:shd w:val="clear" w:color="000000" w:fill="FFFFFF"/>
            <w:noWrap/>
            <w:vAlign w:val="center"/>
          </w:tcPr>
          <w:p>
            <w:pPr>
              <w:tabs>
                <w:tab w:val="left" w:pos="720"/>
              </w:tabs>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完全响应或</w:t>
            </w:r>
          </w:p>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sz w:val="21"/>
                <w:szCs w:val="21"/>
              </w:rPr>
              <w:t>正/负偏离</w:t>
            </w:r>
          </w:p>
        </w:tc>
        <w:tc>
          <w:tcPr>
            <w:tcW w:w="1518"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sz w:val="21"/>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75"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6150" w:type="dxa"/>
            <w:shd w:val="clear" w:color="000000" w:fill="FFFFFF"/>
            <w:noWrap/>
            <w:vAlign w:val="center"/>
          </w:tcPr>
          <w:p>
            <w:pPr>
              <w:spacing w:line="440" w:lineRule="exac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付款方式：</w:t>
            </w:r>
          </w:p>
          <w:p>
            <w:pPr>
              <w:snapToGrid/>
              <w:spacing w:line="440" w:lineRule="exact"/>
              <w:ind w:firstLine="0" w:firstLineChars="0"/>
              <w:jc w:val="left"/>
              <w:rPr>
                <w:rFonts w:hint="eastAsia" w:ascii="宋体" w:hAnsi="宋体" w:eastAsia="宋体" w:cs="宋体"/>
                <w:color w:val="000000"/>
                <w:sz w:val="21"/>
                <w:szCs w:val="21"/>
              </w:rPr>
            </w:pPr>
            <w:r>
              <w:rPr>
                <w:rFonts w:hint="eastAsia" w:ascii="宋体" w:hAnsi="宋体" w:eastAsia="宋体" w:cs="宋体"/>
                <w:bCs/>
                <w:color w:val="000000" w:themeColor="text1"/>
                <w:szCs w:val="21"/>
                <w:lang w:val="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1.</w:t>
            </w:r>
            <w:r>
              <w:rPr>
                <w:rFonts w:hint="eastAsia" w:ascii="宋体" w:hAnsi="宋体" w:eastAsia="宋体" w:cs="宋体"/>
                <w:bCs/>
                <w:color w:val="000000" w:themeColor="text1"/>
                <w:szCs w:val="21"/>
                <w:lang w:val="en-US" w:eastAsia="zh-CN"/>
                <w14:textFill>
                  <w14:solidFill>
                    <w14:schemeClr w14:val="tx1"/>
                  </w14:solidFill>
                </w14:textFill>
              </w:rPr>
              <w:t>在</w:t>
            </w:r>
            <w:r>
              <w:rPr>
                <w:rFonts w:hint="eastAsia" w:ascii="宋体" w:hAnsi="宋体" w:eastAsia="宋体" w:cs="宋体"/>
                <w:color w:val="000000"/>
                <w:sz w:val="21"/>
                <w:szCs w:val="21"/>
              </w:rPr>
              <w:t>维保服务3年</w:t>
            </w:r>
            <w:r>
              <w:rPr>
                <w:rFonts w:hint="eastAsia" w:ascii="宋体" w:hAnsi="宋体" w:eastAsia="宋体" w:cs="宋体"/>
                <w:color w:val="000000"/>
                <w:sz w:val="21"/>
                <w:szCs w:val="21"/>
                <w:lang w:val="en-US" w:eastAsia="zh-CN"/>
              </w:rPr>
              <w:t>期内</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按每个季度进行付款。每个季度末，</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提供</w:t>
            </w:r>
            <w:r>
              <w:rPr>
                <w:color w:val="000000"/>
                <w:sz w:val="21"/>
              </w:rPr>
              <w:t>合同总金额/12(保留小数后两位)</w:t>
            </w:r>
            <w:r>
              <w:rPr>
                <w:rFonts w:hint="eastAsia" w:ascii="宋体" w:hAnsi="宋体" w:eastAsia="宋体" w:cs="宋体"/>
                <w:color w:val="000000"/>
                <w:sz w:val="21"/>
                <w:szCs w:val="21"/>
              </w:rPr>
              <w:t>的维修款项发票，</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收到发票并审核无误后，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支付该笔款项。</w:t>
            </w:r>
          </w:p>
          <w:p>
            <w:pPr>
              <w:spacing w:line="440" w:lineRule="exact"/>
              <w:rPr>
                <w:rFonts w:hint="eastAsia" w:ascii="宋体" w:hAnsi="宋体" w:eastAsia="宋体" w:cs="Times New Roman"/>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2.因任何原因所致维保期间设备报废，维保服务终止，按实际维保时间结算费用。</w:t>
            </w:r>
          </w:p>
        </w:tc>
        <w:tc>
          <w:tcPr>
            <w:tcW w:w="1602"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c>
          <w:tcPr>
            <w:tcW w:w="1518"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75"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2</w:t>
            </w:r>
          </w:p>
        </w:tc>
        <w:tc>
          <w:tcPr>
            <w:tcW w:w="6150" w:type="dxa"/>
            <w:shd w:val="clear" w:color="000000" w:fill="FFFFFF"/>
            <w:noWrap/>
            <w:vAlign w:val="center"/>
          </w:tcPr>
          <w:p>
            <w:pPr>
              <w:spacing w:line="440" w:lineRule="exact"/>
              <w:rPr>
                <w:rFonts w:hint="eastAsia" w:ascii="宋体" w:hAnsi="宋体" w:eastAsia="宋体" w:cs="Times New Roman"/>
                <w:bCs/>
                <w:kern w:val="2"/>
                <w:sz w:val="21"/>
                <w:szCs w:val="21"/>
                <w:lang w:val="zh-CN" w:eastAsia="zh-CN" w:bidi="ar-SA"/>
              </w:rPr>
            </w:pPr>
            <w:r>
              <w:rPr>
                <w:rFonts w:hint="eastAsia" w:ascii="宋体" w:hAnsi="宋体"/>
                <w:bCs/>
                <w:szCs w:val="21"/>
              </w:rPr>
              <w:t>年度维保报告书：按医院“三甲”要求，每维保年度结束后一个月内提交该设备的“年度维保报告书”（一式2份，加盖公章），内容包括：年度内维修记录，保养记录。</w:t>
            </w:r>
          </w:p>
        </w:tc>
        <w:tc>
          <w:tcPr>
            <w:tcW w:w="1602"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c>
          <w:tcPr>
            <w:tcW w:w="1518"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75"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3</w:t>
            </w:r>
          </w:p>
        </w:tc>
        <w:tc>
          <w:tcPr>
            <w:tcW w:w="6150" w:type="dxa"/>
            <w:shd w:val="clear" w:color="000000" w:fill="FFFFFF"/>
            <w:noWrap/>
            <w:vAlign w:val="center"/>
          </w:tcPr>
          <w:p>
            <w:pPr>
              <w:spacing w:line="440" w:lineRule="exact"/>
              <w:rPr>
                <w:rFonts w:ascii="宋体" w:hAnsi="宋体"/>
                <w:bCs/>
                <w:szCs w:val="21"/>
              </w:rPr>
            </w:pPr>
            <w:r>
              <w:rPr>
                <w:rFonts w:hint="eastAsia" w:ascii="宋体" w:hAnsi="宋体"/>
                <w:bCs/>
                <w:szCs w:val="21"/>
              </w:rPr>
              <w:t xml:space="preserve">验收要求 </w:t>
            </w:r>
          </w:p>
          <w:p>
            <w:pPr>
              <w:spacing w:line="440" w:lineRule="exact"/>
              <w:rPr>
                <w:rFonts w:ascii="宋体" w:hAnsi="宋体"/>
                <w:bCs/>
                <w:szCs w:val="21"/>
              </w:rPr>
            </w:pPr>
            <w:r>
              <w:rPr>
                <w:rFonts w:hint="eastAsia" w:ascii="宋体" w:hAnsi="宋体"/>
                <w:bCs/>
                <w:szCs w:val="21"/>
              </w:rPr>
              <w:t>1.中标人每次对设备维修保养后须提供纸质记录，并经采购人签字确认服务内容。</w:t>
            </w:r>
          </w:p>
          <w:p>
            <w:pPr>
              <w:spacing w:line="440" w:lineRule="exact"/>
              <w:rPr>
                <w:rFonts w:hint="eastAsia" w:ascii="宋体" w:hAnsi="宋体" w:eastAsia="宋体" w:cs="Times New Roman"/>
                <w:bCs/>
                <w:kern w:val="2"/>
                <w:sz w:val="21"/>
                <w:szCs w:val="21"/>
                <w:lang w:val="zh-CN" w:eastAsia="zh-CN" w:bidi="ar-SA"/>
              </w:rPr>
            </w:pPr>
            <w:r>
              <w:rPr>
                <w:rFonts w:ascii="宋体" w:hAnsi="宋体"/>
                <w:bCs/>
                <w:szCs w:val="21"/>
              </w:rPr>
              <w:t>2.</w:t>
            </w:r>
            <w:r>
              <w:rPr>
                <w:rFonts w:hint="eastAsia" w:ascii="宋体" w:hAnsi="宋体"/>
                <w:bCs/>
                <w:szCs w:val="21"/>
              </w:rPr>
              <w:t xml:space="preserve">年度服务结束后，中标人应于验收前向科室提供年度维保报告书，医院组织验收。 </w:t>
            </w:r>
          </w:p>
        </w:tc>
        <w:tc>
          <w:tcPr>
            <w:tcW w:w="1602"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c>
          <w:tcPr>
            <w:tcW w:w="1518"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75"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4</w:t>
            </w:r>
          </w:p>
        </w:tc>
        <w:tc>
          <w:tcPr>
            <w:tcW w:w="6150" w:type="dxa"/>
            <w:shd w:val="clear" w:color="000000" w:fill="FFFFFF"/>
            <w:noWrap/>
            <w:vAlign w:val="center"/>
          </w:tcPr>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报价要求</w:t>
            </w:r>
          </w:p>
          <w:p>
            <w:pPr>
              <w:spacing w:line="440" w:lineRule="exact"/>
              <w:rPr>
                <w:rFonts w:hint="eastAsia" w:ascii="宋体" w:hAnsi="宋体" w:eastAsia="宋体" w:cs="Times New Roman"/>
                <w:bCs/>
                <w:color w:val="000000" w:themeColor="text1"/>
                <w:kern w:val="2"/>
                <w:sz w:val="21"/>
                <w:szCs w:val="21"/>
                <w:lang w:val="zh-CN"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报价应包含本项目维保范围内的医疗设备在合同有效期内进行维保所发生的一切费用，如标的设备维修维护保养（含零件及人工、配件、材料、工时、差旅、仓储、运输、节假日服务等）、一切税费（包括关税、增值税等）、保险费、调试、验收、资料等相关的全部费用。 </w:t>
            </w:r>
            <w:bookmarkStart w:id="0" w:name="_GoBack"/>
            <w:bookmarkEnd w:id="0"/>
          </w:p>
        </w:tc>
        <w:tc>
          <w:tcPr>
            <w:tcW w:w="1602"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c>
          <w:tcPr>
            <w:tcW w:w="1518"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75"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5</w:t>
            </w:r>
          </w:p>
        </w:tc>
        <w:tc>
          <w:tcPr>
            <w:tcW w:w="6150" w:type="dxa"/>
            <w:shd w:val="clear" w:color="000000" w:fill="FFFFFF"/>
            <w:noWrap/>
            <w:vAlign w:val="center"/>
          </w:tcPr>
          <w:p>
            <w:pPr>
              <w:spacing w:line="440" w:lineRule="exact"/>
              <w:rPr>
                <w:rFonts w:hint="eastAsia" w:ascii="宋体" w:hAnsi="宋体" w:eastAsia="宋体" w:cs="Times New Roman"/>
                <w:bCs/>
                <w:color w:val="000000" w:themeColor="text1"/>
                <w:kern w:val="2"/>
                <w:sz w:val="21"/>
                <w:szCs w:val="21"/>
                <w:lang w:val="zh-CN"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采购需求和评分项中的“维修服务商”指具备维修服务能力且与投标人具有授权关系或合作关系的服务单位。</w:t>
            </w:r>
            <w:r>
              <w:rPr>
                <w:rFonts w:hint="eastAsia" w:ascii="宋体" w:hAnsi="宋体"/>
                <w:b/>
                <w:color w:val="000000" w:themeColor="text1"/>
                <w:szCs w:val="21"/>
                <w14:textFill>
                  <w14:solidFill>
                    <w14:schemeClr w14:val="tx1"/>
                  </w14:solidFill>
                </w14:textFill>
              </w:rPr>
              <w:t>投标文件中提供授权关系或合作关系证明文件复印件并加盖投标人公章（投标人没有“维修服务商”的，可以不提供）。</w:t>
            </w:r>
          </w:p>
        </w:tc>
        <w:tc>
          <w:tcPr>
            <w:tcW w:w="1602"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c>
          <w:tcPr>
            <w:tcW w:w="1518"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75"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6</w:t>
            </w:r>
          </w:p>
        </w:tc>
        <w:tc>
          <w:tcPr>
            <w:tcW w:w="6150" w:type="dxa"/>
            <w:shd w:val="clear" w:color="000000" w:fill="FFFFFF"/>
            <w:noWrap/>
            <w:vAlign w:val="center"/>
          </w:tcPr>
          <w:p>
            <w:pPr>
              <w:rPr>
                <w:bCs/>
              </w:rPr>
            </w:pPr>
            <w:r>
              <w:rPr>
                <w:bCs/>
                <w:sz w:val="21"/>
              </w:rPr>
              <w:t>服务质量考核</w:t>
            </w:r>
          </w:p>
          <w:p>
            <w:r>
              <w:rPr>
                <w:rFonts w:hint="eastAsia"/>
                <w:sz w:val="21"/>
              </w:rPr>
              <w:t xml:space="preserve">    </w:t>
            </w:r>
            <w:r>
              <w:rPr>
                <w:sz w:val="21"/>
              </w:rPr>
              <w:t>采购人每</w:t>
            </w:r>
            <w:r>
              <w:rPr>
                <w:rFonts w:hint="eastAsia"/>
                <w:sz w:val="21"/>
              </w:rPr>
              <w:t>季度</w:t>
            </w:r>
            <w:r>
              <w:rPr>
                <w:sz w:val="21"/>
              </w:rPr>
              <w:t>对中标</w:t>
            </w:r>
            <w:r>
              <w:rPr>
                <w:rFonts w:hint="eastAsia"/>
                <w:sz w:val="21"/>
              </w:rPr>
              <w:t>人</w:t>
            </w:r>
            <w:r>
              <w:rPr>
                <w:sz w:val="21"/>
              </w:rPr>
              <w:t>的服务质量进行考核，并根据考核结果作为向</w:t>
            </w:r>
            <w:r>
              <w:rPr>
                <w:rFonts w:hint="eastAsia"/>
                <w:sz w:val="21"/>
                <w:lang w:val="en-US" w:eastAsia="zh-CN"/>
              </w:rPr>
              <w:t>中标</w:t>
            </w:r>
            <w:r>
              <w:rPr>
                <w:rFonts w:hint="eastAsia"/>
                <w:sz w:val="21"/>
              </w:rPr>
              <w:t>人</w:t>
            </w:r>
            <w:r>
              <w:rPr>
                <w:sz w:val="21"/>
              </w:rPr>
              <w:t>支付当期服务款项的依据。考核得分80分以上</w:t>
            </w:r>
            <w:r>
              <w:rPr>
                <w:rFonts w:hint="eastAsia"/>
                <w:sz w:val="21"/>
                <w:lang w:eastAsia="zh-CN"/>
              </w:rPr>
              <w:t>（</w:t>
            </w:r>
            <w:r>
              <w:rPr>
                <w:rFonts w:hint="eastAsia"/>
                <w:sz w:val="21"/>
                <w:lang w:val="en-US" w:eastAsia="zh-CN"/>
              </w:rPr>
              <w:t>含80分</w:t>
            </w:r>
            <w:r>
              <w:rPr>
                <w:rFonts w:hint="eastAsia"/>
                <w:sz w:val="21"/>
                <w:lang w:eastAsia="zh-CN"/>
              </w:rPr>
              <w:t>）</w:t>
            </w:r>
            <w:r>
              <w:rPr>
                <w:sz w:val="21"/>
              </w:rPr>
              <w:t>为合格，每低于80分1分，则扣</w:t>
            </w:r>
            <w:r>
              <w:rPr>
                <w:rFonts w:hint="eastAsia"/>
                <w:sz w:val="21"/>
              </w:rPr>
              <w:t>25</w:t>
            </w:r>
            <w:r>
              <w:rPr>
                <w:sz w:val="21"/>
              </w:rPr>
              <w:t>00元，扣罚金额可直接在当期应付服务款项中扣除。两次以上不合格（低于80分）的，采购人有权终止合同。具体考核标准如下：</w:t>
            </w:r>
          </w:p>
          <w:tbl>
            <w:tblPr>
              <w:tblStyle w:val="10"/>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744"/>
              <w:gridCol w:w="662"/>
              <w:gridCol w:w="3816"/>
              <w:gridCol w:w="49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8" w:type="dxa"/>
                  <w:tcBorders>
                    <w:top w:val="single" w:color="000000" w:sz="4" w:space="0"/>
                    <w:left w:val="single" w:color="auto" w:sz="4" w:space="0"/>
                    <w:bottom w:val="single" w:color="000000" w:sz="4" w:space="0"/>
                    <w:right w:val="single" w:color="000000" w:sz="4" w:space="0"/>
                  </w:tcBorders>
                  <w:shd w:val="clear" w:color="auto" w:fill="F2F2F2"/>
                </w:tcPr>
                <w:p>
                  <w:pPr>
                    <w:jc w:val="center"/>
                    <w:rPr>
                      <w:rFonts w:hint="eastAsia" w:eastAsia="宋体"/>
                      <w:b/>
                      <w:sz w:val="22"/>
                      <w:lang w:val="en-US" w:eastAsia="zh-CN"/>
                    </w:rPr>
                  </w:pPr>
                  <w:r>
                    <w:rPr>
                      <w:rFonts w:hint="eastAsia"/>
                      <w:b/>
                      <w:sz w:val="22"/>
                      <w:lang w:val="en-US" w:eastAsia="zh-CN"/>
                    </w:rPr>
                    <w:t>序号</w:t>
                  </w:r>
                </w:p>
              </w:tc>
              <w:tc>
                <w:tcPr>
                  <w:tcW w:w="1406" w:type="dxa"/>
                  <w:gridSpan w:val="2"/>
                  <w:tcBorders>
                    <w:top w:val="single" w:color="000000" w:sz="4" w:space="0"/>
                    <w:left w:val="single" w:color="auto" w:sz="4" w:space="0"/>
                    <w:bottom w:val="single" w:color="000000" w:sz="4" w:space="0"/>
                    <w:right w:val="single" w:color="000000" w:sz="4" w:space="0"/>
                  </w:tcBorders>
                  <w:shd w:val="clear" w:color="auto" w:fill="F2F2F2"/>
                </w:tcPr>
                <w:p>
                  <w:pPr>
                    <w:jc w:val="center"/>
                  </w:pPr>
                  <w:r>
                    <w:rPr>
                      <w:b/>
                      <w:sz w:val="22"/>
                    </w:rPr>
                    <w:t>内容细项</w:t>
                  </w:r>
                </w:p>
              </w:tc>
              <w:tc>
                <w:tcPr>
                  <w:tcW w:w="3816" w:type="dxa"/>
                  <w:tcBorders>
                    <w:top w:val="single" w:color="000000" w:sz="4" w:space="0"/>
                    <w:left w:val="nil"/>
                    <w:bottom w:val="single" w:color="auto" w:sz="4" w:space="0"/>
                    <w:right w:val="single" w:color="000000" w:sz="4" w:space="0"/>
                  </w:tcBorders>
                  <w:shd w:val="clear" w:color="auto" w:fill="F2F2F2"/>
                </w:tcPr>
                <w:p>
                  <w:pPr>
                    <w:jc w:val="center"/>
                  </w:pPr>
                  <w:r>
                    <w:rPr>
                      <w:b/>
                      <w:sz w:val="22"/>
                    </w:rPr>
                    <w:t>分值</w:t>
                  </w:r>
                </w:p>
              </w:tc>
              <w:tc>
                <w:tcPr>
                  <w:tcW w:w="499" w:type="dxa"/>
                  <w:tcBorders>
                    <w:top w:val="single" w:color="000000" w:sz="4" w:space="0"/>
                    <w:left w:val="nil"/>
                    <w:bottom w:val="single" w:color="auto" w:sz="4" w:space="0"/>
                    <w:right w:val="single" w:color="000000" w:sz="4" w:space="0"/>
                  </w:tcBorders>
                  <w:shd w:val="clear" w:color="auto" w:fill="F2F2F2"/>
                </w:tcPr>
                <w:p>
                  <w:pPr>
                    <w:jc w:val="center"/>
                  </w:pPr>
                  <w:r>
                    <w:rPr>
                      <w:rFonts w:hint="eastAsia"/>
                      <w:b/>
                      <w:sz w:val="20"/>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8" w:type="dxa"/>
                  <w:tcBorders>
                    <w:top w:val="nil"/>
                    <w:left w:val="single" w:color="000000" w:sz="4" w:space="0"/>
                    <w:bottom w:val="single" w:color="000000" w:sz="4" w:space="0"/>
                    <w:right w:val="single" w:color="000000" w:sz="4" w:space="0"/>
                  </w:tcBorders>
                </w:tcPr>
                <w:p>
                  <w:pPr>
                    <w:jc w:val="left"/>
                    <w:rPr>
                      <w:rFonts w:hint="eastAsia"/>
                      <w:sz w:val="20"/>
                      <w:lang w:val="en-US" w:eastAsia="zh-CN"/>
                    </w:rPr>
                  </w:pPr>
                  <w:r>
                    <w:rPr>
                      <w:rFonts w:hint="eastAsia"/>
                      <w:sz w:val="20"/>
                      <w:lang w:val="en-US" w:eastAsia="zh-CN"/>
                    </w:rPr>
                    <w:t>1</w:t>
                  </w:r>
                </w:p>
              </w:tc>
              <w:tc>
                <w:tcPr>
                  <w:tcW w:w="744" w:type="dxa"/>
                  <w:tcBorders>
                    <w:top w:val="nil"/>
                    <w:left w:val="single" w:color="000000" w:sz="4" w:space="0"/>
                    <w:bottom w:val="single" w:color="000000" w:sz="4" w:space="0"/>
                    <w:right w:val="single" w:color="000000" w:sz="4" w:space="0"/>
                  </w:tcBorders>
                </w:tcPr>
                <w:p>
                  <w:pPr>
                    <w:rPr>
                      <w:sz w:val="20"/>
                      <w:szCs w:val="20"/>
                    </w:rPr>
                  </w:pPr>
                  <w:r>
                    <w:rPr>
                      <w:rFonts w:hint="eastAsia"/>
                      <w:sz w:val="20"/>
                      <w:szCs w:val="20"/>
                    </w:rPr>
                    <w:t>工作态度</w:t>
                  </w:r>
                </w:p>
              </w:tc>
              <w:tc>
                <w:tcPr>
                  <w:tcW w:w="662" w:type="dxa"/>
                  <w:tcBorders>
                    <w:top w:val="nil"/>
                    <w:left w:val="nil"/>
                    <w:bottom w:val="single" w:color="000000" w:sz="4" w:space="0"/>
                    <w:right w:val="single" w:color="auto" w:sz="4" w:space="0"/>
                  </w:tcBorders>
                  <w:shd w:val="clear" w:color="auto" w:fill="FFFFFF"/>
                </w:tcPr>
                <w:p>
                  <w:pPr>
                    <w:jc w:val="left"/>
                  </w:pPr>
                  <w:r>
                    <w:rPr>
                      <w:sz w:val="20"/>
                    </w:rPr>
                    <w:t>作业规范</w:t>
                  </w:r>
                </w:p>
              </w:tc>
              <w:tc>
                <w:tcPr>
                  <w:tcW w:w="3816" w:type="dxa"/>
                  <w:tcBorders>
                    <w:top w:val="single" w:color="auto" w:sz="4" w:space="0"/>
                    <w:left w:val="single" w:color="auto" w:sz="4" w:space="0"/>
                    <w:bottom w:val="single" w:color="auto" w:sz="4" w:space="0"/>
                    <w:right w:val="single" w:color="auto" w:sz="4" w:space="0"/>
                  </w:tcBorders>
                  <w:shd w:val="clear" w:color="auto" w:fill="FFFFFF"/>
                </w:tcPr>
                <w:p>
                  <w:pPr>
                    <w:jc w:val="left"/>
                  </w:pPr>
                  <w:r>
                    <w:rPr>
                      <w:sz w:val="20"/>
                    </w:rPr>
                    <w:t>遵守科室规定，特殊区域作业时符合规范,作业后及时清洁现场</w:t>
                  </w:r>
                </w:p>
              </w:tc>
              <w:tc>
                <w:tcPr>
                  <w:tcW w:w="499" w:type="dxa"/>
                  <w:tcBorders>
                    <w:top w:val="single" w:color="auto" w:sz="4" w:space="0"/>
                    <w:left w:val="single" w:color="auto" w:sz="4" w:space="0"/>
                    <w:bottom w:val="single" w:color="auto" w:sz="4" w:space="0"/>
                    <w:right w:val="single" w:color="auto" w:sz="4" w:space="0"/>
                  </w:tcBorders>
                  <w:shd w:val="clear" w:color="auto" w:fill="FFFFFF"/>
                </w:tcPr>
                <w:p>
                  <w:pPr>
                    <w:jc w:val="center"/>
                  </w:pPr>
                  <w:r>
                    <w:rPr>
                      <w:sz w:val="20"/>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8" w:type="dxa"/>
                  <w:tcBorders>
                    <w:top w:val="nil"/>
                    <w:left w:val="single" w:color="000000" w:sz="4" w:space="0"/>
                    <w:bottom w:val="single" w:color="000000" w:sz="4" w:space="0"/>
                    <w:right w:val="single" w:color="000000" w:sz="4" w:space="0"/>
                  </w:tcBorders>
                </w:tcPr>
                <w:p>
                  <w:pPr>
                    <w:jc w:val="left"/>
                    <w:rPr>
                      <w:rFonts w:hint="eastAsia"/>
                      <w:sz w:val="20"/>
                      <w:lang w:val="en-US" w:eastAsia="zh-CN"/>
                    </w:rPr>
                  </w:pPr>
                  <w:r>
                    <w:rPr>
                      <w:rFonts w:hint="eastAsia"/>
                      <w:sz w:val="20"/>
                      <w:lang w:val="en-US" w:eastAsia="zh-CN"/>
                    </w:rPr>
                    <w:t>2</w:t>
                  </w:r>
                </w:p>
              </w:tc>
              <w:tc>
                <w:tcPr>
                  <w:tcW w:w="744" w:type="dxa"/>
                  <w:vMerge w:val="restart"/>
                  <w:tcBorders>
                    <w:top w:val="nil"/>
                    <w:left w:val="single" w:color="000000" w:sz="4" w:space="0"/>
                    <w:bottom w:val="single" w:color="000000" w:sz="4" w:space="0"/>
                    <w:right w:val="single" w:color="000000" w:sz="4" w:space="0"/>
                  </w:tcBorders>
                </w:tcPr>
                <w:p>
                  <w:pPr>
                    <w:rPr>
                      <w:sz w:val="20"/>
                      <w:szCs w:val="20"/>
                    </w:rPr>
                  </w:pPr>
                  <w:r>
                    <w:rPr>
                      <w:rFonts w:hint="eastAsia"/>
                      <w:sz w:val="20"/>
                      <w:szCs w:val="20"/>
                    </w:rPr>
                    <w:t>工作主动性</w:t>
                  </w:r>
                </w:p>
              </w:tc>
              <w:tc>
                <w:tcPr>
                  <w:tcW w:w="662" w:type="dxa"/>
                  <w:tcBorders>
                    <w:top w:val="nil"/>
                    <w:left w:val="nil"/>
                    <w:bottom w:val="single" w:color="000000" w:sz="4" w:space="0"/>
                    <w:right w:val="single" w:color="auto" w:sz="4" w:space="0"/>
                  </w:tcBorders>
                  <w:shd w:val="clear" w:color="auto" w:fill="FFFFFF"/>
                </w:tcPr>
                <w:p>
                  <w:pPr>
                    <w:jc w:val="left"/>
                  </w:pPr>
                  <w:r>
                    <w:rPr>
                      <w:sz w:val="20"/>
                    </w:rPr>
                    <w:t>保养质检</w:t>
                  </w:r>
                </w:p>
              </w:tc>
              <w:tc>
                <w:tcPr>
                  <w:tcW w:w="3816" w:type="dxa"/>
                  <w:tcBorders>
                    <w:top w:val="single" w:color="auto" w:sz="4" w:space="0"/>
                    <w:left w:val="single" w:color="auto" w:sz="4" w:space="0"/>
                    <w:bottom w:val="single" w:color="auto" w:sz="4" w:space="0"/>
                    <w:right w:val="single" w:color="auto" w:sz="4" w:space="0"/>
                  </w:tcBorders>
                  <w:shd w:val="clear" w:color="auto" w:fill="FFFFFF"/>
                </w:tcPr>
                <w:p>
                  <w:pPr>
                    <w:jc w:val="left"/>
                  </w:pPr>
                  <w:r>
                    <w:rPr>
                      <w:sz w:val="20"/>
                    </w:rPr>
                    <w:t>按规定和要求完成设备保养和质检工作，保障设备的正常运转</w:t>
                  </w:r>
                </w:p>
              </w:tc>
              <w:tc>
                <w:tcPr>
                  <w:tcW w:w="499" w:type="dxa"/>
                  <w:tcBorders>
                    <w:top w:val="single" w:color="auto" w:sz="4" w:space="0"/>
                    <w:left w:val="single" w:color="auto" w:sz="4" w:space="0"/>
                    <w:bottom w:val="single" w:color="auto" w:sz="4" w:space="0"/>
                    <w:right w:val="single" w:color="auto" w:sz="4" w:space="0"/>
                  </w:tcBorders>
                  <w:shd w:val="clear" w:color="auto" w:fill="FFFFFF"/>
                </w:tcPr>
                <w:p>
                  <w:pPr>
                    <w:jc w:val="center"/>
                  </w:pPr>
                  <w:r>
                    <w:rPr>
                      <w:sz w:val="20"/>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8" w:type="dxa"/>
                  <w:tcBorders>
                    <w:top w:val="nil"/>
                    <w:left w:val="single" w:color="000000" w:sz="4" w:space="0"/>
                    <w:bottom w:val="single" w:color="000000" w:sz="4" w:space="0"/>
                    <w:right w:val="single" w:color="000000" w:sz="4" w:space="0"/>
                  </w:tcBorders>
                </w:tcPr>
                <w:p>
                  <w:pPr>
                    <w:jc w:val="left"/>
                    <w:rPr>
                      <w:rFonts w:hint="eastAsia"/>
                      <w:sz w:val="20"/>
                      <w:lang w:val="en-US" w:eastAsia="zh-CN"/>
                    </w:rPr>
                  </w:pPr>
                  <w:r>
                    <w:rPr>
                      <w:rFonts w:hint="eastAsia"/>
                      <w:sz w:val="20"/>
                      <w:lang w:val="en-US" w:eastAsia="zh-CN"/>
                    </w:rPr>
                    <w:t>3</w:t>
                  </w:r>
                </w:p>
              </w:tc>
              <w:tc>
                <w:tcPr>
                  <w:tcW w:w="744" w:type="dxa"/>
                  <w:vMerge w:val="continue"/>
                  <w:tcBorders>
                    <w:top w:val="nil"/>
                    <w:left w:val="single" w:color="000000" w:sz="4" w:space="0"/>
                    <w:bottom w:val="single" w:color="000000" w:sz="4" w:space="0"/>
                    <w:right w:val="single" w:color="000000" w:sz="4" w:space="0"/>
                  </w:tcBorders>
                </w:tcPr>
                <w:p/>
              </w:tc>
              <w:tc>
                <w:tcPr>
                  <w:tcW w:w="662" w:type="dxa"/>
                  <w:tcBorders>
                    <w:top w:val="nil"/>
                    <w:left w:val="nil"/>
                    <w:bottom w:val="single" w:color="000000" w:sz="4" w:space="0"/>
                    <w:right w:val="single" w:color="auto" w:sz="4" w:space="0"/>
                  </w:tcBorders>
                  <w:shd w:val="clear" w:color="auto" w:fill="FFFFFF"/>
                </w:tcPr>
                <w:p>
                  <w:pPr>
                    <w:jc w:val="left"/>
                  </w:pPr>
                  <w:r>
                    <w:rPr>
                      <w:sz w:val="20"/>
                    </w:rPr>
                    <w:t>工单管理</w:t>
                  </w:r>
                </w:p>
              </w:tc>
              <w:tc>
                <w:tcPr>
                  <w:tcW w:w="3816" w:type="dxa"/>
                  <w:tcBorders>
                    <w:top w:val="single" w:color="auto" w:sz="4" w:space="0"/>
                    <w:left w:val="single" w:color="auto" w:sz="4" w:space="0"/>
                    <w:bottom w:val="single" w:color="auto" w:sz="4" w:space="0"/>
                    <w:right w:val="single" w:color="auto" w:sz="4" w:space="0"/>
                  </w:tcBorders>
                  <w:shd w:val="clear" w:color="auto" w:fill="FFFFFF"/>
                </w:tcPr>
                <w:p>
                  <w:pPr>
                    <w:jc w:val="left"/>
                  </w:pPr>
                  <w:r>
                    <w:rPr>
                      <w:sz w:val="20"/>
                    </w:rPr>
                    <w:t>服务完成有完整的纸质或电子版工单报告，按照科室要求做好服务记录，按规范要求进行归档</w:t>
                  </w:r>
                </w:p>
              </w:tc>
              <w:tc>
                <w:tcPr>
                  <w:tcW w:w="499" w:type="dxa"/>
                  <w:tcBorders>
                    <w:top w:val="single" w:color="auto" w:sz="4" w:space="0"/>
                    <w:left w:val="single" w:color="auto" w:sz="4" w:space="0"/>
                    <w:bottom w:val="single" w:color="auto" w:sz="4" w:space="0"/>
                    <w:right w:val="single" w:color="auto" w:sz="4" w:space="0"/>
                  </w:tcBorders>
                  <w:shd w:val="clear" w:color="auto" w:fill="FFFFFF"/>
                </w:tcPr>
                <w:p>
                  <w:pPr>
                    <w:jc w:val="center"/>
                  </w:pPr>
                  <w:r>
                    <w:rPr>
                      <w:sz w:val="20"/>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8" w:type="dxa"/>
                  <w:tcBorders>
                    <w:top w:val="nil"/>
                    <w:left w:val="single" w:color="000000" w:sz="4" w:space="0"/>
                    <w:bottom w:val="single" w:color="000000" w:sz="4" w:space="0"/>
                    <w:right w:val="single" w:color="000000" w:sz="4" w:space="0"/>
                  </w:tcBorders>
                  <w:shd w:val="clear" w:color="auto" w:fill="FFFFFF"/>
                </w:tcPr>
                <w:p>
                  <w:pPr>
                    <w:jc w:val="left"/>
                    <w:rPr>
                      <w:rFonts w:hint="eastAsia"/>
                      <w:sz w:val="20"/>
                      <w:lang w:val="en-US" w:eastAsia="zh-CN"/>
                    </w:rPr>
                  </w:pPr>
                  <w:r>
                    <w:rPr>
                      <w:rFonts w:hint="eastAsia"/>
                      <w:sz w:val="20"/>
                      <w:lang w:val="en-US" w:eastAsia="zh-CN"/>
                    </w:rPr>
                    <w:t>4</w:t>
                  </w:r>
                </w:p>
              </w:tc>
              <w:tc>
                <w:tcPr>
                  <w:tcW w:w="744" w:type="dxa"/>
                  <w:vMerge w:val="restart"/>
                  <w:tcBorders>
                    <w:top w:val="nil"/>
                    <w:left w:val="single" w:color="000000" w:sz="4" w:space="0"/>
                    <w:bottom w:val="single" w:color="000000" w:sz="4" w:space="0"/>
                    <w:right w:val="single" w:color="000000" w:sz="4" w:space="0"/>
                  </w:tcBorders>
                  <w:shd w:val="clear" w:color="auto" w:fill="FFFFFF"/>
                </w:tcPr>
                <w:p>
                  <w:pPr>
                    <w:jc w:val="center"/>
                  </w:pPr>
                  <w:r>
                    <w:rPr>
                      <w:sz w:val="20"/>
                    </w:rPr>
                    <w:t>响应速度</w:t>
                  </w:r>
                </w:p>
              </w:tc>
              <w:tc>
                <w:tcPr>
                  <w:tcW w:w="662" w:type="dxa"/>
                  <w:tcBorders>
                    <w:top w:val="nil"/>
                    <w:left w:val="nil"/>
                    <w:bottom w:val="single" w:color="000000" w:sz="4" w:space="0"/>
                    <w:right w:val="single" w:color="auto" w:sz="4" w:space="0"/>
                  </w:tcBorders>
                  <w:shd w:val="clear" w:color="auto" w:fill="FFFFFF"/>
                </w:tcPr>
                <w:p>
                  <w:pPr>
                    <w:jc w:val="left"/>
                  </w:pPr>
                  <w:r>
                    <w:rPr>
                      <w:sz w:val="20"/>
                    </w:rPr>
                    <w:t>响应及时</w:t>
                  </w:r>
                </w:p>
              </w:tc>
              <w:tc>
                <w:tcPr>
                  <w:tcW w:w="3816" w:type="dxa"/>
                  <w:tcBorders>
                    <w:top w:val="single" w:color="auto" w:sz="4" w:space="0"/>
                    <w:left w:val="single" w:color="auto" w:sz="4" w:space="0"/>
                    <w:bottom w:val="single" w:color="auto" w:sz="4" w:space="0"/>
                    <w:right w:val="single" w:color="auto" w:sz="4" w:space="0"/>
                  </w:tcBorders>
                  <w:shd w:val="clear" w:color="auto" w:fill="FFFFFF"/>
                </w:tcPr>
                <w:p>
                  <w:pPr>
                    <w:jc w:val="left"/>
                  </w:pPr>
                  <w:r>
                    <w:rPr>
                      <w:sz w:val="20"/>
                    </w:rPr>
                    <w:t>接到报修及时响应，按规定时间到场处理故障</w:t>
                  </w:r>
                </w:p>
              </w:tc>
              <w:tc>
                <w:tcPr>
                  <w:tcW w:w="499" w:type="dxa"/>
                  <w:tcBorders>
                    <w:top w:val="single" w:color="auto" w:sz="4" w:space="0"/>
                    <w:left w:val="single" w:color="auto" w:sz="4" w:space="0"/>
                    <w:bottom w:val="single" w:color="auto" w:sz="4" w:space="0"/>
                    <w:right w:val="single" w:color="auto" w:sz="4" w:space="0"/>
                  </w:tcBorders>
                  <w:shd w:val="clear" w:color="auto" w:fill="FFFFFF"/>
                </w:tcPr>
                <w:p>
                  <w:pPr>
                    <w:jc w:val="center"/>
                  </w:pPr>
                  <w:r>
                    <w:rPr>
                      <w:rFonts w:hint="eastAsia"/>
                      <w:sz w:val="20"/>
                    </w:rPr>
                    <w:t>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8" w:type="dxa"/>
                  <w:tcBorders>
                    <w:top w:val="nil"/>
                    <w:left w:val="single" w:color="000000" w:sz="4" w:space="0"/>
                    <w:bottom w:val="single" w:color="000000" w:sz="4" w:space="0"/>
                    <w:right w:val="single" w:color="000000" w:sz="4" w:space="0"/>
                  </w:tcBorders>
                </w:tcPr>
                <w:p>
                  <w:pPr>
                    <w:jc w:val="left"/>
                    <w:rPr>
                      <w:rFonts w:hint="eastAsia"/>
                      <w:sz w:val="20"/>
                      <w:lang w:val="en-US" w:eastAsia="zh-CN"/>
                    </w:rPr>
                  </w:pPr>
                  <w:r>
                    <w:rPr>
                      <w:rFonts w:hint="eastAsia"/>
                      <w:sz w:val="20"/>
                      <w:lang w:val="en-US" w:eastAsia="zh-CN"/>
                    </w:rPr>
                    <w:t>5</w:t>
                  </w:r>
                </w:p>
              </w:tc>
              <w:tc>
                <w:tcPr>
                  <w:tcW w:w="744" w:type="dxa"/>
                  <w:vMerge w:val="continue"/>
                  <w:tcBorders>
                    <w:top w:val="nil"/>
                    <w:left w:val="single" w:color="000000" w:sz="4" w:space="0"/>
                    <w:bottom w:val="single" w:color="000000" w:sz="4" w:space="0"/>
                    <w:right w:val="single" w:color="000000" w:sz="4" w:space="0"/>
                  </w:tcBorders>
                </w:tcPr>
                <w:p/>
              </w:tc>
              <w:tc>
                <w:tcPr>
                  <w:tcW w:w="662" w:type="dxa"/>
                  <w:tcBorders>
                    <w:top w:val="nil"/>
                    <w:left w:val="nil"/>
                    <w:bottom w:val="single" w:color="000000" w:sz="4" w:space="0"/>
                    <w:right w:val="single" w:color="auto" w:sz="4" w:space="0"/>
                  </w:tcBorders>
                  <w:shd w:val="clear" w:color="auto" w:fill="FFFFFF"/>
                </w:tcPr>
                <w:p>
                  <w:pPr>
                    <w:jc w:val="left"/>
                  </w:pPr>
                  <w:r>
                    <w:rPr>
                      <w:sz w:val="20"/>
                    </w:rPr>
                    <w:t>备件速度</w:t>
                  </w:r>
                </w:p>
              </w:tc>
              <w:tc>
                <w:tcPr>
                  <w:tcW w:w="3816" w:type="dxa"/>
                  <w:tcBorders>
                    <w:top w:val="single" w:color="auto" w:sz="4" w:space="0"/>
                    <w:left w:val="single" w:color="auto" w:sz="4" w:space="0"/>
                    <w:bottom w:val="single" w:color="auto" w:sz="4" w:space="0"/>
                    <w:right w:val="single" w:color="auto" w:sz="4" w:space="0"/>
                  </w:tcBorders>
                  <w:shd w:val="clear" w:color="auto" w:fill="FFFFFF"/>
                </w:tcPr>
                <w:p>
                  <w:pPr>
                    <w:jc w:val="left"/>
                  </w:pPr>
                  <w:r>
                    <w:rPr>
                      <w:sz w:val="20"/>
                    </w:rPr>
                    <w:t>及时保障维修零备件采购速度，并在要求时间内完成维修</w:t>
                  </w:r>
                </w:p>
              </w:tc>
              <w:tc>
                <w:tcPr>
                  <w:tcW w:w="499" w:type="dxa"/>
                  <w:tcBorders>
                    <w:top w:val="single" w:color="auto" w:sz="4" w:space="0"/>
                    <w:left w:val="single" w:color="auto" w:sz="4" w:space="0"/>
                    <w:bottom w:val="single" w:color="auto" w:sz="4" w:space="0"/>
                    <w:right w:val="single" w:color="auto" w:sz="4" w:space="0"/>
                  </w:tcBorders>
                  <w:shd w:val="clear" w:color="auto" w:fill="FFFFFF"/>
                </w:tcPr>
                <w:p>
                  <w:pPr>
                    <w:jc w:val="center"/>
                  </w:pPr>
                  <w:r>
                    <w:rPr>
                      <w:rFonts w:hint="eastAsia"/>
                      <w:sz w:val="20"/>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8" w:type="dxa"/>
                  <w:tcBorders>
                    <w:top w:val="nil"/>
                    <w:left w:val="single" w:color="000000" w:sz="4" w:space="0"/>
                    <w:bottom w:val="single" w:color="000000" w:sz="4" w:space="0"/>
                    <w:right w:val="single" w:color="000000" w:sz="4" w:space="0"/>
                  </w:tcBorders>
                  <w:shd w:val="clear" w:color="auto" w:fill="FFFFFF"/>
                </w:tcPr>
                <w:p>
                  <w:pPr>
                    <w:jc w:val="left"/>
                    <w:rPr>
                      <w:rFonts w:hint="eastAsia"/>
                      <w:sz w:val="20"/>
                      <w:lang w:val="en-US" w:eastAsia="zh-CN"/>
                    </w:rPr>
                  </w:pPr>
                  <w:r>
                    <w:rPr>
                      <w:rFonts w:hint="eastAsia"/>
                      <w:sz w:val="20"/>
                      <w:lang w:val="en-US" w:eastAsia="zh-CN"/>
                    </w:rPr>
                    <w:t>6</w:t>
                  </w:r>
                </w:p>
              </w:tc>
              <w:tc>
                <w:tcPr>
                  <w:tcW w:w="744" w:type="dxa"/>
                  <w:vMerge w:val="restart"/>
                  <w:tcBorders>
                    <w:top w:val="nil"/>
                    <w:left w:val="single" w:color="000000" w:sz="4" w:space="0"/>
                    <w:bottom w:val="single" w:color="000000" w:sz="4" w:space="0"/>
                    <w:right w:val="single" w:color="000000" w:sz="4" w:space="0"/>
                  </w:tcBorders>
                  <w:shd w:val="clear" w:color="auto" w:fill="FFFFFF"/>
                </w:tcPr>
                <w:p>
                  <w:pPr>
                    <w:jc w:val="center"/>
                  </w:pPr>
                  <w:r>
                    <w:rPr>
                      <w:sz w:val="20"/>
                    </w:rPr>
                    <w:t>技术能力</w:t>
                  </w:r>
                </w:p>
              </w:tc>
              <w:tc>
                <w:tcPr>
                  <w:tcW w:w="662" w:type="dxa"/>
                  <w:tcBorders>
                    <w:top w:val="nil"/>
                    <w:left w:val="nil"/>
                    <w:bottom w:val="single" w:color="000000" w:sz="4" w:space="0"/>
                    <w:right w:val="single" w:color="auto" w:sz="4" w:space="0"/>
                  </w:tcBorders>
                  <w:shd w:val="clear" w:color="auto" w:fill="FFFFFF"/>
                </w:tcPr>
                <w:p>
                  <w:pPr>
                    <w:jc w:val="left"/>
                  </w:pPr>
                  <w:r>
                    <w:rPr>
                      <w:sz w:val="20"/>
                    </w:rPr>
                    <w:t>服务能力</w:t>
                  </w:r>
                </w:p>
              </w:tc>
              <w:tc>
                <w:tcPr>
                  <w:tcW w:w="3816" w:type="dxa"/>
                  <w:tcBorders>
                    <w:top w:val="single" w:color="auto" w:sz="4" w:space="0"/>
                    <w:left w:val="single" w:color="auto" w:sz="4" w:space="0"/>
                    <w:bottom w:val="single" w:color="auto" w:sz="4" w:space="0"/>
                    <w:right w:val="single" w:color="auto" w:sz="4" w:space="0"/>
                  </w:tcBorders>
                  <w:shd w:val="clear" w:color="auto" w:fill="FFFFFF"/>
                </w:tcPr>
                <w:p>
                  <w:pPr>
                    <w:jc w:val="left"/>
                  </w:pPr>
                  <w:r>
                    <w:rPr>
                      <w:sz w:val="20"/>
                    </w:rPr>
                    <w:t>工程师对自己负责科室设备的熟练</w:t>
                  </w:r>
                </w:p>
              </w:tc>
              <w:tc>
                <w:tcPr>
                  <w:tcW w:w="499" w:type="dxa"/>
                  <w:tcBorders>
                    <w:top w:val="single" w:color="auto" w:sz="4" w:space="0"/>
                    <w:left w:val="single" w:color="auto" w:sz="4" w:space="0"/>
                    <w:bottom w:val="single" w:color="auto" w:sz="4" w:space="0"/>
                    <w:right w:val="single" w:color="auto" w:sz="4" w:space="0"/>
                  </w:tcBorders>
                  <w:shd w:val="clear" w:color="auto" w:fill="FFFFFF"/>
                </w:tcPr>
                <w:p>
                  <w:pPr>
                    <w:jc w:val="center"/>
                  </w:pPr>
                  <w:r>
                    <w:rPr>
                      <w:rFonts w:hint="eastAsia"/>
                      <w:sz w:val="20"/>
                    </w:rPr>
                    <w:t>1</w:t>
                  </w:r>
                  <w:r>
                    <w:rPr>
                      <w:sz w:val="20"/>
                    </w:rPr>
                    <w:t>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8" w:type="dxa"/>
                  <w:tcBorders>
                    <w:top w:val="nil"/>
                    <w:left w:val="single" w:color="000000" w:sz="4" w:space="0"/>
                    <w:bottom w:val="single" w:color="000000" w:sz="4" w:space="0"/>
                    <w:right w:val="single" w:color="000000" w:sz="4" w:space="0"/>
                  </w:tcBorders>
                </w:tcPr>
                <w:p>
                  <w:pPr>
                    <w:jc w:val="left"/>
                    <w:rPr>
                      <w:rFonts w:hint="eastAsia"/>
                      <w:sz w:val="20"/>
                      <w:lang w:val="en-US" w:eastAsia="zh-CN"/>
                    </w:rPr>
                  </w:pPr>
                  <w:r>
                    <w:rPr>
                      <w:rFonts w:hint="eastAsia"/>
                      <w:sz w:val="20"/>
                      <w:lang w:val="en-US" w:eastAsia="zh-CN"/>
                    </w:rPr>
                    <w:t>7</w:t>
                  </w:r>
                </w:p>
              </w:tc>
              <w:tc>
                <w:tcPr>
                  <w:tcW w:w="744" w:type="dxa"/>
                  <w:vMerge w:val="continue"/>
                  <w:tcBorders>
                    <w:top w:val="nil"/>
                    <w:left w:val="single" w:color="000000" w:sz="4" w:space="0"/>
                    <w:bottom w:val="single" w:color="000000" w:sz="4" w:space="0"/>
                    <w:right w:val="single" w:color="000000" w:sz="4" w:space="0"/>
                  </w:tcBorders>
                </w:tcPr>
                <w:p/>
              </w:tc>
              <w:tc>
                <w:tcPr>
                  <w:tcW w:w="662" w:type="dxa"/>
                  <w:tcBorders>
                    <w:top w:val="nil"/>
                    <w:left w:val="nil"/>
                    <w:bottom w:val="single" w:color="000000" w:sz="4" w:space="0"/>
                    <w:right w:val="single" w:color="auto" w:sz="4" w:space="0"/>
                  </w:tcBorders>
                  <w:shd w:val="clear" w:color="auto" w:fill="FFFFFF"/>
                </w:tcPr>
                <w:p>
                  <w:pPr>
                    <w:jc w:val="left"/>
                  </w:pPr>
                  <w:r>
                    <w:rPr>
                      <w:sz w:val="20"/>
                    </w:rPr>
                    <w:t>修理方案</w:t>
                  </w:r>
                </w:p>
              </w:tc>
              <w:tc>
                <w:tcPr>
                  <w:tcW w:w="3816" w:type="dxa"/>
                  <w:tcBorders>
                    <w:top w:val="single" w:color="auto" w:sz="4" w:space="0"/>
                    <w:left w:val="single" w:color="auto" w:sz="4" w:space="0"/>
                    <w:bottom w:val="single" w:color="auto" w:sz="4" w:space="0"/>
                    <w:right w:val="single" w:color="auto" w:sz="4" w:space="0"/>
                  </w:tcBorders>
                  <w:shd w:val="clear" w:color="auto" w:fill="FFFFFF"/>
                </w:tcPr>
                <w:p>
                  <w:pPr>
                    <w:jc w:val="left"/>
                  </w:pPr>
                  <w:r>
                    <w:rPr>
                      <w:sz w:val="20"/>
                    </w:rPr>
                    <w:t>现场及时正确地判断故障，迅速合理地确定修理方案，保障设备的正常运转</w:t>
                  </w:r>
                </w:p>
              </w:tc>
              <w:tc>
                <w:tcPr>
                  <w:tcW w:w="499" w:type="dxa"/>
                  <w:tcBorders>
                    <w:top w:val="single" w:color="auto" w:sz="4" w:space="0"/>
                    <w:left w:val="single" w:color="auto" w:sz="4" w:space="0"/>
                    <w:bottom w:val="single" w:color="auto" w:sz="4" w:space="0"/>
                    <w:right w:val="single" w:color="auto" w:sz="4" w:space="0"/>
                  </w:tcBorders>
                  <w:shd w:val="clear" w:color="auto" w:fill="FFFFFF"/>
                </w:tcPr>
                <w:p>
                  <w:pPr>
                    <w:jc w:val="center"/>
                  </w:pPr>
                  <w:r>
                    <w:rPr>
                      <w:rFonts w:hint="eastAsia"/>
                      <w:sz w:val="20"/>
                    </w:rPr>
                    <w:t>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8" w:type="dxa"/>
                  <w:tcBorders>
                    <w:top w:val="nil"/>
                    <w:left w:val="single" w:color="000000" w:sz="4" w:space="0"/>
                    <w:bottom w:val="single" w:color="000000" w:sz="4" w:space="0"/>
                    <w:right w:val="single" w:color="000000" w:sz="4" w:space="0"/>
                  </w:tcBorders>
                  <w:shd w:val="clear" w:color="auto" w:fill="FFFFFF"/>
                </w:tcPr>
                <w:p>
                  <w:pPr>
                    <w:jc w:val="left"/>
                    <w:rPr>
                      <w:rFonts w:hint="eastAsia"/>
                      <w:sz w:val="20"/>
                      <w:lang w:val="en-US" w:eastAsia="zh-CN"/>
                    </w:rPr>
                  </w:pPr>
                  <w:r>
                    <w:rPr>
                      <w:rFonts w:hint="eastAsia"/>
                      <w:sz w:val="20"/>
                      <w:lang w:val="en-US" w:eastAsia="zh-CN"/>
                    </w:rPr>
                    <w:t>8</w:t>
                  </w:r>
                </w:p>
              </w:tc>
              <w:tc>
                <w:tcPr>
                  <w:tcW w:w="744" w:type="dxa"/>
                  <w:tcBorders>
                    <w:top w:val="nil"/>
                    <w:left w:val="single" w:color="000000" w:sz="4" w:space="0"/>
                    <w:bottom w:val="single" w:color="000000" w:sz="4" w:space="0"/>
                    <w:right w:val="single" w:color="000000" w:sz="4" w:space="0"/>
                  </w:tcBorders>
                  <w:shd w:val="clear" w:color="auto" w:fill="FFFFFF"/>
                </w:tcPr>
                <w:p>
                  <w:pPr>
                    <w:jc w:val="left"/>
                  </w:pPr>
                  <w:r>
                    <w:rPr>
                      <w:sz w:val="20"/>
                    </w:rPr>
                    <w:t>沟通汇报</w:t>
                  </w:r>
                </w:p>
              </w:tc>
              <w:tc>
                <w:tcPr>
                  <w:tcW w:w="662" w:type="dxa"/>
                  <w:tcBorders>
                    <w:top w:val="nil"/>
                    <w:left w:val="nil"/>
                    <w:bottom w:val="single" w:color="000000" w:sz="4" w:space="0"/>
                    <w:right w:val="single" w:color="auto" w:sz="4" w:space="0"/>
                  </w:tcBorders>
                  <w:shd w:val="clear" w:color="auto" w:fill="FFFFFF"/>
                </w:tcPr>
                <w:p>
                  <w:pPr>
                    <w:jc w:val="left"/>
                  </w:pPr>
                  <w:r>
                    <w:rPr>
                      <w:sz w:val="20"/>
                    </w:rPr>
                    <w:t>沟通汇报</w:t>
                  </w:r>
                </w:p>
              </w:tc>
              <w:tc>
                <w:tcPr>
                  <w:tcW w:w="3816" w:type="dxa"/>
                  <w:tcBorders>
                    <w:top w:val="single" w:color="auto" w:sz="4" w:space="0"/>
                    <w:left w:val="single" w:color="auto" w:sz="4" w:space="0"/>
                    <w:bottom w:val="single" w:color="auto" w:sz="4" w:space="0"/>
                    <w:right w:val="single" w:color="auto" w:sz="4" w:space="0"/>
                  </w:tcBorders>
                  <w:shd w:val="clear" w:color="auto" w:fill="FFFFFF"/>
                </w:tcPr>
                <w:p>
                  <w:pPr>
                    <w:jc w:val="left"/>
                  </w:pPr>
                  <w:r>
                    <w:rPr>
                      <w:sz w:val="20"/>
                    </w:rPr>
                    <w:t>及时沟通维修进度，分析故障原因及建议临床科室使用注意事项，定期汇报设备维护情况</w:t>
                  </w:r>
                </w:p>
              </w:tc>
              <w:tc>
                <w:tcPr>
                  <w:tcW w:w="499" w:type="dxa"/>
                  <w:tcBorders>
                    <w:top w:val="single" w:color="auto" w:sz="4" w:space="0"/>
                    <w:left w:val="single" w:color="auto" w:sz="4" w:space="0"/>
                    <w:bottom w:val="single" w:color="auto" w:sz="4" w:space="0"/>
                    <w:right w:val="single" w:color="auto" w:sz="4" w:space="0"/>
                  </w:tcBorders>
                  <w:shd w:val="clear" w:color="auto" w:fill="FFFFFF"/>
                </w:tcPr>
                <w:p>
                  <w:pPr>
                    <w:jc w:val="center"/>
                  </w:pPr>
                  <w:r>
                    <w:rPr>
                      <w:sz w:val="20"/>
                    </w:rPr>
                    <w:t>10</w:t>
                  </w:r>
                </w:p>
              </w:tc>
            </w:tr>
          </w:tbl>
          <w:p>
            <w:pPr>
              <w:spacing w:line="440" w:lineRule="exact"/>
              <w:rPr>
                <w:rFonts w:hint="eastAsia" w:ascii="宋体" w:hAnsi="宋体" w:eastAsia="宋体" w:cs="Times New Roman"/>
                <w:bCs/>
                <w:color w:val="000000" w:themeColor="text1"/>
                <w:kern w:val="2"/>
                <w:sz w:val="21"/>
                <w:szCs w:val="21"/>
                <w:lang w:val="zh-CN" w:eastAsia="zh-CN" w:bidi="ar-SA"/>
                <w14:textFill>
                  <w14:solidFill>
                    <w14:schemeClr w14:val="tx1"/>
                  </w14:solidFill>
                </w14:textFill>
              </w:rPr>
            </w:pPr>
          </w:p>
        </w:tc>
        <w:tc>
          <w:tcPr>
            <w:tcW w:w="1602"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c>
          <w:tcPr>
            <w:tcW w:w="1518"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E7C1D"/>
    <w:multiLevelType w:val="singleLevel"/>
    <w:tmpl w:val="18FE7C1D"/>
    <w:lvl w:ilvl="0" w:tentative="0">
      <w:start w:val="1"/>
      <w:numFmt w:val="decimal"/>
      <w:lvlText w:val="%1."/>
      <w:lvlJc w:val="left"/>
      <w:pPr>
        <w:tabs>
          <w:tab w:val="left" w:pos="312"/>
        </w:tabs>
      </w:pPr>
    </w:lvl>
  </w:abstractNum>
  <w:abstractNum w:abstractNumId="1">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DFC4383"/>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981719"/>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3E91CA9"/>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annotation text"/>
    <w:basedOn w:val="1"/>
    <w:qFormat/>
    <w:uiPriority w:val="0"/>
    <w:pPr>
      <w:widowControl/>
      <w:jc w:val="left"/>
    </w:pPr>
    <w:rPr>
      <w:kern w:val="0"/>
      <w:szCs w:val="20"/>
    </w:r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Anrede1IhrZeichen"/>
    <w:basedOn w:val="12"/>
    <w:qFormat/>
    <w:uiPriority w:val="0"/>
    <w:rPr>
      <w:rFonts w:ascii="Arial" w:hAnsi="Arial"/>
      <w:sz w:val="20"/>
    </w:rPr>
  </w:style>
  <w:style w:type="paragraph" w:customStyle="1" w:styleId="16">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7">
    <w:name w:val="页眉 Char"/>
    <w:basedOn w:val="12"/>
    <w:link w:val="8"/>
    <w:qFormat/>
    <w:uiPriority w:val="0"/>
    <w:rPr>
      <w:rFonts w:ascii="Times New Roman" w:hAnsi="Times New Roman" w:eastAsia="宋体" w:cs="Times New Roman"/>
      <w:kern w:val="2"/>
      <w:sz w:val="18"/>
      <w:szCs w:val="18"/>
    </w:rPr>
  </w:style>
  <w:style w:type="paragraph" w:customStyle="1" w:styleId="18">
    <w:name w:val="彩色列表 - 强调文字颜色 11"/>
    <w:basedOn w:val="1"/>
    <w:qFormat/>
    <w:uiPriority w:val="0"/>
    <w:pPr>
      <w:ind w:firstLine="42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631</Words>
  <Characters>723</Characters>
  <Lines>5</Lines>
  <Paragraphs>1</Paragraphs>
  <TotalTime>3</TotalTime>
  <ScaleCrop>false</ScaleCrop>
  <LinksUpToDate>false</LinksUpToDate>
  <CharactersWithSpaces>807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酸小敏</cp:lastModifiedBy>
  <dcterms:modified xsi:type="dcterms:W3CDTF">2023-10-31T08:14:02Z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62A8BBDA98A048BEB2D6E6DBD59C213D_13</vt:lpwstr>
  </property>
</Properties>
</file>