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pStyle w:val="8"/>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pStyle w:val="8"/>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rPr>
        <w:t>项目名称：飞利浦Brilliance iCT设备移机、安装、调试服务</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项目编号：XLYY20230870</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7"/>
        <w:rPr>
          <w:rFonts w:hint="eastAsia" w:ascii="宋体" w:hAnsi="宋体" w:eastAsia="宋体" w:cs="宋体"/>
          <w:b/>
          <w:bCs/>
          <w:color w:val="auto"/>
          <w:sz w:val="36"/>
          <w:szCs w:val="36"/>
          <w:highlight w:val="none"/>
          <w:u w:val="single"/>
        </w:rPr>
      </w:pPr>
    </w:p>
    <w:p>
      <w:pPr>
        <w:pStyle w:val="8"/>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10</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highlight w:val="none"/>
            </w:rPr>
          </w:pPr>
        </w:p>
        <w:p>
          <w:pPr>
            <w:pStyle w:val="1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4"/>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pStyle w:val="7"/>
        <w:rPr>
          <w:rFonts w:hint="eastAsia"/>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bookmarkStart w:id="15" w:name="_GoBack"/>
      <w:r>
        <w:rPr>
          <w:rFonts w:hint="eastAsia" w:ascii="宋体" w:hAnsi="宋体" w:eastAsia="宋体" w:cs="宋体"/>
          <w:b/>
          <w:color w:val="auto"/>
          <w:kern w:val="28"/>
          <w:sz w:val="27"/>
          <w:szCs w:val="27"/>
          <w:highlight w:val="none"/>
          <w:lang w:eastAsia="zh-CN"/>
        </w:rPr>
        <w:t>谈判邀请函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1.项目名称：飞利浦Brilliance iCT设备移机、安装、调试服务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8"/>
        <w:tblpPr w:leftFromText="180" w:rightFromText="180" w:vertAnchor="text" w:horzAnchor="page" w:tblpX="1582" w:tblpY="136"/>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229"/>
        <w:gridCol w:w="855"/>
        <w:gridCol w:w="840"/>
        <w:gridCol w:w="1995"/>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229"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855"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40"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单位</w:t>
            </w:r>
          </w:p>
        </w:tc>
        <w:tc>
          <w:tcPr>
            <w:tcW w:w="1995"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1928"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229"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飞利浦Brilliance iCT设备移机、安装、调试服务</w:t>
            </w:r>
          </w:p>
        </w:tc>
        <w:tc>
          <w:tcPr>
            <w:tcW w:w="855"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c>
          <w:tcPr>
            <w:tcW w:w="840"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cs="宋体"/>
                <w:color w:val="auto"/>
                <w:sz w:val="24"/>
                <w:szCs w:val="24"/>
                <w:highlight w:val="none"/>
                <w:lang w:val="en-US" w:eastAsia="zh-CN"/>
              </w:rPr>
            </w:pPr>
            <w:r>
              <w:rPr>
                <w:rFonts w:hint="eastAsia" w:cs="宋体"/>
                <w:color w:val="auto"/>
                <w:sz w:val="24"/>
                <w:szCs w:val="24"/>
                <w:highlight w:val="none"/>
                <w:lang w:val="en-US" w:eastAsia="zh-CN"/>
              </w:rPr>
              <w:t>项</w:t>
            </w:r>
          </w:p>
        </w:tc>
        <w:tc>
          <w:tcPr>
            <w:tcW w:w="1995"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288000.00</w:t>
            </w:r>
          </w:p>
        </w:tc>
        <w:tc>
          <w:tcPr>
            <w:tcW w:w="1928"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3.提供有效的三证合一的营业执照、医疗器械经营许可证的副本原件；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27</w:t>
      </w:r>
      <w:r>
        <w:rPr>
          <w:rFonts w:hint="eastAsia" w:ascii="宋体" w:hAnsi="宋体" w:eastAsia="宋体" w:cs="宋体"/>
          <w:color w:val="auto"/>
          <w:sz w:val="24"/>
          <w:szCs w:val="24"/>
          <w:highlight w:val="none"/>
        </w:rPr>
        <w:t>日17:00（北京时间）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w:t>
      </w: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rPr>
        <w:t>份，一正</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副），供采购人进行预审核：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预审通过后，采购人以电子邮件方式通知供应商进入下一阶段流程。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Chars="0" w:right="0" w:rightChars="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日</w:t>
      </w:r>
    </w:p>
    <w:bookmarkEnd w:id="15"/>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10"/>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3"/>
        <w:jc w:val="center"/>
        <w:rPr>
          <w:rFonts w:ascii="宋体" w:hAnsi="宋体" w:eastAsia="宋体" w:cs="宋体"/>
          <w:sz w:val="24"/>
        </w:rPr>
      </w:pPr>
      <w:r>
        <w:rPr>
          <w:rFonts w:hint="eastAsia"/>
        </w:rPr>
        <w:t>用户需求书</w:t>
      </w:r>
    </w:p>
    <w:p>
      <w:pPr>
        <w:numPr>
          <w:ilvl w:val="0"/>
          <w:numId w:val="0"/>
        </w:numPr>
        <w:spacing w:line="360" w:lineRule="auto"/>
        <w:ind w:left="360" w:leftChars="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一、</w:t>
      </w:r>
      <w:r>
        <w:rPr>
          <w:rFonts w:hint="eastAsia" w:ascii="宋体" w:hAnsi="宋体" w:eastAsia="宋体" w:cs="宋体"/>
          <w:color w:val="auto"/>
          <w:kern w:val="0"/>
          <w:sz w:val="24"/>
          <w:szCs w:val="24"/>
          <w:highlight w:val="none"/>
          <w:lang w:val="en-US" w:eastAsia="zh-CN" w:bidi="ar-SA"/>
        </w:rPr>
        <w:t>项目概况：</w:t>
      </w:r>
    </w:p>
    <w:p>
      <w:pPr>
        <w:numPr>
          <w:ilvl w:val="0"/>
          <w:numId w:val="0"/>
        </w:numPr>
        <w:spacing w:line="360" w:lineRule="auto"/>
        <w:ind w:left="360" w:leftChars="0" w:firstLine="416"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将采购人于2013年购置的飞利浦iCT从现有机房，搬迁至新建机房，其中涉及设备的拆装、搬运、安装调试、校准等工作，且确保完成上述工作后，设备能正常投入使用。</w:t>
      </w:r>
    </w:p>
    <w:p>
      <w:pPr>
        <w:numPr>
          <w:ilvl w:val="0"/>
          <w:numId w:val="0"/>
        </w:numPr>
        <w:spacing w:line="360" w:lineRule="auto"/>
        <w:ind w:left="360" w:leftChars="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二、</w:t>
      </w:r>
      <w:r>
        <w:rPr>
          <w:rFonts w:hint="eastAsia" w:ascii="宋体" w:hAnsi="宋体" w:eastAsia="宋体" w:cs="宋体"/>
          <w:color w:val="auto"/>
          <w:kern w:val="0"/>
          <w:sz w:val="24"/>
          <w:szCs w:val="24"/>
          <w:highlight w:val="none"/>
          <w:lang w:val="en-US" w:eastAsia="zh-CN" w:bidi="ar-SA"/>
        </w:rPr>
        <w:t>项目内容：</w:t>
      </w:r>
    </w:p>
    <w:p>
      <w:pPr>
        <w:numPr>
          <w:ilvl w:val="0"/>
          <w:numId w:val="2"/>
        </w:num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服务内容：飞利浦Brilliance iCT设备移机、安装、调试服务</w:t>
      </w:r>
    </w:p>
    <w:p>
      <w:pPr>
        <w:numPr>
          <w:ilvl w:val="0"/>
          <w:numId w:val="2"/>
        </w:num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服务地点：中山市小榄人民医院</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cs="宋体"/>
          <w:color w:val="auto"/>
          <w:kern w:val="0"/>
          <w:sz w:val="24"/>
          <w:szCs w:val="24"/>
          <w:highlight w:val="none"/>
          <w:lang w:val="en-US" w:eastAsia="zh-CN" w:bidi="ar-SA"/>
        </w:rPr>
        <w:t>三</w:t>
      </w:r>
      <w:r>
        <w:rPr>
          <w:rFonts w:hint="eastAsia" w:ascii="宋体" w:hAnsi="宋体" w:eastAsia="宋体" w:cs="宋体"/>
          <w:color w:val="auto"/>
          <w:kern w:val="0"/>
          <w:sz w:val="24"/>
          <w:szCs w:val="24"/>
          <w:highlight w:val="none"/>
          <w:lang w:val="en-US" w:eastAsia="zh-CN" w:bidi="ar-SA"/>
        </w:rPr>
        <w:t>、项目的技术要求：</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1、★提供飞利浦Brilliance iCT设备移机服务壹次，中标人移机完成后保证设备达到符合厂家标准或相应的国家质量标准的要求。</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2、▲为保障移机过程中故障备件的快速且安全的供应，投标人需在国内设有零备件保税仓库（提供相应证明材料）。</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3、▲投标人拟派的技术工程师需具备专业资质，提供本项目设备制造厂商出具的安装维修工程师的CT培训资质证书。</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备件：移机过程中如遇备件损坏，所更换的备件为标的设备零配件同一生产厂家和同一型号规格的全新零配件，备件有追踪号码，并承诺可提供零配件的相关材料，包括但不限于：若所提供零配件为国外供货，进口产品须提供报关单。保障不会对设备质量或图像产生不良影响。提供所需更换的备件供应要及时、充足。如因提供不合法不合规或来路不明的备件而引起的相关损失及法律责任由中标人自行承担，且在更换备件前需要取得采购人书面同意(投标文件中提供承诺函并加盖投标人公章)。</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由于标的设备含有球管，为保障设备核心部件，投标人需具备球管的库存证明，在投标文件中提供近一年内该球管的合法进口证明文件，包含但不限于球管的进口报关单、清晰体现该球管序列号的运货单、中国海关要求的医疗器械标签等资料。</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6、★投标人具备辐射安全许可证。</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7、★服务时长：在采购人发出书面通知之日起，15个日历日内完成所有工作；其中须在前4个日历日内完成移机工作，在剩余时间内完成安装、调试、校准等工作，确保设备正常投入使用。</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8、高级诊断</w:t>
      </w:r>
    </w:p>
    <w:p>
      <w:pPr>
        <w:spacing w:line="360" w:lineRule="auto"/>
        <w:ind w:left="114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必须在整个服务期内都能合法获得原厂高级故障诊断软件的诊断维修钥匙（service key），并保证不违反国家有关知识产权的法律规定，请提供证明材料并做出相应书面承诺。</w:t>
      </w:r>
    </w:p>
    <w:p>
      <w:pPr>
        <w:numPr>
          <w:ilvl w:val="0"/>
          <w:numId w:val="0"/>
        </w:numPr>
        <w:spacing w:line="360" w:lineRule="auto"/>
        <w:ind w:firstLine="720" w:firstLineChars="3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付款方式：</w:t>
      </w:r>
    </w:p>
    <w:p>
      <w:pPr>
        <w:numPr>
          <w:ilvl w:val="0"/>
          <w:numId w:val="0"/>
        </w:numPr>
        <w:spacing w:line="360" w:lineRule="auto"/>
        <w:ind w:firstLine="1200" w:firstLineChars="5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服务完成完成并验收合格后，采购人凭中标人开具的发票30个工作日内支付全款。</w:t>
      </w:r>
    </w:p>
    <w:p>
      <w:pPr>
        <w:numPr>
          <w:ilvl w:val="0"/>
          <w:numId w:val="0"/>
        </w:numPr>
        <w:spacing w:line="360" w:lineRule="auto"/>
        <w:ind w:firstLine="720" w:firstLineChars="3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★投标人须承诺在中标后五个工作日内获得设备厂家对本项目的授权书。</w:t>
      </w:r>
    </w:p>
    <w:p>
      <w:pPr>
        <w:spacing w:line="360" w:lineRule="auto"/>
        <w:ind w:left="718" w:leftChars="342"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1、★在服务期间所需任何费用及所有风险均由中标人承担，采购人不在额外支付任何费用。所需费用及风险如：在服务期间，设备有任何损伤、损坏等情况均由中标人负责修复；在服务期间，中标人对采购人场地有任何损坏，均由中标人负责修复；在服务期间，中标人所需，均由中标人负责等。</w:t>
      </w:r>
    </w:p>
    <w:p>
      <w:pPr>
        <w:jc w:val="left"/>
        <w:rPr>
          <w:rFonts w:ascii="宋体" w:hAnsi="宋体" w:eastAsia="宋体" w:cs="Times New Roman"/>
        </w:rPr>
      </w:pPr>
    </w:p>
    <w:p>
      <w:pPr>
        <w:jc w:val="left"/>
        <w:rPr>
          <w:rFonts w:ascii="宋体" w:hAnsi="宋体" w:eastAsia="宋体" w:cs="Times New Roman"/>
        </w:rPr>
      </w:pPr>
      <w:r>
        <w:rPr>
          <w:rFonts w:ascii="宋体" w:hAnsi="宋体" w:eastAsia="宋体" w:cs="Times New Roman"/>
        </w:rPr>
        <w:br w:type="page"/>
      </w: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3"/>
        <w:numPr>
          <w:ilvl w:val="0"/>
          <w:numId w:val="3"/>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分值权重：</w:t>
      </w:r>
    </w:p>
    <w:tbl>
      <w:tblPr>
        <w:tblStyle w:val="19"/>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2700"/>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95"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商务技术评审</w:t>
            </w:r>
          </w:p>
        </w:tc>
        <w:tc>
          <w:tcPr>
            <w:tcW w:w="2700"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rPr>
              <w:t>价格评审</w:t>
            </w:r>
          </w:p>
        </w:tc>
        <w:tc>
          <w:tcPr>
            <w:tcW w:w="2510"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95" w:type="dxa"/>
            <w:noWrap w:val="0"/>
            <w:vAlign w:val="center"/>
          </w:tcPr>
          <w:p>
            <w:pPr>
              <w:pStyle w:val="16"/>
              <w:ind w:firstLine="0"/>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70</w:t>
            </w:r>
            <w:r>
              <w:rPr>
                <w:rFonts w:hint="eastAsia" w:ascii="宋体" w:hAnsi="宋体" w:eastAsia="宋体" w:cs="宋体"/>
                <w:color w:val="000000"/>
                <w:sz w:val="28"/>
                <w:szCs w:val="28"/>
              </w:rPr>
              <w:t>%</w:t>
            </w:r>
          </w:p>
        </w:tc>
        <w:tc>
          <w:tcPr>
            <w:tcW w:w="2700"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0%</w:t>
            </w:r>
          </w:p>
        </w:tc>
        <w:tc>
          <w:tcPr>
            <w:tcW w:w="2510"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rPr>
              <w:t>100%</w:t>
            </w:r>
          </w:p>
        </w:tc>
      </w:tr>
    </w:tbl>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keepNext w:val="0"/>
        <w:keepLines w:val="0"/>
        <w:pageBreakBefore w:val="0"/>
        <w:kinsoku/>
        <w:topLinePunct w:val="0"/>
        <w:bidi w:val="0"/>
        <w:spacing w:line="500" w:lineRule="exact"/>
        <w:textAlignment w:val="auto"/>
        <w:rPr>
          <w:rFonts w:hint="default"/>
          <w:lang w:val="en-US" w:eastAsia="zh-CN"/>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商务技术评审：</w:t>
      </w:r>
    </w:p>
    <w:tbl>
      <w:tblPr>
        <w:tblStyle w:val="18"/>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6"/>
        <w:gridCol w:w="1173"/>
        <w:gridCol w:w="736"/>
        <w:gridCol w:w="598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666"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1173"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评分指标</w:t>
            </w:r>
          </w:p>
        </w:tc>
        <w:tc>
          <w:tcPr>
            <w:tcW w:w="736"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分值</w:t>
            </w:r>
          </w:p>
        </w:tc>
        <w:tc>
          <w:tcPr>
            <w:tcW w:w="5988"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评分范围</w:t>
            </w:r>
          </w:p>
        </w:tc>
        <w:tc>
          <w:tcPr>
            <w:tcW w:w="996"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供应商</w:t>
            </w:r>
          </w:p>
          <w:p>
            <w:pPr>
              <w:jc w:val="center"/>
              <w:rPr>
                <w:rFonts w:ascii="仿宋" w:hAnsi="仿宋" w:eastAsia="仿宋" w:cs="仿宋"/>
                <w:b/>
                <w:color w:val="000000"/>
                <w:sz w:val="24"/>
              </w:rPr>
            </w:pPr>
            <w:r>
              <w:rPr>
                <w:rFonts w:hint="eastAsia" w:ascii="仿宋" w:hAnsi="仿宋" w:eastAsia="仿宋" w:cs="仿宋"/>
                <w:b/>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一般条款响应程度</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根据投标人对用户需求中一般条款（非“</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”条款）的响应程度进行评分：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一般条款（非“</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”条款）负偏离在4项以内（含4项），每项扣4分；一般条款（非“</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”条款）负偏离超过4项的，得0分；完全响应得16分。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重要条款响应程度</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zh-CN" w:eastAsia="zh-CN"/>
                <w14:textFill>
                  <w14:solidFill>
                    <w14:schemeClr w14:val="tx1"/>
                  </w14:solidFill>
                </w14:textFill>
              </w:rPr>
              <w:t>对用户需求中重要条款（“▲”条款）的响应程度进行评分：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重要条款（“▲”条款）负偏离在</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项以内（含</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项），每项扣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CN" w:eastAsia="zh-CN"/>
                <w14:textFill>
                  <w14:solidFill>
                    <w14:schemeClr w14:val="tx1"/>
                  </w14:solidFill>
                </w14:textFill>
              </w:rPr>
              <w:t>分；重要条款（“▲”条款）负偏离超过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项的，得0分；</w:t>
            </w:r>
            <w:r>
              <w:rPr>
                <w:rFonts w:hint="eastAsia" w:ascii="宋体" w:hAnsi="宋体" w:eastAsia="宋体" w:cs="宋体"/>
                <w:color w:val="000000" w:themeColor="text1"/>
                <w:sz w:val="24"/>
                <w:szCs w:val="24"/>
                <w:highlight w:val="none"/>
                <w:lang w:val="en-US" w:eastAsia="zh-CN"/>
                <w14:textFill>
                  <w14:solidFill>
                    <w14:schemeClr w14:val="tx1"/>
                  </w14:solidFill>
                </w14:textFill>
              </w:rPr>
              <w:t>完全响应得24分</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服务方案可行性</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1.服务方案科学，严谨，可行性高得12 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2.服务方案科学，严谨，可行性一般得6分；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3.服务方案科学，严谨，可行性差得 0分。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商务响应情况</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根据供应商的响应文件的响应程度进行评审。</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响应文件的响应符合用户需求书的商务要求，得8分；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响应文件部分响应用户需求书的商务要求，得4分；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响应文件的响应较差或无，得0分。</w:t>
            </w:r>
          </w:p>
        </w:tc>
        <w:tc>
          <w:tcPr>
            <w:tcW w:w="996" w:type="dxa"/>
            <w:vMerge w:val="continue"/>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项目业绩</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2020年至今承接同类项目业绩（应同时满足以下条件： ①以投标人名义签订；② 合同标的为本项目同类设备），每提供1份得2分，本小项满分10分。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（注：响应文件中提供合同复印件并加盖公章，未提供或所提供资料模糊不清的不得分。）</w:t>
            </w:r>
          </w:p>
        </w:tc>
        <w:tc>
          <w:tcPr>
            <w:tcW w:w="996" w:type="dxa"/>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839" w:type="dxa"/>
            <w:gridSpan w:val="2"/>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合计</w:t>
            </w:r>
          </w:p>
        </w:tc>
        <w:tc>
          <w:tcPr>
            <w:tcW w:w="736" w:type="dxa"/>
            <w:shd w:val="clear" w:color="000000" w:fill="auto"/>
            <w:noWrap w:val="0"/>
            <w:vAlign w:val="center"/>
          </w:tcPr>
          <w:p>
            <w:pPr>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70</w:t>
            </w:r>
          </w:p>
        </w:tc>
        <w:tc>
          <w:tcPr>
            <w:tcW w:w="5988"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得分合计</w:t>
            </w:r>
          </w:p>
        </w:tc>
        <w:tc>
          <w:tcPr>
            <w:tcW w:w="996" w:type="dxa"/>
            <w:shd w:val="clear" w:color="000000" w:fill="auto"/>
            <w:noWrap w:val="0"/>
            <w:vAlign w:val="center"/>
          </w:tcPr>
          <w:p>
            <w:pPr>
              <w:rPr>
                <w:rFonts w:ascii="仿宋" w:hAnsi="仿宋" w:eastAsia="仿宋" w:cs="仿宋"/>
                <w:color w:val="000000"/>
                <w:sz w:val="24"/>
              </w:rPr>
            </w:pPr>
          </w:p>
        </w:tc>
      </w:tr>
    </w:tbl>
    <w:p>
      <w:pPr>
        <w:pStyle w:val="26"/>
        <w:rPr>
          <w:rFonts w:hint="eastAsia"/>
        </w:rPr>
      </w:pPr>
    </w:p>
    <w:p>
      <w:pPr>
        <w:pStyle w:val="26"/>
        <w:rPr>
          <w:rFonts w:hint="eastAsia"/>
        </w:rPr>
        <w:sectPr>
          <w:headerReference r:id="rId4" w:type="default"/>
          <w:footerReference r:id="rId5" w:type="default"/>
          <w:pgSz w:w="11907" w:h="16840"/>
          <w:pgMar w:top="1417" w:right="1134" w:bottom="1417" w:left="1134" w:header="567" w:footer="748" w:gutter="0"/>
          <w:cols w:space="0" w:num="1"/>
          <w:rtlGutter w:val="0"/>
          <w:docGrid w:linePitch="312" w:charSpace="0"/>
        </w:sectPr>
      </w:pPr>
    </w:p>
    <w:p>
      <w:pPr>
        <w:rPr>
          <w:rFonts w:hint="eastAsia"/>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numPr>
          <w:ilvl w:val="0"/>
          <w:numId w:val="3"/>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10"/>
        <w:jc w:val="both"/>
        <w:rPr>
          <w:rFonts w:hint="eastAsia" w:hAnsi="宋体"/>
          <w:b/>
          <w:color w:val="auto"/>
          <w:sz w:val="96"/>
          <w:szCs w:val="96"/>
          <w:lang w:val="en-US" w:eastAsia="zh-CN"/>
        </w:rPr>
      </w:pPr>
    </w:p>
    <w:p>
      <w:pPr>
        <w:pStyle w:val="10"/>
        <w:jc w:val="center"/>
        <w:rPr>
          <w:rFonts w:hint="eastAsia" w:hAnsi="宋体"/>
          <w:b/>
          <w:color w:val="auto"/>
          <w:sz w:val="96"/>
          <w:szCs w:val="96"/>
          <w:lang w:val="en-US" w:eastAsia="zh-CN"/>
        </w:rPr>
      </w:pPr>
    </w:p>
    <w:p>
      <w:pPr>
        <w:pStyle w:val="10"/>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10"/>
        <w:jc w:val="center"/>
        <w:rPr>
          <w:rFonts w:hAnsi="宋体"/>
          <w:b/>
          <w:color w:val="auto"/>
          <w:sz w:val="28"/>
          <w:szCs w:val="28"/>
        </w:rPr>
      </w:pPr>
    </w:p>
    <w:p>
      <w:pPr>
        <w:pStyle w:val="10"/>
        <w:jc w:val="both"/>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both"/>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9"/>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10"/>
        <w:ind w:firstLine="843" w:firstLineChars="300"/>
        <w:rPr>
          <w:rFonts w:hAnsi="宋体"/>
          <w:b/>
          <w:color w:val="auto"/>
          <w:sz w:val="28"/>
          <w:szCs w:val="28"/>
        </w:rPr>
      </w:pPr>
    </w:p>
    <w:p>
      <w:pPr>
        <w:pStyle w:val="10"/>
        <w:ind w:firstLine="843" w:firstLineChars="300"/>
        <w:rPr>
          <w:rFonts w:hAnsi="宋体"/>
          <w:b/>
          <w:color w:val="auto"/>
          <w:sz w:val="28"/>
          <w:szCs w:val="28"/>
        </w:rPr>
      </w:pPr>
    </w:p>
    <w:p>
      <w:pPr>
        <w:pStyle w:val="10"/>
        <w:ind w:firstLine="843" w:firstLineChars="300"/>
        <w:rPr>
          <w:rFonts w:hAnsi="宋体"/>
          <w:b/>
          <w:color w:val="auto"/>
          <w:sz w:val="28"/>
          <w:szCs w:val="28"/>
        </w:rPr>
      </w:pPr>
    </w:p>
    <w:p>
      <w:pPr>
        <w:pStyle w:val="10"/>
        <w:ind w:firstLine="843" w:firstLineChars="300"/>
        <w:rPr>
          <w:rFonts w:hAnsi="宋体"/>
          <w:b/>
          <w:color w:val="auto"/>
          <w:sz w:val="28"/>
          <w:szCs w:val="28"/>
        </w:rPr>
      </w:pPr>
    </w:p>
    <w:p>
      <w:pPr>
        <w:pStyle w:val="10"/>
        <w:spacing w:line="360" w:lineRule="auto"/>
        <w:jc w:val="center"/>
        <w:rPr>
          <w:rFonts w:hint="eastAsia" w:hAnsi="宋体"/>
          <w:b/>
          <w:color w:val="auto"/>
          <w:sz w:val="28"/>
          <w:szCs w:val="28"/>
        </w:rPr>
      </w:pPr>
      <w:r>
        <w:rPr>
          <w:rFonts w:hint="eastAsia" w:hAnsi="宋体"/>
          <w:b/>
          <w:color w:val="auto"/>
          <w:sz w:val="28"/>
          <w:szCs w:val="28"/>
        </w:rPr>
        <w:t>供应商名称：</w:t>
      </w:r>
    </w:p>
    <w:p>
      <w:pPr>
        <w:pStyle w:val="10"/>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10"/>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10"/>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23"/>
        <w:rPr>
          <w:rFonts w:hint="eastAsia"/>
          <w:lang w:val="en-US" w:eastAsia="zh-CN"/>
        </w:rPr>
      </w:pPr>
    </w:p>
    <w:p>
      <w:pPr>
        <w:pStyle w:val="23"/>
        <w:rPr>
          <w:rFonts w:hint="eastAsia"/>
          <w:lang w:val="en-US" w:eastAsia="zh-CN"/>
        </w:rPr>
      </w:pPr>
    </w:p>
    <w:p>
      <w:pPr>
        <w:numPr>
          <w:ilvl w:val="0"/>
          <w:numId w:val="0"/>
        </w:numPr>
        <w:bidi w:val="0"/>
        <w:ind w:leftChars="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auto"/>
          <w:sz w:val="24"/>
          <w:szCs w:val="24"/>
          <w:highlight w:val="none"/>
        </w:rPr>
        <w:br w:type="page"/>
      </w:r>
    </w:p>
    <w:p>
      <w:pPr>
        <w:pStyle w:val="7"/>
        <w:rPr>
          <w:rFonts w:hint="eastAsia" w:ascii="宋体" w:hAnsi="宋体" w:eastAsia="宋体" w:cs="宋体"/>
          <w:b/>
          <w:color w:val="000000" w:themeColor="text1"/>
          <w:sz w:val="24"/>
          <w:highlight w:val="none"/>
          <w14:textFill>
            <w14:solidFill>
              <w14:schemeClr w14:val="tx1"/>
            </w14:solidFill>
          </w14:textFill>
        </w:rPr>
      </w:pPr>
      <w:r>
        <w:rPr>
          <w:rFonts w:hint="eastAsia" w:ascii="Arial" w:hAnsi="Arial" w:cs="Arial"/>
          <w:b/>
          <w:bCs/>
        </w:rPr>
        <w:t>技术条款响应表</w:t>
      </w:r>
    </w:p>
    <w:tbl>
      <w:tblPr>
        <w:tblStyle w:val="19"/>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2" w:leftChars="0" w:hanging="422" w:hangingChars="200"/>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序号</w:t>
            </w:r>
          </w:p>
        </w:tc>
        <w:tc>
          <w:tcPr>
            <w:tcW w:w="5911" w:type="dxa"/>
            <w:vAlign w:val="center"/>
          </w:tcPr>
          <w:p>
            <w:pPr>
              <w:pStyle w:val="25"/>
              <w:keepNext w:val="0"/>
              <w:adjustRightInd/>
              <w:spacing w:before="120" w:beforeLines="50" w:after="120" w:afterLines="50" w:line="240" w:lineRule="auto"/>
              <w:textAlignment w:val="auto"/>
              <w:rPr>
                <w:rFonts w:hint="eastAsia" w:ascii="宋体" w:hAnsi="宋体" w:eastAsia="宋体" w:cs="宋体"/>
                <w:b/>
                <w:bCs/>
                <w:color w:val="auto"/>
                <w:kern w:val="0"/>
                <w:sz w:val="21"/>
                <w:szCs w:val="21"/>
                <w:highlight w:val="none"/>
                <w:lang w:val="zh-CN"/>
              </w:rPr>
            </w:pPr>
            <w:r>
              <w:rPr>
                <w:rFonts w:hint="eastAsia" w:ascii="宋体" w:hAnsi="宋体" w:cs="宋体"/>
                <w:b/>
                <w:bCs/>
                <w:snapToGrid/>
                <w:color w:val="auto"/>
                <w:spacing w:val="0"/>
                <w:sz w:val="21"/>
                <w:szCs w:val="21"/>
                <w:highlight w:val="none"/>
                <w:lang w:val="en-US" w:eastAsia="zh-CN"/>
              </w:rPr>
              <w:t>谈判</w:t>
            </w:r>
            <w:r>
              <w:rPr>
                <w:rFonts w:hint="eastAsia" w:ascii="宋体" w:hAnsi="宋体" w:eastAsia="宋体" w:cs="宋体"/>
                <w:b/>
                <w:bCs/>
                <w:snapToGrid/>
                <w:color w:val="auto"/>
                <w:spacing w:val="0"/>
                <w:sz w:val="21"/>
                <w:szCs w:val="21"/>
                <w:highlight w:val="none"/>
                <w:lang w:val="en-US" w:eastAsia="zh-CN"/>
              </w:rPr>
              <w:t>文件要求</w:t>
            </w:r>
          </w:p>
        </w:tc>
        <w:tc>
          <w:tcPr>
            <w:tcW w:w="1410"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报价人应答</w:t>
            </w:r>
          </w:p>
        </w:tc>
        <w:tc>
          <w:tcPr>
            <w:tcW w:w="1582"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响应或差异情况说明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7"/>
        <w:rPr>
          <w:rFonts w:hint="eastAsia"/>
        </w:rPr>
      </w:pPr>
    </w:p>
    <w:p>
      <w:pPr>
        <w:pStyle w:val="7"/>
        <w:rPr>
          <w:rFonts w:hint="eastAsia" w:ascii="宋体" w:hAnsi="宋体" w:eastAsia="宋体" w:cs="宋体"/>
          <w:b/>
          <w:color w:val="000000" w:themeColor="text1"/>
          <w:sz w:val="24"/>
          <w:highlight w:val="none"/>
          <w14:textFill>
            <w14:solidFill>
              <w14:schemeClr w14:val="tx1"/>
            </w14:solidFill>
          </w14:textFill>
        </w:rPr>
      </w:pPr>
      <w:r>
        <w:rPr>
          <w:rFonts w:hint="eastAsia" w:ascii="Arial" w:hAnsi="Arial" w:cs="Arial"/>
          <w:b/>
          <w:bCs/>
          <w:lang w:val="en-US" w:eastAsia="zh-CN"/>
        </w:rPr>
        <w:t>商务</w:t>
      </w:r>
      <w:r>
        <w:rPr>
          <w:rFonts w:hint="eastAsia" w:ascii="Arial" w:hAnsi="Arial" w:cs="Arial"/>
          <w:b/>
          <w:bCs/>
        </w:rPr>
        <w:t>条款响应表</w:t>
      </w:r>
    </w:p>
    <w:p>
      <w:pPr>
        <w:pStyle w:val="7"/>
        <w:rPr>
          <w:rFonts w:hint="eastAsia"/>
        </w:rPr>
      </w:pPr>
    </w:p>
    <w:tbl>
      <w:tblPr>
        <w:tblStyle w:val="19"/>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2" w:leftChars="0" w:hanging="422" w:hangingChars="200"/>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序号</w:t>
            </w:r>
          </w:p>
        </w:tc>
        <w:tc>
          <w:tcPr>
            <w:tcW w:w="5911" w:type="dxa"/>
            <w:vAlign w:val="center"/>
          </w:tcPr>
          <w:p>
            <w:pPr>
              <w:pStyle w:val="25"/>
              <w:keepNext w:val="0"/>
              <w:adjustRightInd/>
              <w:spacing w:before="120" w:beforeLines="50" w:after="120" w:afterLines="50" w:line="240" w:lineRule="auto"/>
              <w:textAlignment w:val="auto"/>
              <w:rPr>
                <w:rFonts w:hint="eastAsia" w:ascii="宋体" w:hAnsi="宋体" w:eastAsia="宋体" w:cs="宋体"/>
                <w:b/>
                <w:bCs/>
                <w:color w:val="auto"/>
                <w:kern w:val="0"/>
                <w:sz w:val="21"/>
                <w:szCs w:val="21"/>
                <w:highlight w:val="none"/>
                <w:lang w:val="zh-CN"/>
              </w:rPr>
            </w:pPr>
            <w:r>
              <w:rPr>
                <w:rFonts w:hint="eastAsia" w:ascii="宋体" w:hAnsi="宋体" w:cs="宋体"/>
                <w:b/>
                <w:bCs/>
                <w:snapToGrid/>
                <w:color w:val="auto"/>
                <w:spacing w:val="0"/>
                <w:sz w:val="21"/>
                <w:szCs w:val="21"/>
                <w:highlight w:val="none"/>
                <w:lang w:val="en-US" w:eastAsia="zh-CN"/>
              </w:rPr>
              <w:t>谈判</w:t>
            </w:r>
            <w:r>
              <w:rPr>
                <w:rFonts w:hint="eastAsia" w:ascii="宋体" w:hAnsi="宋体" w:eastAsia="宋体" w:cs="宋体"/>
                <w:b/>
                <w:bCs/>
                <w:snapToGrid/>
                <w:color w:val="auto"/>
                <w:spacing w:val="0"/>
                <w:sz w:val="21"/>
                <w:szCs w:val="21"/>
                <w:highlight w:val="none"/>
                <w:lang w:val="en-US" w:eastAsia="zh-CN"/>
              </w:rPr>
              <w:t>文件要求</w:t>
            </w:r>
          </w:p>
        </w:tc>
        <w:tc>
          <w:tcPr>
            <w:tcW w:w="1410"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报价人应答</w:t>
            </w:r>
          </w:p>
        </w:tc>
        <w:tc>
          <w:tcPr>
            <w:tcW w:w="1582"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响应或差异情况说明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10"/>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8"/>
        <w:tblpPr w:leftFromText="180" w:rightFromText="180" w:vertAnchor="text" w:horzAnchor="page" w:tblpXSpec="center" w:tblpY="205"/>
        <w:tblOverlap w:val="never"/>
        <w:tblW w:w="4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787"/>
        <w:gridCol w:w="1673"/>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37" w:type="dxa"/>
            <w:vAlign w:val="center"/>
          </w:tcPr>
          <w:p>
            <w:pPr>
              <w:adjustRightInd w:val="0"/>
              <w:snapToGrid w:val="0"/>
              <w:jc w:val="center"/>
              <w:rPr>
                <w:rFonts w:hint="default" w:ascii="宋体" w:hAnsi="宋体" w:eastAsia="宋体" w:cs="宋体"/>
                <w:b/>
                <w:bCs/>
                <w:color w:val="auto"/>
                <w:sz w:val="26"/>
                <w:szCs w:val="26"/>
                <w:lang w:val="en-US" w:eastAsia="zh-CN"/>
              </w:rPr>
            </w:pPr>
            <w:r>
              <w:rPr>
                <w:rFonts w:hint="eastAsia" w:ascii="宋体" w:hAnsi="宋体" w:eastAsia="宋体" w:cs="宋体"/>
                <w:b/>
                <w:color w:val="auto"/>
                <w:szCs w:val="21"/>
                <w:highlight w:val="none"/>
              </w:rPr>
              <w:t>序号</w:t>
            </w:r>
          </w:p>
        </w:tc>
        <w:tc>
          <w:tcPr>
            <w:tcW w:w="3787" w:type="dxa"/>
            <w:vAlign w:val="center"/>
          </w:tcPr>
          <w:p>
            <w:pPr>
              <w:pStyle w:val="25"/>
              <w:keepNext w:val="0"/>
              <w:spacing w:before="0" w:after="0" w:line="240" w:lineRule="auto"/>
              <w:rPr>
                <w:rFonts w:hint="eastAsia" w:ascii="宋体" w:hAnsi="宋体" w:eastAsia="宋体" w:cs="宋体"/>
                <w:b/>
                <w:bCs/>
                <w:color w:val="auto"/>
                <w:sz w:val="26"/>
                <w:szCs w:val="26"/>
              </w:rPr>
            </w:pPr>
            <w:r>
              <w:rPr>
                <w:rFonts w:hint="eastAsia" w:ascii="宋体" w:hAnsi="宋体" w:eastAsia="宋体" w:cs="宋体"/>
                <w:b/>
                <w:color w:val="auto"/>
                <w:spacing w:val="0"/>
                <w:kern w:val="2"/>
                <w:sz w:val="21"/>
                <w:szCs w:val="21"/>
                <w:highlight w:val="none"/>
              </w:rPr>
              <w:t>项目名称</w:t>
            </w:r>
          </w:p>
        </w:tc>
        <w:tc>
          <w:tcPr>
            <w:tcW w:w="1673" w:type="dxa"/>
            <w:vAlign w:val="center"/>
          </w:tcPr>
          <w:p>
            <w:pPr>
              <w:adjustRightInd w:val="0"/>
              <w:snapToGrid w:val="0"/>
              <w:jc w:val="center"/>
              <w:rPr>
                <w:rFonts w:hint="eastAsia" w:ascii="宋体" w:hAnsi="宋体" w:eastAsia="宋体" w:cs="宋体"/>
                <w:b/>
                <w:bCs/>
                <w:color w:val="auto"/>
                <w:sz w:val="26"/>
                <w:szCs w:val="26"/>
              </w:rPr>
            </w:pPr>
            <w:r>
              <w:rPr>
                <w:rFonts w:hint="eastAsia" w:ascii="宋体" w:hAnsi="宋体" w:eastAsia="宋体" w:cs="宋体"/>
                <w:b/>
                <w:color w:val="auto"/>
                <w:szCs w:val="21"/>
                <w:highlight w:val="none"/>
              </w:rPr>
              <w:t>报价</w:t>
            </w:r>
          </w:p>
        </w:tc>
        <w:tc>
          <w:tcPr>
            <w:tcW w:w="2061" w:type="dxa"/>
            <w:vAlign w:val="center"/>
          </w:tcPr>
          <w:p>
            <w:pPr>
              <w:adjustRightInd w:val="0"/>
              <w:snapToGrid w:val="0"/>
              <w:jc w:val="center"/>
              <w:rPr>
                <w:rFonts w:hint="eastAsia" w:ascii="宋体" w:hAnsi="宋体" w:eastAsia="宋体" w:cs="宋体"/>
                <w:b/>
                <w:bCs/>
                <w:color w:val="auto"/>
                <w:sz w:val="26"/>
                <w:szCs w:val="26"/>
              </w:rPr>
            </w:pPr>
            <w:r>
              <w:rPr>
                <w:rFonts w:hint="eastAsia" w:ascii="宋体" w:hAnsi="宋体" w:eastAsia="宋体" w:cs="宋体"/>
                <w:b/>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7" w:type="dxa"/>
            <w:vAlign w:val="center"/>
          </w:tcPr>
          <w:p>
            <w:pPr>
              <w:spacing w:line="560" w:lineRule="exact"/>
              <w:jc w:val="center"/>
              <w:rPr>
                <w:rFonts w:hint="eastAsia" w:ascii="宋体" w:hAnsi="宋体" w:eastAsia="宋体" w:cs="宋体"/>
                <w:b/>
                <w:color w:val="auto"/>
                <w:sz w:val="26"/>
                <w:szCs w:val="26"/>
              </w:rPr>
            </w:pPr>
          </w:p>
        </w:tc>
        <w:tc>
          <w:tcPr>
            <w:tcW w:w="3787" w:type="dxa"/>
            <w:vAlign w:val="center"/>
          </w:tcPr>
          <w:p>
            <w:pPr>
              <w:spacing w:line="560" w:lineRule="exact"/>
              <w:jc w:val="center"/>
              <w:rPr>
                <w:rFonts w:hint="eastAsia" w:ascii="宋体" w:hAnsi="宋体" w:eastAsia="宋体" w:cs="宋体"/>
                <w:color w:val="auto"/>
                <w:sz w:val="26"/>
                <w:szCs w:val="26"/>
              </w:rPr>
            </w:pPr>
          </w:p>
        </w:tc>
        <w:tc>
          <w:tcPr>
            <w:tcW w:w="1673" w:type="dxa"/>
            <w:vAlign w:val="center"/>
          </w:tcPr>
          <w:p>
            <w:pPr>
              <w:spacing w:line="560" w:lineRule="exact"/>
              <w:jc w:val="center"/>
              <w:rPr>
                <w:rFonts w:hint="eastAsia" w:ascii="宋体" w:hAnsi="宋体" w:eastAsia="宋体" w:cs="宋体"/>
                <w:color w:val="auto"/>
                <w:sz w:val="26"/>
                <w:szCs w:val="26"/>
              </w:rPr>
            </w:pPr>
          </w:p>
        </w:tc>
        <w:tc>
          <w:tcPr>
            <w:tcW w:w="2061" w:type="dxa"/>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7" w:type="dxa"/>
            <w:vAlign w:val="center"/>
          </w:tcPr>
          <w:p>
            <w:pPr>
              <w:adjustRightInd w:val="0"/>
              <w:snapToGrid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报价总价</w:t>
            </w:r>
          </w:p>
        </w:tc>
        <w:tc>
          <w:tcPr>
            <w:tcW w:w="7521" w:type="dxa"/>
            <w:gridSpan w:val="3"/>
            <w:vAlign w:val="center"/>
          </w:tcPr>
          <w:p>
            <w:pPr>
              <w:spacing w:line="560" w:lineRule="exact"/>
              <w:jc w:val="center"/>
              <w:rPr>
                <w:rFonts w:hint="eastAsia" w:ascii="宋体" w:hAnsi="宋体" w:eastAsia="宋体" w:cs="宋体"/>
                <w:color w:val="auto"/>
                <w:sz w:val="26"/>
                <w:szCs w:val="26"/>
              </w:rPr>
            </w:pPr>
            <w:r>
              <w:rPr>
                <w:rFonts w:hint="eastAsia" w:ascii="宋体" w:hAnsi="宋体" w:eastAsia="宋体" w:cs="宋体"/>
                <w:b/>
                <w:bCs/>
                <w:color w:val="auto"/>
                <w:szCs w:val="21"/>
                <w:highlight w:val="none"/>
              </w:rPr>
              <w:t>大写：                          （小写：￥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元）</w:t>
            </w:r>
          </w:p>
        </w:tc>
      </w:tr>
    </w:tbl>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7"/>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7"/>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lang w:val="en-US" w:eastAsia="zh-CN"/>
        </w:rPr>
        <w:t>报价时间：    年   月   日</w:t>
      </w:r>
      <w:r>
        <w:rPr>
          <w:rFonts w:hint="eastAsia" w:ascii="宋体" w:hAnsi="宋体" w:eastAsia="宋体" w:cs="宋体"/>
          <w:color w:val="FF0000"/>
          <w:sz w:val="24"/>
          <w:szCs w:val="24"/>
          <w:highlight w:val="none"/>
        </w:rPr>
        <w:br w:type="page"/>
      </w:r>
    </w:p>
    <w:p>
      <w:pPr>
        <w:pStyle w:val="10"/>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7"/>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6"/>
        <w:tabs>
          <w:tab w:val="center" w:pos="4450"/>
          <w:tab w:val="left" w:pos="6396"/>
        </w:tabs>
        <w:jc w:val="center"/>
        <w:rPr>
          <w:rFonts w:hint="eastAsia" w:ascii="宋体" w:hAnsi="宋体" w:eastAsia="宋体" w:cs="宋体"/>
        </w:rPr>
      </w:pPr>
    </w:p>
    <w:p>
      <w:pPr>
        <w:pStyle w:val="6"/>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3"/>
        <w:rPr>
          <w:rFonts w:hint="eastAsia" w:ascii="宋体" w:hAnsi="宋体" w:eastAsia="宋体" w:cs="宋体"/>
          <w:b w:val="0"/>
          <w:bCs/>
          <w:color w:val="auto"/>
          <w:sz w:val="24"/>
          <w:szCs w:val="24"/>
          <w:highlight w:val="none"/>
        </w:rPr>
      </w:pPr>
    </w:p>
    <w:p>
      <w:pPr>
        <w:pStyle w:val="23"/>
        <w:rPr>
          <w:rFonts w:hint="eastAsia" w:ascii="宋体" w:hAnsi="宋体" w:eastAsia="宋体" w:cs="宋体"/>
          <w:b w:val="0"/>
          <w:bCs/>
          <w:color w:val="auto"/>
          <w:sz w:val="24"/>
          <w:szCs w:val="24"/>
          <w:highlight w:val="none"/>
        </w:rPr>
      </w:pPr>
    </w:p>
    <w:p>
      <w:pPr>
        <w:pStyle w:val="23"/>
        <w:ind w:left="0" w:leftChars="0" w:firstLine="0" w:firstLineChars="0"/>
        <w:rPr>
          <w:rFonts w:hint="eastAsia" w:ascii="宋体" w:hAnsi="宋体" w:eastAsia="宋体" w:cs="宋体"/>
          <w:b w:val="0"/>
          <w:bCs/>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0"/>
        </w:numPr>
        <w:ind w:left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bookmarkStart w:id="6" w:name="_Toc254949770"/>
      <w:bookmarkStart w:id="7" w:name="_Toc55999941"/>
      <w:bookmarkStart w:id="8" w:name="_Toc28061"/>
      <w:bookmarkStart w:id="9" w:name="_Toc79052261"/>
      <w:bookmarkStart w:id="10" w:name="_Toc62034106"/>
      <w:bookmarkStart w:id="11" w:name="_Toc28958658"/>
      <w:bookmarkStart w:id="12" w:name="_Toc401823225"/>
      <w:bookmarkStart w:id="13" w:name="_Toc282854490"/>
      <w:bookmarkStart w:id="14" w:name="_Toc278621010"/>
      <w:r>
        <w:rPr>
          <w:rFonts w:hint="eastAsia" w:ascii="宋体" w:hAnsi="宋体" w:eastAsia="宋体" w:cs="宋体"/>
          <w:b w:val="0"/>
          <w:bCs/>
          <w:color w:val="auto"/>
          <w:sz w:val="24"/>
          <w:szCs w:val="24"/>
          <w:highlight w:val="none"/>
          <w:lang w:val="en-US" w:eastAsia="zh-CN"/>
        </w:rPr>
        <w:t>厂家资质证件（包括但不限于营业执照、医疗器械生产许可证等）</w:t>
      </w: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服务商资质证件（包括但不限于营业执照、医疗器械经营许可证、备案等</w:t>
      </w: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售后服务承诺函</w:t>
      </w:r>
    </w:p>
    <w:bookmarkEnd w:id="6"/>
    <w:bookmarkEnd w:id="7"/>
    <w:bookmarkEnd w:id="8"/>
    <w:bookmarkEnd w:id="9"/>
    <w:bookmarkEnd w:id="10"/>
    <w:bookmarkEnd w:id="11"/>
    <w:bookmarkEnd w:id="12"/>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项目实施（服务）方案（自拟）</w:t>
      </w:r>
    </w:p>
    <w:bookmarkEnd w:id="13"/>
    <w:bookmarkEnd w:id="14"/>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近三年同类项目业绩（自拟）</w:t>
      </w: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其他</w:t>
      </w:r>
      <w:r>
        <w:rPr>
          <w:rFonts w:hint="eastAsia" w:ascii="宋体" w:hAnsi="宋体" w:eastAsia="宋体" w:cs="宋体"/>
          <w:color w:val="auto"/>
          <w:kern w:val="0"/>
          <w:sz w:val="24"/>
          <w:szCs w:val="24"/>
          <w:highlight w:val="none"/>
          <w:lang w:val="en-US" w:eastAsia="zh-CN" w:bidi="ar-SA"/>
        </w:rPr>
        <w:t>相应证明材料</w:t>
      </w: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47</w:t>
    </w:r>
    <w:r>
      <w:fldChar w:fldCharType="end"/>
    </w:r>
  </w:p>
  <w:p>
    <w:pPr>
      <w:pStyle w:val="11"/>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1DDA0179"/>
    <w:multiLevelType w:val="singleLevel"/>
    <w:tmpl w:val="1DDA0179"/>
    <w:lvl w:ilvl="0" w:tentative="0">
      <w:start w:val="6"/>
      <w:numFmt w:val="chineseCounting"/>
      <w:suff w:val="nothing"/>
      <w:lvlText w:val="%1、"/>
      <w:lvlJc w:val="left"/>
      <w:rPr>
        <w:rFonts w:hint="eastAsia"/>
      </w:rPr>
    </w:lvl>
  </w:abstractNum>
  <w:abstractNum w:abstractNumId="2">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3">
    <w:nsid w:val="2992112B"/>
    <w:multiLevelType w:val="multilevel"/>
    <w:tmpl w:val="2992112B"/>
    <w:lvl w:ilvl="0" w:tentative="0">
      <w:start w:val="1"/>
      <w:numFmt w:val="decimal"/>
      <w:lvlText w:val="%1、"/>
      <w:lvlJc w:val="left"/>
      <w:pPr>
        <w:ind w:left="1140" w:hanging="360"/>
      </w:pPr>
      <w:rPr>
        <w:rFonts w:hint="default"/>
      </w:r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4">
    <w:nsid w:val="6FEF5E58"/>
    <w:multiLevelType w:val="singleLevel"/>
    <w:tmpl w:val="6FEF5E58"/>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6AA18EE"/>
    <w:rsid w:val="0824491C"/>
    <w:rsid w:val="13F32450"/>
    <w:rsid w:val="174F240F"/>
    <w:rsid w:val="19BD0BCC"/>
    <w:rsid w:val="1A7850C9"/>
    <w:rsid w:val="21946261"/>
    <w:rsid w:val="26E9186E"/>
    <w:rsid w:val="2F5F117C"/>
    <w:rsid w:val="2FDE7907"/>
    <w:rsid w:val="300D5B08"/>
    <w:rsid w:val="37C70014"/>
    <w:rsid w:val="44FC3A76"/>
    <w:rsid w:val="498E4EA4"/>
    <w:rsid w:val="4FF31247"/>
    <w:rsid w:val="57A12EDD"/>
    <w:rsid w:val="62951A17"/>
    <w:rsid w:val="73CD0149"/>
    <w:rsid w:val="73E47796"/>
    <w:rsid w:val="75487EFE"/>
    <w:rsid w:val="78866507"/>
    <w:rsid w:val="79587DE9"/>
    <w:rsid w:val="79675089"/>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5"/>
    <w:qFormat/>
    <w:uiPriority w:val="0"/>
    <w:pPr>
      <w:keepNext/>
      <w:keepLines/>
      <w:widowControl/>
      <w:spacing w:before="260" w:after="260" w:line="413"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before="120" w:beforeLines="0" w:after="120" w:afterLines="0" w:line="360" w:lineRule="auto"/>
      <w:ind w:firstLine="582" w:firstLineChars="200"/>
    </w:pPr>
    <w:rPr>
      <w:rFonts w:eastAsia="仿宋_GB2312" w:cs="宋体"/>
      <w:kern w:val="10"/>
      <w:sz w:val="28"/>
      <w:szCs w:val="28"/>
    </w:rPr>
  </w:style>
  <w:style w:type="paragraph" w:styleId="5">
    <w:name w:val="Normal Indent"/>
    <w:basedOn w:val="1"/>
    <w:qFormat/>
    <w:uiPriority w:val="0"/>
    <w:pPr>
      <w:spacing w:line="360" w:lineRule="auto"/>
      <w:ind w:firstLine="420"/>
    </w:pPr>
    <w:rPr>
      <w:rFonts w:ascii="宋体"/>
    </w:rPr>
  </w:style>
  <w:style w:type="paragraph" w:styleId="7">
    <w:name w:val="Body Text"/>
    <w:basedOn w:val="1"/>
    <w:next w:val="8"/>
    <w:qFormat/>
    <w:uiPriority w:val="0"/>
    <w:pPr>
      <w:spacing w:line="360" w:lineRule="auto"/>
    </w:pPr>
    <w:rPr>
      <w:szCs w:val="20"/>
    </w:rPr>
  </w:style>
  <w:style w:type="paragraph" w:styleId="8">
    <w:name w:val="toc 5"/>
    <w:basedOn w:val="1"/>
    <w:next w:val="1"/>
    <w:qFormat/>
    <w:uiPriority w:val="0"/>
    <w:pPr>
      <w:ind w:left="840"/>
      <w:jc w:val="left"/>
    </w:pPr>
    <w:rPr>
      <w:rFonts w:ascii="Calibri" w:hAnsi="Calibri"/>
      <w:sz w:val="18"/>
      <w:szCs w:val="18"/>
    </w:r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4">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6">
    <w:name w:val="Body Text First Indent"/>
    <w:basedOn w:val="7"/>
    <w:next w:val="1"/>
    <w:qFormat/>
    <w:uiPriority w:val="0"/>
    <w:pPr>
      <w:spacing w:after="120" w:afterLines="0" w:line="240" w:lineRule="auto"/>
      <w:ind w:firstLine="420" w:firstLineChars="100"/>
    </w:pPr>
    <w:rPr>
      <w:szCs w:val="24"/>
    </w:rPr>
  </w:style>
  <w:style w:type="paragraph" w:styleId="17">
    <w:name w:val="Body Text First Indent 2"/>
    <w:basedOn w:val="9"/>
    <w:unhideWhenUsed/>
    <w:qFormat/>
    <w:uiPriority w:val="99"/>
    <w:pPr>
      <w:spacing w:before="100" w:beforeAutospacing="1"/>
      <w:ind w:firstLine="420" w:firstLineChars="200"/>
    </w:pPr>
    <w:rPr>
      <w:color w:val="000000"/>
    </w:r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0"/>
    <w:rPr>
      <w:rFonts w:ascii="Tahoma" w:hAnsi="Tahoma" w:eastAsia="宋体"/>
      <w:b/>
      <w:bCs/>
      <w:spacing w:val="10"/>
      <w:sz w:val="24"/>
      <w:lang w:val="en-US" w:eastAsia="zh-CN" w:bidi="ar-SA"/>
    </w:rPr>
  </w:style>
  <w:style w:type="character" w:styleId="22">
    <w:name w:val="page number"/>
    <w:basedOn w:val="20"/>
    <w:qFormat/>
    <w:uiPriority w:val="0"/>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6">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6339</Words>
  <Characters>6627</Characters>
  <Lines>0</Lines>
  <Paragraphs>0</Paragraphs>
  <TotalTime>4</TotalTime>
  <ScaleCrop>false</ScaleCrop>
  <LinksUpToDate>false</LinksUpToDate>
  <CharactersWithSpaces>6875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2023-10-20T02:28:48Z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E7BA3A01E01D4BD9B118B4C534D56E56</vt:lpwstr>
  </property>
</Properties>
</file>