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项目名称：水箱清洗、消毒及水样化验服务（3年）采购项目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项目编号：XLYY20230765</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9</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1.项目名称：水箱清洗、消毒及水样化验服务（3年）采购项目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水箱清洗、消毒及水样化验服务（3年）采购项目</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124200.00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17</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份，一正</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预审通过后，采购人以电子邮件方式通知供应商进入下一阶段流程。</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Chars="0" w:right="0" w:rightChars="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2"/>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0"/>
        </w:numPr>
        <w:spacing w:line="440" w:lineRule="exact"/>
        <w:ind w:leftChars="0"/>
        <w:rPr>
          <w:rFonts w:hint="eastAsia" w:ascii="宋体" w:hAnsi="宋体" w:eastAsia="宋体" w:cs="宋体"/>
          <w:color w:val="000000" w:themeColor="text1"/>
          <w:sz w:val="24"/>
          <w14:textFill>
            <w14:solidFill>
              <w14:schemeClr w14:val="tx1"/>
            </w14:solidFill>
          </w14:textFill>
        </w:rPr>
      </w:pPr>
    </w:p>
    <w:p>
      <w:pPr>
        <w:spacing w:line="360" w:lineRule="auto"/>
        <w:rPr>
          <w:rStyle w:val="22"/>
          <w:rFonts w:ascii="宋体" w:hAnsi="宋体"/>
          <w:b/>
          <w:bCs/>
          <w:sz w:val="30"/>
        </w:rPr>
      </w:pPr>
      <w:r>
        <w:rPr>
          <w:rStyle w:val="22"/>
          <w:rFonts w:ascii="宋体" w:hAnsi="宋体"/>
          <w:b/>
          <w:bCs/>
          <w:sz w:val="30"/>
        </w:rPr>
        <w:t>第一条  项目内容</w:t>
      </w:r>
    </w:p>
    <w:p>
      <w:pPr>
        <w:spacing w:line="360" w:lineRule="auto"/>
        <w:rPr>
          <w:rStyle w:val="22"/>
          <w:rFonts w:ascii="宋体" w:hAnsi="宋体"/>
          <w:sz w:val="24"/>
        </w:rPr>
      </w:pPr>
      <w:r>
        <w:rPr>
          <w:rStyle w:val="22"/>
          <w:rFonts w:ascii="宋体" w:hAnsi="宋体"/>
          <w:sz w:val="24"/>
        </w:rPr>
        <w:t>1.1</w:t>
      </w:r>
      <w:r>
        <w:rPr>
          <w:rStyle w:val="22"/>
          <w:rFonts w:hint="eastAsia" w:ascii="宋体" w:hAnsi="宋体"/>
          <w:sz w:val="24"/>
        </w:rPr>
        <w:t>项目名称：</w:t>
      </w:r>
      <w:r>
        <w:rPr>
          <w:rFonts w:hint="eastAsia" w:ascii="宋体" w:hAnsi="宋体"/>
          <w:sz w:val="24"/>
        </w:rPr>
        <w:t>综合楼、妇幼楼、内科楼水箱清洗消毒及水样化验项目</w:t>
      </w:r>
    </w:p>
    <w:p>
      <w:pPr>
        <w:spacing w:line="360" w:lineRule="auto"/>
        <w:rPr>
          <w:rStyle w:val="22"/>
          <w:rFonts w:hint="eastAsia" w:ascii="宋体" w:hAnsi="宋体"/>
          <w:bCs/>
          <w:sz w:val="24"/>
        </w:rPr>
      </w:pPr>
      <w:r>
        <w:rPr>
          <w:rStyle w:val="22"/>
          <w:rFonts w:hint="eastAsia" w:ascii="宋体" w:hAnsi="宋体"/>
          <w:sz w:val="24"/>
        </w:rPr>
        <w:t>1.2</w:t>
      </w:r>
      <w:r>
        <w:rPr>
          <w:rStyle w:val="22"/>
          <w:rFonts w:ascii="宋体" w:hAnsi="宋体"/>
          <w:sz w:val="24"/>
        </w:rPr>
        <w:t>项目</w:t>
      </w:r>
      <w:r>
        <w:rPr>
          <w:rStyle w:val="22"/>
          <w:rFonts w:hint="eastAsia" w:ascii="宋体" w:hAnsi="宋体"/>
          <w:sz w:val="24"/>
        </w:rPr>
        <w:t>概要</w:t>
      </w:r>
      <w:r>
        <w:rPr>
          <w:rStyle w:val="22"/>
          <w:rFonts w:ascii="宋体" w:hAnsi="宋体"/>
          <w:sz w:val="24"/>
        </w:rPr>
        <w:t>：</w:t>
      </w:r>
      <w:r>
        <w:rPr>
          <w:rStyle w:val="22"/>
          <w:rFonts w:hint="eastAsia" w:ascii="宋体" w:hAnsi="宋体"/>
          <w:sz w:val="24"/>
        </w:rPr>
        <w:t>对</w:t>
      </w:r>
      <w:r>
        <w:rPr>
          <w:rStyle w:val="22"/>
          <w:rFonts w:ascii="宋体" w:hAnsi="宋体"/>
          <w:sz w:val="24"/>
        </w:rPr>
        <w:t>中山市小榄人民医院综合楼、妇幼楼、内科楼水箱（详见清单）</w:t>
      </w:r>
      <w:r>
        <w:rPr>
          <w:rStyle w:val="22"/>
          <w:rFonts w:hint="eastAsia" w:ascii="宋体" w:hAnsi="宋体"/>
          <w:sz w:val="24"/>
        </w:rPr>
        <w:t>进行</w:t>
      </w:r>
      <w:r>
        <w:rPr>
          <w:rStyle w:val="22"/>
          <w:rFonts w:ascii="宋体" w:hAnsi="宋体"/>
          <w:bCs/>
          <w:sz w:val="24"/>
        </w:rPr>
        <w:t>清洗、消毒、水样化验</w:t>
      </w:r>
      <w:r>
        <w:rPr>
          <w:rStyle w:val="22"/>
          <w:rFonts w:hint="eastAsia" w:ascii="宋体" w:hAnsi="宋体"/>
          <w:bCs/>
          <w:sz w:val="24"/>
        </w:rPr>
        <w:t>、并代办水质报告</w:t>
      </w:r>
      <w:r>
        <w:rPr>
          <w:rStyle w:val="22"/>
          <w:rFonts w:ascii="宋体" w:hAnsi="宋体"/>
          <w:bCs/>
          <w:sz w:val="24"/>
        </w:rPr>
        <w:t>。</w:t>
      </w:r>
    </w:p>
    <w:p>
      <w:pPr>
        <w:pStyle w:val="2"/>
        <w:spacing w:line="360" w:lineRule="auto"/>
        <w:rPr>
          <w:rFonts w:hint="eastAsia" w:hAnsi="宋体"/>
          <w:sz w:val="24"/>
          <w:szCs w:val="24"/>
        </w:rPr>
      </w:pPr>
      <w:r>
        <w:rPr>
          <w:rFonts w:hint="eastAsia" w:hAnsi="宋体"/>
          <w:sz w:val="24"/>
          <w:szCs w:val="24"/>
        </w:rPr>
        <w:t>清单内容：</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8"/>
        <w:gridCol w:w="2389"/>
        <w:gridCol w:w="1417"/>
        <w:gridCol w:w="1843"/>
        <w:gridCol w:w="1559"/>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Ansi="宋体"/>
                <w:sz w:val="24"/>
                <w:szCs w:val="24"/>
              </w:rPr>
              <w:t>序号</w:t>
            </w:r>
          </w:p>
        </w:tc>
        <w:tc>
          <w:tcPr>
            <w:tcW w:w="2389" w:type="dxa"/>
            <w:noWrap w:val="0"/>
            <w:vAlign w:val="center"/>
          </w:tcPr>
          <w:p>
            <w:pPr>
              <w:pStyle w:val="2"/>
              <w:spacing w:line="360" w:lineRule="auto"/>
              <w:jc w:val="center"/>
              <w:rPr>
                <w:rFonts w:hAnsi="宋体"/>
                <w:sz w:val="24"/>
                <w:szCs w:val="24"/>
              </w:rPr>
            </w:pPr>
            <w:r>
              <w:rPr>
                <w:rFonts w:hAnsi="宋体"/>
                <w:sz w:val="24"/>
                <w:szCs w:val="24"/>
              </w:rPr>
              <w:t>内容</w:t>
            </w:r>
          </w:p>
        </w:tc>
        <w:tc>
          <w:tcPr>
            <w:tcW w:w="1417" w:type="dxa"/>
            <w:noWrap w:val="0"/>
            <w:vAlign w:val="center"/>
          </w:tcPr>
          <w:p>
            <w:pPr>
              <w:pStyle w:val="2"/>
              <w:spacing w:line="360" w:lineRule="auto"/>
              <w:jc w:val="center"/>
              <w:rPr>
                <w:rFonts w:hAnsi="宋体"/>
                <w:sz w:val="24"/>
                <w:szCs w:val="24"/>
              </w:rPr>
            </w:pPr>
            <w:r>
              <w:rPr>
                <w:rFonts w:hAnsi="宋体"/>
                <w:sz w:val="24"/>
                <w:szCs w:val="24"/>
              </w:rPr>
              <w:t>数量（个）</w:t>
            </w:r>
          </w:p>
        </w:tc>
        <w:tc>
          <w:tcPr>
            <w:tcW w:w="1843" w:type="dxa"/>
            <w:noWrap w:val="0"/>
            <w:vAlign w:val="center"/>
          </w:tcPr>
          <w:p>
            <w:pPr>
              <w:pStyle w:val="2"/>
              <w:spacing w:line="360" w:lineRule="auto"/>
              <w:jc w:val="center"/>
              <w:rPr>
                <w:rFonts w:hAnsi="宋体"/>
                <w:sz w:val="24"/>
                <w:szCs w:val="24"/>
              </w:rPr>
            </w:pPr>
            <w:r>
              <w:rPr>
                <w:rFonts w:hAnsi="宋体"/>
                <w:sz w:val="24"/>
                <w:szCs w:val="24"/>
              </w:rPr>
              <w:t>总容量（m³）</w:t>
            </w:r>
          </w:p>
        </w:tc>
        <w:tc>
          <w:tcPr>
            <w:tcW w:w="1559" w:type="dxa"/>
            <w:noWrap w:val="0"/>
            <w:vAlign w:val="center"/>
          </w:tcPr>
          <w:p>
            <w:pPr>
              <w:pStyle w:val="2"/>
              <w:spacing w:line="360" w:lineRule="auto"/>
              <w:jc w:val="center"/>
              <w:rPr>
                <w:rFonts w:hAnsi="宋体"/>
                <w:sz w:val="24"/>
                <w:szCs w:val="24"/>
              </w:rPr>
            </w:pPr>
            <w:r>
              <w:rPr>
                <w:rFonts w:hAnsi="宋体"/>
                <w:sz w:val="24"/>
                <w:szCs w:val="24"/>
              </w:rPr>
              <w:t>频次</w:t>
            </w:r>
          </w:p>
        </w:tc>
        <w:tc>
          <w:tcPr>
            <w:tcW w:w="1240" w:type="dxa"/>
            <w:noWrap w:val="0"/>
            <w:vAlign w:val="center"/>
          </w:tcPr>
          <w:p>
            <w:pPr>
              <w:pStyle w:val="2"/>
              <w:spacing w:line="360" w:lineRule="auto"/>
              <w:jc w:val="center"/>
              <w:rPr>
                <w:rFonts w:hAnsi="宋体"/>
                <w:sz w:val="24"/>
                <w:szCs w:val="24"/>
              </w:rPr>
            </w:pPr>
            <w:r>
              <w:rPr>
                <w:rFonts w:hAnsi="宋体"/>
                <w:sz w:val="24"/>
                <w:szCs w:val="24"/>
              </w:rPr>
              <w:t>服务年份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int="eastAsia" w:hAnsi="宋体"/>
                <w:sz w:val="24"/>
                <w:szCs w:val="24"/>
              </w:rPr>
              <w:t>1</w:t>
            </w:r>
          </w:p>
        </w:tc>
        <w:tc>
          <w:tcPr>
            <w:tcW w:w="2389" w:type="dxa"/>
            <w:noWrap w:val="0"/>
            <w:vAlign w:val="center"/>
          </w:tcPr>
          <w:p>
            <w:pPr>
              <w:pStyle w:val="2"/>
              <w:spacing w:line="360" w:lineRule="auto"/>
              <w:jc w:val="center"/>
              <w:rPr>
                <w:rFonts w:hAnsi="宋体"/>
                <w:sz w:val="24"/>
                <w:szCs w:val="24"/>
              </w:rPr>
            </w:pPr>
            <w:r>
              <w:rPr>
                <w:rFonts w:hAnsi="宋体"/>
                <w:sz w:val="24"/>
                <w:szCs w:val="24"/>
              </w:rPr>
              <w:t>综合楼地下不锈钢冷水箱</w:t>
            </w:r>
          </w:p>
        </w:tc>
        <w:tc>
          <w:tcPr>
            <w:tcW w:w="1417" w:type="dxa"/>
            <w:noWrap w:val="0"/>
            <w:vAlign w:val="center"/>
          </w:tcPr>
          <w:p>
            <w:pPr>
              <w:pStyle w:val="2"/>
              <w:spacing w:line="360" w:lineRule="auto"/>
              <w:jc w:val="center"/>
              <w:rPr>
                <w:rFonts w:hAnsi="宋体"/>
                <w:sz w:val="24"/>
                <w:szCs w:val="24"/>
              </w:rPr>
            </w:pPr>
            <w:r>
              <w:rPr>
                <w:rFonts w:hint="eastAsia" w:hAnsi="宋体"/>
                <w:sz w:val="24"/>
                <w:szCs w:val="24"/>
              </w:rPr>
              <w:t>3</w:t>
            </w:r>
          </w:p>
        </w:tc>
        <w:tc>
          <w:tcPr>
            <w:tcW w:w="1843" w:type="dxa"/>
            <w:noWrap w:val="0"/>
            <w:vAlign w:val="center"/>
          </w:tcPr>
          <w:p>
            <w:pPr>
              <w:pStyle w:val="2"/>
              <w:spacing w:line="360" w:lineRule="auto"/>
              <w:jc w:val="center"/>
              <w:rPr>
                <w:rFonts w:hAnsi="宋体"/>
                <w:sz w:val="24"/>
                <w:szCs w:val="24"/>
              </w:rPr>
            </w:pPr>
            <w:r>
              <w:rPr>
                <w:rFonts w:hint="eastAsia" w:hAnsi="宋体"/>
                <w:sz w:val="24"/>
                <w:szCs w:val="24"/>
              </w:rPr>
              <w:t>378</w:t>
            </w:r>
          </w:p>
        </w:tc>
        <w:tc>
          <w:tcPr>
            <w:tcW w:w="1559" w:type="dxa"/>
            <w:noWrap w:val="0"/>
            <w:vAlign w:val="center"/>
          </w:tcPr>
          <w:p>
            <w:pPr>
              <w:pStyle w:val="2"/>
              <w:spacing w:line="360" w:lineRule="auto"/>
              <w:jc w:val="center"/>
              <w:rPr>
                <w:rFonts w:hint="eastAsia" w:hAnsi="宋体"/>
                <w:sz w:val="24"/>
                <w:szCs w:val="24"/>
              </w:rPr>
            </w:pPr>
            <w:r>
              <w:rPr>
                <w:rFonts w:hint="eastAsia" w:hAnsi="宋体"/>
                <w:sz w:val="24"/>
                <w:szCs w:val="24"/>
              </w:rPr>
              <w:t>每季度一次</w:t>
            </w:r>
          </w:p>
        </w:tc>
        <w:tc>
          <w:tcPr>
            <w:tcW w:w="1240" w:type="dxa"/>
            <w:noWrap w:val="0"/>
            <w:vAlign w:val="center"/>
          </w:tcPr>
          <w:p>
            <w:pPr>
              <w:pStyle w:val="2"/>
              <w:spacing w:line="360" w:lineRule="auto"/>
              <w:jc w:val="center"/>
              <w:rPr>
                <w:rFonts w:hint="eastAsia"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int="eastAsia" w:hAnsi="宋体"/>
                <w:sz w:val="24"/>
                <w:szCs w:val="24"/>
              </w:rPr>
              <w:t>2</w:t>
            </w:r>
          </w:p>
        </w:tc>
        <w:tc>
          <w:tcPr>
            <w:tcW w:w="2389" w:type="dxa"/>
            <w:noWrap w:val="0"/>
            <w:vAlign w:val="center"/>
          </w:tcPr>
          <w:p>
            <w:pPr>
              <w:pStyle w:val="2"/>
              <w:spacing w:line="360" w:lineRule="auto"/>
              <w:jc w:val="center"/>
              <w:rPr>
                <w:rFonts w:hAnsi="宋体"/>
                <w:sz w:val="24"/>
                <w:szCs w:val="24"/>
              </w:rPr>
            </w:pPr>
            <w:r>
              <w:rPr>
                <w:rFonts w:hAnsi="宋体"/>
                <w:sz w:val="24"/>
                <w:szCs w:val="24"/>
              </w:rPr>
              <w:t>综合楼地下不锈钢热水箱</w:t>
            </w:r>
          </w:p>
        </w:tc>
        <w:tc>
          <w:tcPr>
            <w:tcW w:w="1417" w:type="dxa"/>
            <w:noWrap w:val="0"/>
            <w:vAlign w:val="center"/>
          </w:tcPr>
          <w:p>
            <w:pPr>
              <w:pStyle w:val="2"/>
              <w:spacing w:line="360" w:lineRule="auto"/>
              <w:jc w:val="center"/>
              <w:rPr>
                <w:rFonts w:hAnsi="宋体"/>
                <w:sz w:val="24"/>
                <w:szCs w:val="24"/>
              </w:rPr>
            </w:pPr>
            <w:r>
              <w:rPr>
                <w:rFonts w:hint="eastAsia" w:hAnsi="宋体"/>
                <w:sz w:val="24"/>
                <w:szCs w:val="24"/>
              </w:rPr>
              <w:t>2</w:t>
            </w:r>
          </w:p>
        </w:tc>
        <w:tc>
          <w:tcPr>
            <w:tcW w:w="1843" w:type="dxa"/>
            <w:noWrap w:val="0"/>
            <w:vAlign w:val="center"/>
          </w:tcPr>
          <w:p>
            <w:pPr>
              <w:pStyle w:val="2"/>
              <w:spacing w:line="360" w:lineRule="auto"/>
              <w:jc w:val="center"/>
              <w:rPr>
                <w:rFonts w:hAnsi="宋体"/>
                <w:sz w:val="24"/>
                <w:szCs w:val="24"/>
              </w:rPr>
            </w:pPr>
            <w:r>
              <w:rPr>
                <w:rFonts w:hint="eastAsia" w:hAnsi="宋体"/>
                <w:sz w:val="24"/>
                <w:szCs w:val="24"/>
              </w:rPr>
              <w:t>32</w:t>
            </w:r>
          </w:p>
        </w:tc>
        <w:tc>
          <w:tcPr>
            <w:tcW w:w="1559" w:type="dxa"/>
            <w:noWrap w:val="0"/>
            <w:vAlign w:val="center"/>
          </w:tcPr>
          <w:p>
            <w:pPr>
              <w:pStyle w:val="2"/>
              <w:spacing w:line="360" w:lineRule="auto"/>
              <w:jc w:val="center"/>
              <w:rPr>
                <w:rFonts w:hAnsi="宋体"/>
                <w:sz w:val="24"/>
                <w:szCs w:val="24"/>
              </w:rPr>
            </w:pPr>
            <w:r>
              <w:rPr>
                <w:rFonts w:hAnsi="宋体"/>
                <w:sz w:val="24"/>
                <w:szCs w:val="24"/>
              </w:rPr>
              <w:t>每年一次</w:t>
            </w:r>
          </w:p>
        </w:tc>
        <w:tc>
          <w:tcPr>
            <w:tcW w:w="1240" w:type="dxa"/>
            <w:noWrap w:val="0"/>
            <w:vAlign w:val="center"/>
          </w:tcPr>
          <w:p>
            <w:pPr>
              <w:pStyle w:val="2"/>
              <w:spacing w:line="360" w:lineRule="auto"/>
              <w:jc w:val="center"/>
              <w:rPr>
                <w:rFonts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int="eastAsia" w:hAnsi="宋体"/>
                <w:sz w:val="24"/>
                <w:szCs w:val="24"/>
              </w:rPr>
              <w:t>3</w:t>
            </w:r>
          </w:p>
        </w:tc>
        <w:tc>
          <w:tcPr>
            <w:tcW w:w="2389" w:type="dxa"/>
            <w:noWrap w:val="0"/>
            <w:vAlign w:val="center"/>
          </w:tcPr>
          <w:p>
            <w:pPr>
              <w:pStyle w:val="2"/>
              <w:spacing w:line="360" w:lineRule="auto"/>
              <w:jc w:val="center"/>
              <w:rPr>
                <w:rFonts w:hAnsi="宋体"/>
                <w:sz w:val="24"/>
                <w:szCs w:val="24"/>
              </w:rPr>
            </w:pPr>
            <w:r>
              <w:rPr>
                <w:rFonts w:hAnsi="宋体"/>
                <w:sz w:val="24"/>
                <w:szCs w:val="24"/>
              </w:rPr>
              <w:t>妇幼天面不锈钢冷水箱</w:t>
            </w:r>
          </w:p>
        </w:tc>
        <w:tc>
          <w:tcPr>
            <w:tcW w:w="1417" w:type="dxa"/>
            <w:noWrap w:val="0"/>
            <w:vAlign w:val="center"/>
          </w:tcPr>
          <w:p>
            <w:pPr>
              <w:pStyle w:val="2"/>
              <w:spacing w:line="360" w:lineRule="auto"/>
              <w:jc w:val="center"/>
              <w:rPr>
                <w:rFonts w:hAnsi="宋体"/>
                <w:sz w:val="24"/>
                <w:szCs w:val="24"/>
              </w:rPr>
            </w:pPr>
            <w:r>
              <w:rPr>
                <w:rFonts w:hint="eastAsia" w:hAnsi="宋体"/>
                <w:sz w:val="24"/>
                <w:szCs w:val="24"/>
              </w:rPr>
              <w:t>1</w:t>
            </w:r>
          </w:p>
        </w:tc>
        <w:tc>
          <w:tcPr>
            <w:tcW w:w="1843" w:type="dxa"/>
            <w:noWrap w:val="0"/>
            <w:vAlign w:val="center"/>
          </w:tcPr>
          <w:p>
            <w:pPr>
              <w:pStyle w:val="2"/>
              <w:spacing w:line="360" w:lineRule="auto"/>
              <w:jc w:val="center"/>
              <w:rPr>
                <w:rFonts w:hAnsi="宋体"/>
                <w:sz w:val="24"/>
                <w:szCs w:val="24"/>
              </w:rPr>
            </w:pPr>
            <w:r>
              <w:rPr>
                <w:rFonts w:hint="eastAsia" w:hAnsi="宋体"/>
                <w:sz w:val="24"/>
                <w:szCs w:val="24"/>
              </w:rPr>
              <w:t>30</w:t>
            </w:r>
          </w:p>
        </w:tc>
        <w:tc>
          <w:tcPr>
            <w:tcW w:w="1559" w:type="dxa"/>
            <w:noWrap w:val="0"/>
            <w:vAlign w:val="center"/>
          </w:tcPr>
          <w:p>
            <w:pPr>
              <w:pStyle w:val="2"/>
              <w:spacing w:line="360" w:lineRule="auto"/>
              <w:jc w:val="center"/>
              <w:rPr>
                <w:rFonts w:hAnsi="宋体"/>
                <w:sz w:val="24"/>
                <w:szCs w:val="24"/>
              </w:rPr>
            </w:pPr>
            <w:r>
              <w:rPr>
                <w:rFonts w:hAnsi="宋体"/>
                <w:sz w:val="24"/>
                <w:szCs w:val="24"/>
              </w:rPr>
              <w:t>每季度一次</w:t>
            </w:r>
          </w:p>
        </w:tc>
        <w:tc>
          <w:tcPr>
            <w:tcW w:w="1240" w:type="dxa"/>
            <w:noWrap w:val="0"/>
            <w:vAlign w:val="center"/>
          </w:tcPr>
          <w:p>
            <w:pPr>
              <w:pStyle w:val="2"/>
              <w:spacing w:line="360" w:lineRule="auto"/>
              <w:jc w:val="center"/>
              <w:rPr>
                <w:rFonts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int="eastAsia" w:hAnsi="宋体"/>
                <w:sz w:val="24"/>
                <w:szCs w:val="24"/>
              </w:rPr>
            </w:pPr>
            <w:r>
              <w:rPr>
                <w:rFonts w:hint="eastAsia" w:hAnsi="宋体"/>
                <w:sz w:val="24"/>
                <w:szCs w:val="24"/>
              </w:rPr>
              <w:t>4</w:t>
            </w:r>
          </w:p>
        </w:tc>
        <w:tc>
          <w:tcPr>
            <w:tcW w:w="2389" w:type="dxa"/>
            <w:noWrap w:val="0"/>
            <w:vAlign w:val="center"/>
          </w:tcPr>
          <w:p>
            <w:pPr>
              <w:pStyle w:val="2"/>
              <w:spacing w:line="360" w:lineRule="auto"/>
              <w:jc w:val="center"/>
              <w:rPr>
                <w:rFonts w:hAnsi="宋体"/>
                <w:sz w:val="24"/>
                <w:szCs w:val="24"/>
              </w:rPr>
            </w:pPr>
            <w:r>
              <w:rPr>
                <w:rFonts w:hAnsi="宋体"/>
                <w:sz w:val="24"/>
                <w:szCs w:val="24"/>
              </w:rPr>
              <w:t>妇幼天面不锈钢热水箱</w:t>
            </w:r>
          </w:p>
        </w:tc>
        <w:tc>
          <w:tcPr>
            <w:tcW w:w="1417" w:type="dxa"/>
            <w:noWrap w:val="0"/>
            <w:vAlign w:val="center"/>
          </w:tcPr>
          <w:p>
            <w:pPr>
              <w:pStyle w:val="2"/>
              <w:spacing w:line="360" w:lineRule="auto"/>
              <w:jc w:val="center"/>
              <w:rPr>
                <w:rFonts w:hint="eastAsia" w:hAnsi="宋体"/>
                <w:sz w:val="24"/>
                <w:szCs w:val="24"/>
              </w:rPr>
            </w:pPr>
            <w:r>
              <w:rPr>
                <w:rFonts w:hint="eastAsia" w:hAnsi="宋体"/>
                <w:sz w:val="24"/>
                <w:szCs w:val="24"/>
              </w:rPr>
              <w:t>4</w:t>
            </w:r>
          </w:p>
        </w:tc>
        <w:tc>
          <w:tcPr>
            <w:tcW w:w="1843" w:type="dxa"/>
            <w:noWrap w:val="0"/>
            <w:vAlign w:val="center"/>
          </w:tcPr>
          <w:p>
            <w:pPr>
              <w:pStyle w:val="2"/>
              <w:spacing w:line="360" w:lineRule="auto"/>
              <w:jc w:val="center"/>
              <w:rPr>
                <w:rFonts w:hint="eastAsia" w:hAnsi="宋体"/>
                <w:sz w:val="24"/>
                <w:szCs w:val="24"/>
              </w:rPr>
            </w:pPr>
            <w:r>
              <w:rPr>
                <w:rFonts w:hint="eastAsia" w:hAnsi="宋体"/>
                <w:sz w:val="24"/>
                <w:szCs w:val="24"/>
              </w:rPr>
              <w:t>180</w:t>
            </w:r>
          </w:p>
        </w:tc>
        <w:tc>
          <w:tcPr>
            <w:tcW w:w="1559" w:type="dxa"/>
            <w:noWrap w:val="0"/>
            <w:vAlign w:val="center"/>
          </w:tcPr>
          <w:p>
            <w:pPr>
              <w:pStyle w:val="2"/>
              <w:spacing w:line="360" w:lineRule="auto"/>
              <w:jc w:val="center"/>
              <w:rPr>
                <w:rFonts w:hAnsi="宋体"/>
                <w:sz w:val="24"/>
                <w:szCs w:val="24"/>
              </w:rPr>
            </w:pPr>
            <w:r>
              <w:rPr>
                <w:rFonts w:hAnsi="宋体"/>
                <w:sz w:val="24"/>
                <w:szCs w:val="24"/>
              </w:rPr>
              <w:t>每年一次</w:t>
            </w:r>
          </w:p>
        </w:tc>
        <w:tc>
          <w:tcPr>
            <w:tcW w:w="1240" w:type="dxa"/>
            <w:noWrap w:val="0"/>
            <w:vAlign w:val="center"/>
          </w:tcPr>
          <w:p>
            <w:pPr>
              <w:pStyle w:val="2"/>
              <w:spacing w:line="360" w:lineRule="auto"/>
              <w:jc w:val="center"/>
              <w:rPr>
                <w:rFonts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int="eastAsia" w:hAnsi="宋体"/>
                <w:sz w:val="24"/>
                <w:szCs w:val="24"/>
              </w:rPr>
            </w:pPr>
            <w:r>
              <w:rPr>
                <w:rFonts w:hint="eastAsia" w:hAnsi="宋体"/>
                <w:sz w:val="24"/>
                <w:szCs w:val="24"/>
              </w:rPr>
              <w:t>5</w:t>
            </w:r>
          </w:p>
        </w:tc>
        <w:tc>
          <w:tcPr>
            <w:tcW w:w="2389" w:type="dxa"/>
            <w:noWrap w:val="0"/>
            <w:vAlign w:val="center"/>
          </w:tcPr>
          <w:p>
            <w:pPr>
              <w:pStyle w:val="2"/>
              <w:spacing w:line="360" w:lineRule="auto"/>
              <w:jc w:val="center"/>
              <w:rPr>
                <w:rFonts w:hAnsi="宋体"/>
                <w:sz w:val="24"/>
                <w:szCs w:val="24"/>
              </w:rPr>
            </w:pPr>
            <w:r>
              <w:rPr>
                <w:rFonts w:hAnsi="宋体"/>
                <w:sz w:val="24"/>
                <w:szCs w:val="24"/>
              </w:rPr>
              <w:t>内科楼天面不锈钢冷水箱</w:t>
            </w:r>
          </w:p>
        </w:tc>
        <w:tc>
          <w:tcPr>
            <w:tcW w:w="1417" w:type="dxa"/>
            <w:noWrap w:val="0"/>
            <w:vAlign w:val="center"/>
          </w:tcPr>
          <w:p>
            <w:pPr>
              <w:pStyle w:val="2"/>
              <w:spacing w:line="360" w:lineRule="auto"/>
              <w:jc w:val="center"/>
              <w:rPr>
                <w:rFonts w:hint="eastAsia" w:hAnsi="宋体"/>
                <w:sz w:val="24"/>
                <w:szCs w:val="24"/>
              </w:rPr>
            </w:pPr>
            <w:r>
              <w:rPr>
                <w:rFonts w:hint="eastAsia" w:hAnsi="宋体"/>
                <w:sz w:val="24"/>
                <w:szCs w:val="24"/>
              </w:rPr>
              <w:t>1</w:t>
            </w:r>
          </w:p>
        </w:tc>
        <w:tc>
          <w:tcPr>
            <w:tcW w:w="1843" w:type="dxa"/>
            <w:noWrap w:val="0"/>
            <w:vAlign w:val="center"/>
          </w:tcPr>
          <w:p>
            <w:pPr>
              <w:pStyle w:val="2"/>
              <w:spacing w:line="360" w:lineRule="auto"/>
              <w:jc w:val="center"/>
              <w:rPr>
                <w:rFonts w:hint="eastAsia" w:hAnsi="宋体"/>
                <w:sz w:val="24"/>
                <w:szCs w:val="24"/>
              </w:rPr>
            </w:pPr>
            <w:r>
              <w:rPr>
                <w:rFonts w:hint="eastAsia" w:hAnsi="宋体"/>
                <w:sz w:val="24"/>
                <w:szCs w:val="24"/>
              </w:rPr>
              <w:t>40</w:t>
            </w:r>
          </w:p>
        </w:tc>
        <w:tc>
          <w:tcPr>
            <w:tcW w:w="1559" w:type="dxa"/>
            <w:noWrap w:val="0"/>
            <w:vAlign w:val="center"/>
          </w:tcPr>
          <w:p>
            <w:pPr>
              <w:pStyle w:val="2"/>
              <w:spacing w:line="360" w:lineRule="auto"/>
              <w:jc w:val="center"/>
              <w:rPr>
                <w:rFonts w:hAnsi="宋体"/>
                <w:sz w:val="24"/>
                <w:szCs w:val="24"/>
              </w:rPr>
            </w:pPr>
            <w:r>
              <w:rPr>
                <w:rFonts w:hAnsi="宋体"/>
                <w:sz w:val="24"/>
                <w:szCs w:val="24"/>
              </w:rPr>
              <w:t>每季度一次</w:t>
            </w:r>
          </w:p>
        </w:tc>
        <w:tc>
          <w:tcPr>
            <w:tcW w:w="1240" w:type="dxa"/>
            <w:noWrap w:val="0"/>
            <w:vAlign w:val="center"/>
          </w:tcPr>
          <w:p>
            <w:pPr>
              <w:pStyle w:val="2"/>
              <w:spacing w:line="360" w:lineRule="auto"/>
              <w:jc w:val="center"/>
              <w:rPr>
                <w:rFonts w:hint="eastAsia" w:hAnsi="宋体"/>
                <w:sz w:val="24"/>
                <w:szCs w:val="24"/>
              </w:rPr>
            </w:pPr>
            <w:r>
              <w:rPr>
                <w:rFonts w:hint="eastAsia" w:hAnsi="宋体"/>
                <w:sz w:val="24"/>
                <w:szCs w:val="24"/>
              </w:rPr>
              <w:t>3</w:t>
            </w:r>
          </w:p>
        </w:tc>
      </w:tr>
    </w:tbl>
    <w:p>
      <w:pPr>
        <w:pStyle w:val="2"/>
        <w:spacing w:line="360" w:lineRule="auto"/>
        <w:rPr>
          <w:rFonts w:hAnsi="宋体"/>
          <w:sz w:val="24"/>
          <w:szCs w:val="24"/>
        </w:rPr>
      </w:pPr>
    </w:p>
    <w:p>
      <w:pPr>
        <w:spacing w:line="360" w:lineRule="auto"/>
        <w:rPr>
          <w:rStyle w:val="22"/>
          <w:rFonts w:ascii="宋体" w:hAnsi="宋体"/>
          <w:sz w:val="24"/>
        </w:rPr>
      </w:pPr>
      <w:r>
        <w:rPr>
          <w:rStyle w:val="22"/>
          <w:rFonts w:ascii="宋体" w:hAnsi="宋体"/>
          <w:sz w:val="24"/>
        </w:rPr>
        <w:t>1.</w:t>
      </w:r>
      <w:r>
        <w:rPr>
          <w:rStyle w:val="22"/>
          <w:rFonts w:hint="eastAsia" w:ascii="宋体" w:hAnsi="宋体"/>
          <w:sz w:val="24"/>
        </w:rPr>
        <w:t>3</w:t>
      </w:r>
      <w:r>
        <w:rPr>
          <w:rStyle w:val="22"/>
          <w:rFonts w:ascii="宋体" w:hAnsi="宋体"/>
          <w:sz w:val="24"/>
        </w:rPr>
        <w:t>项目地点：中山市小榄镇菊城大道中段65号</w:t>
      </w:r>
    </w:p>
    <w:p>
      <w:pPr>
        <w:spacing w:line="360" w:lineRule="auto"/>
        <w:ind w:left="1960" w:hanging="1960"/>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项目流程：</w:t>
      </w:r>
    </w:p>
    <w:p>
      <w:pPr>
        <w:spacing w:line="360" w:lineRule="auto"/>
        <w:ind w:left="1820" w:leftChars="200" w:hanging="1400"/>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.1提前一个星期与我院联系约定清洗水箱时间。</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.2水箱表面清洗，首先用高压水枪清洗不锈钢水池顶部灰尘，</w:t>
      </w:r>
      <w:r>
        <w:rPr>
          <w:rStyle w:val="22"/>
          <w:rFonts w:ascii="宋体" w:hAnsi="宋体"/>
          <w:sz w:val="24"/>
          <w:u w:val="single" w:color="FF0000"/>
        </w:rPr>
        <w:t>再用扫把扫除顶部积水</w:t>
      </w:r>
      <w:r>
        <w:rPr>
          <w:rStyle w:val="22"/>
          <w:rFonts w:ascii="宋体" w:hAnsi="宋体"/>
          <w:sz w:val="24"/>
        </w:rPr>
        <w:t>(</w:t>
      </w:r>
      <w:r>
        <w:rPr>
          <w:rStyle w:val="22"/>
          <w:rFonts w:hint="eastAsia" w:ascii="宋体" w:hAnsi="宋体"/>
          <w:sz w:val="24"/>
        </w:rPr>
        <w:t>注：</w:t>
      </w:r>
      <w:r>
        <w:rPr>
          <w:rStyle w:val="22"/>
          <w:rFonts w:ascii="宋体" w:hAnsi="宋体"/>
          <w:sz w:val="24"/>
        </w:rPr>
        <w:t>因危险</w:t>
      </w:r>
      <w:r>
        <w:rPr>
          <w:rStyle w:val="22"/>
          <w:rFonts w:hint="eastAsia" w:ascii="宋体" w:hAnsi="宋体"/>
          <w:sz w:val="24"/>
        </w:rPr>
        <w:t>，</w:t>
      </w:r>
      <w:r>
        <w:rPr>
          <w:rStyle w:val="22"/>
          <w:rFonts w:ascii="宋体" w:hAnsi="宋体"/>
          <w:sz w:val="24"/>
        </w:rPr>
        <w:t>人不能走上水池顶部)，然后再对池体外的四周清洗。</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3</w:t>
      </w:r>
      <w:r>
        <w:rPr>
          <w:rStyle w:val="22"/>
          <w:rFonts w:ascii="宋体" w:hAnsi="宋体"/>
          <w:sz w:val="24"/>
        </w:rPr>
        <w:t>水箱内部清洗，当水箱排空到一定程度时，利用剩下0.3-0.5m水进行带水清洗，用高压水枪及清洗器对箱内壁及箱底进先洗刷，将水垢、铁锈铲除，使内箱壁达到用手触摸无腻感，然后将洗刷后的污水排走，并将箱底的沙石用水泵抽，再一次用清水冲洗干。</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4</w:t>
      </w:r>
      <w:r>
        <w:rPr>
          <w:rStyle w:val="22"/>
          <w:rFonts w:ascii="宋体" w:hAnsi="宋体"/>
          <w:sz w:val="24"/>
        </w:rPr>
        <w:t>水箱消毒，用含氯量3毫克/升的消毒药物喷洒于箱壁周围，停留时间不少于15分钟，再用清水冲洗干净，并排抽干所有积水。</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5</w:t>
      </w:r>
      <w:r>
        <w:rPr>
          <w:rStyle w:val="22"/>
          <w:rFonts w:ascii="宋体" w:hAnsi="宋体"/>
          <w:sz w:val="24"/>
        </w:rPr>
        <w:t>水箱蓄水，水箱消洗消毒完毕后，清理箱内清洗工具，再一次检查水箱内无杂物后，关上水箱检查口盖，并上锁，然后放入自来水，检查水位控制器是否正常工作，防止溢水。</w:t>
      </w:r>
    </w:p>
    <w:p>
      <w:pPr>
        <w:tabs>
          <w:tab w:val="left" w:pos="426"/>
        </w:tabs>
        <w:spacing w:line="360" w:lineRule="auto"/>
        <w:ind w:left="1134" w:hanging="1134"/>
        <w:rPr>
          <w:rStyle w:val="22"/>
          <w:rFonts w:ascii="宋体" w:hAnsi="宋体"/>
          <w:sz w:val="24"/>
        </w:rPr>
      </w:pPr>
      <w:r>
        <w:rPr>
          <w:rStyle w:val="22"/>
          <w:rFonts w:ascii="宋体" w:hAnsi="宋体"/>
          <w:sz w:val="24"/>
        </w:rPr>
        <w:tab/>
      </w: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6</w:t>
      </w:r>
      <w:r>
        <w:rPr>
          <w:rStyle w:val="22"/>
          <w:rFonts w:ascii="宋体" w:hAnsi="宋体"/>
          <w:sz w:val="24"/>
        </w:rPr>
        <w:t xml:space="preserve"> 清理水箱外围环境卫生，对不锈</w:t>
      </w:r>
      <w:r>
        <w:rPr>
          <w:rStyle w:val="22"/>
          <w:rFonts w:hint="eastAsia" w:ascii="宋体" w:hAnsi="宋体"/>
          <w:sz w:val="24"/>
        </w:rPr>
        <w:t>钢</w:t>
      </w:r>
      <w:r>
        <w:rPr>
          <w:rStyle w:val="22"/>
          <w:rFonts w:ascii="宋体" w:hAnsi="宋体"/>
          <w:sz w:val="24"/>
        </w:rPr>
        <w:t>水箱外部四周、机座冲洗除尘检查溢流管的防虫纱网完好情况。</w:t>
      </w:r>
    </w:p>
    <w:p>
      <w:pPr>
        <w:tabs>
          <w:tab w:val="left" w:pos="426"/>
        </w:tabs>
        <w:spacing w:line="360" w:lineRule="auto"/>
        <w:ind w:left="1134" w:hanging="1134"/>
        <w:rPr>
          <w:rStyle w:val="22"/>
          <w:rFonts w:ascii="宋体" w:hAnsi="宋体"/>
          <w:sz w:val="24"/>
        </w:rPr>
      </w:pPr>
      <w:r>
        <w:rPr>
          <w:rStyle w:val="22"/>
          <w:rFonts w:ascii="宋体" w:hAnsi="宋体"/>
          <w:sz w:val="24"/>
        </w:rPr>
        <w:t xml:space="preserve">   1.</w:t>
      </w:r>
      <w:r>
        <w:rPr>
          <w:rStyle w:val="22"/>
          <w:rFonts w:hint="eastAsia" w:ascii="宋体" w:hAnsi="宋体"/>
          <w:sz w:val="24"/>
        </w:rPr>
        <w:t>4</w:t>
      </w:r>
      <w:r>
        <w:rPr>
          <w:rStyle w:val="22"/>
          <w:rFonts w:ascii="宋体" w:hAnsi="宋体"/>
          <w:sz w:val="24"/>
        </w:rPr>
        <w:t>.</w:t>
      </w:r>
      <w:r>
        <w:rPr>
          <w:rStyle w:val="22"/>
          <w:rFonts w:hint="eastAsia" w:ascii="宋体" w:hAnsi="宋体"/>
          <w:sz w:val="24"/>
        </w:rPr>
        <w:t>7</w:t>
      </w:r>
      <w:r>
        <w:rPr>
          <w:rStyle w:val="22"/>
          <w:rFonts w:ascii="宋体" w:hAnsi="宋体"/>
          <w:sz w:val="24"/>
        </w:rPr>
        <w:t>取水样化验，现场作余氯检测，余氯要符合正常水平范围（4mg/L≥实测值≥0.05 mg/L），水样</w:t>
      </w:r>
      <w:r>
        <w:rPr>
          <w:rStyle w:val="22"/>
          <w:rFonts w:hint="eastAsia" w:ascii="宋体" w:hAnsi="宋体"/>
          <w:sz w:val="24"/>
        </w:rPr>
        <w:t>由供应商</w:t>
      </w:r>
      <w:r>
        <w:rPr>
          <w:rStyle w:val="22"/>
          <w:rFonts w:ascii="宋体" w:hAnsi="宋体"/>
          <w:sz w:val="24"/>
        </w:rPr>
        <w:t>送至具有二次供水检测资质的第三方检测机构检测，并</w:t>
      </w:r>
      <w:r>
        <w:rPr>
          <w:rStyle w:val="22"/>
          <w:rFonts w:hint="eastAsia" w:ascii="宋体" w:hAnsi="宋体"/>
          <w:sz w:val="24"/>
        </w:rPr>
        <w:t>代办</w:t>
      </w:r>
      <w:r>
        <w:rPr>
          <w:rStyle w:val="22"/>
          <w:rFonts w:ascii="宋体" w:hAnsi="宋体"/>
          <w:sz w:val="24"/>
        </w:rPr>
        <w:t>水质报告。</w:t>
      </w:r>
    </w:p>
    <w:p>
      <w:pPr>
        <w:tabs>
          <w:tab w:val="left" w:pos="426"/>
        </w:tabs>
        <w:spacing w:line="360" w:lineRule="auto"/>
        <w:ind w:left="1134" w:hanging="1134"/>
        <w:rPr>
          <w:rStyle w:val="22"/>
          <w:rFonts w:ascii="宋体" w:hAnsi="宋体"/>
          <w:sz w:val="24"/>
        </w:rPr>
      </w:pPr>
      <w:r>
        <w:rPr>
          <w:rStyle w:val="22"/>
          <w:rFonts w:ascii="宋体" w:hAnsi="宋体"/>
          <w:sz w:val="24"/>
        </w:rPr>
        <w:t xml:space="preserve">   1.</w:t>
      </w:r>
      <w:r>
        <w:rPr>
          <w:rStyle w:val="22"/>
          <w:rFonts w:hint="eastAsia" w:ascii="宋体" w:hAnsi="宋体"/>
          <w:sz w:val="24"/>
        </w:rPr>
        <w:t>4</w:t>
      </w:r>
      <w:r>
        <w:rPr>
          <w:rStyle w:val="22"/>
          <w:rFonts w:ascii="宋体" w:hAnsi="宋体"/>
          <w:sz w:val="24"/>
        </w:rPr>
        <w:t>.</w:t>
      </w:r>
      <w:r>
        <w:rPr>
          <w:rStyle w:val="22"/>
          <w:rFonts w:hint="eastAsia" w:ascii="宋体" w:hAnsi="宋体"/>
          <w:sz w:val="24"/>
        </w:rPr>
        <w:t>8</w:t>
      </w:r>
      <w:r>
        <w:rPr>
          <w:rStyle w:val="22"/>
          <w:rFonts w:ascii="宋体" w:hAnsi="宋体"/>
          <w:sz w:val="24"/>
        </w:rPr>
        <w:t xml:space="preserve"> 记录清洗过程，清洗完毕后，认真填写清洗记录表，将清洗时的拍片、消毒剂的相关资料整理，交给院方归档。</w:t>
      </w:r>
    </w:p>
    <w:p>
      <w:pPr>
        <w:tabs>
          <w:tab w:val="left" w:pos="1800"/>
        </w:tabs>
        <w:spacing w:line="360" w:lineRule="auto"/>
        <w:rPr>
          <w:rStyle w:val="22"/>
          <w:rFonts w:ascii="宋体" w:hAnsi="宋体"/>
          <w:sz w:val="24"/>
        </w:rPr>
      </w:pPr>
      <w:r>
        <w:rPr>
          <w:rStyle w:val="22"/>
          <w:rFonts w:hint="eastAsia" w:ascii="宋体" w:hAnsi="宋体"/>
          <w:sz w:val="24"/>
        </w:rPr>
        <w:t>▲</w:t>
      </w:r>
      <w:r>
        <w:rPr>
          <w:rStyle w:val="22"/>
          <w:rFonts w:ascii="宋体" w:hAnsi="宋体"/>
          <w:sz w:val="24"/>
        </w:rPr>
        <w:t>1.</w:t>
      </w:r>
      <w:r>
        <w:rPr>
          <w:rStyle w:val="22"/>
          <w:rFonts w:hint="eastAsia" w:ascii="宋体" w:hAnsi="宋体"/>
          <w:sz w:val="24"/>
        </w:rPr>
        <w:t>5</w:t>
      </w:r>
      <w:r>
        <w:rPr>
          <w:rStyle w:val="22"/>
          <w:rFonts w:ascii="宋体" w:hAnsi="宋体"/>
          <w:sz w:val="24"/>
        </w:rPr>
        <w:t>项目形式：每年定期对蓄水箱</w:t>
      </w:r>
      <w:r>
        <w:rPr>
          <w:rStyle w:val="22"/>
          <w:rFonts w:hint="eastAsia" w:ascii="宋体" w:hAnsi="宋体"/>
          <w:sz w:val="24"/>
        </w:rPr>
        <w:t>进行</w:t>
      </w:r>
      <w:r>
        <w:rPr>
          <w:rStyle w:val="22"/>
          <w:rFonts w:ascii="宋体" w:hAnsi="宋体"/>
          <w:sz w:val="24"/>
        </w:rPr>
        <w:t>清洗消毒，冷水箱</w:t>
      </w:r>
      <w:r>
        <w:rPr>
          <w:rStyle w:val="22"/>
          <w:rFonts w:hint="eastAsia" w:ascii="宋体" w:hAnsi="宋体"/>
          <w:sz w:val="24"/>
        </w:rPr>
        <w:t>一年4次，热水箱一年1次，</w:t>
      </w:r>
      <w:r>
        <w:rPr>
          <w:rStyle w:val="22"/>
          <w:rFonts w:ascii="宋体" w:hAnsi="宋体"/>
          <w:sz w:val="24"/>
        </w:rPr>
        <w:t>并</w:t>
      </w:r>
      <w:r>
        <w:rPr>
          <w:rStyle w:val="22"/>
          <w:rFonts w:hint="eastAsia" w:ascii="宋体" w:hAnsi="宋体"/>
          <w:sz w:val="24"/>
        </w:rPr>
        <w:t>在每次清洗消毒后</w:t>
      </w:r>
      <w:r>
        <w:rPr>
          <w:rStyle w:val="22"/>
          <w:rFonts w:ascii="宋体" w:hAnsi="宋体"/>
          <w:sz w:val="24"/>
        </w:rPr>
        <w:t>对蓄水箱出具1份</w:t>
      </w:r>
      <w:r>
        <w:rPr>
          <w:rStyle w:val="22"/>
          <w:rFonts w:hint="eastAsia" w:ascii="宋体" w:hAnsi="宋体"/>
          <w:sz w:val="24"/>
        </w:rPr>
        <w:t>合格的</w:t>
      </w:r>
      <w:r>
        <w:rPr>
          <w:rStyle w:val="22"/>
          <w:rFonts w:ascii="宋体" w:hAnsi="宋体"/>
          <w:sz w:val="24"/>
        </w:rPr>
        <w:t>水质报告（</w:t>
      </w:r>
      <w:r>
        <w:rPr>
          <w:rStyle w:val="22"/>
          <w:rFonts w:hint="eastAsia"/>
          <w:sz w:val="24"/>
        </w:rPr>
        <w:t>提供的报告应有技术审核人员签字及</w:t>
      </w:r>
      <w:r>
        <w:rPr>
          <w:rStyle w:val="22"/>
          <w:sz w:val="24"/>
        </w:rPr>
        <w:t>CMA章</w:t>
      </w:r>
      <w:r>
        <w:rPr>
          <w:rStyle w:val="22"/>
          <w:rFonts w:ascii="宋体" w:hAnsi="宋体"/>
          <w:sz w:val="24"/>
        </w:rPr>
        <w:t>）</w:t>
      </w:r>
      <w:r>
        <w:rPr>
          <w:rStyle w:val="22"/>
          <w:rFonts w:hint="eastAsia" w:ascii="宋体" w:hAnsi="宋体"/>
          <w:sz w:val="24"/>
        </w:rPr>
        <w:t>，</w:t>
      </w:r>
      <w:r>
        <w:rPr>
          <w:rStyle w:val="22"/>
          <w:rFonts w:ascii="宋体" w:hAnsi="宋体"/>
          <w:sz w:val="24"/>
        </w:rPr>
        <w:t>具体清洗时间双方另行协商。</w:t>
      </w:r>
    </w:p>
    <w:p>
      <w:pPr>
        <w:tabs>
          <w:tab w:val="left" w:pos="1800"/>
        </w:tabs>
        <w:spacing w:line="360" w:lineRule="auto"/>
        <w:rPr>
          <w:rStyle w:val="22"/>
          <w:rFonts w:hint="eastAsia" w:ascii="宋体" w:hAnsi="宋体"/>
          <w:sz w:val="24"/>
        </w:rPr>
      </w:pPr>
      <w:r>
        <w:rPr>
          <w:rStyle w:val="22"/>
          <w:rFonts w:ascii="宋体" w:hAnsi="宋体"/>
          <w:sz w:val="24"/>
        </w:rPr>
        <w:t>1.</w:t>
      </w:r>
      <w:r>
        <w:rPr>
          <w:rStyle w:val="22"/>
          <w:rFonts w:hint="eastAsia" w:ascii="宋体" w:hAnsi="宋体"/>
          <w:sz w:val="24"/>
        </w:rPr>
        <w:t>6</w:t>
      </w:r>
      <w:r>
        <w:rPr>
          <w:rStyle w:val="22"/>
          <w:rFonts w:ascii="宋体" w:hAnsi="宋体"/>
          <w:sz w:val="24"/>
        </w:rPr>
        <w:t>项目</w:t>
      </w:r>
      <w:r>
        <w:rPr>
          <w:rStyle w:val="22"/>
          <w:rFonts w:hint="eastAsia" w:ascii="宋体" w:hAnsi="宋体"/>
          <w:sz w:val="24"/>
        </w:rPr>
        <w:t>服务期限采用1+1+1的形式，即先签订一年合同，在一年合同期满后，如采购人对中标人所提供的服务满意且考核合格，经甲方同意，本项目服务期限自动延期，若采购人对中标人所提供的服务不满意（即连续两个月考核结果低于75分），采购人有权单方终止合同。</w:t>
      </w:r>
    </w:p>
    <w:p>
      <w:pPr>
        <w:tabs>
          <w:tab w:val="left" w:pos="1800"/>
        </w:tabs>
        <w:spacing w:line="360" w:lineRule="auto"/>
        <w:rPr>
          <w:rStyle w:val="22"/>
          <w:rFonts w:ascii="宋体" w:hAnsi="宋体"/>
          <w:sz w:val="24"/>
        </w:rPr>
      </w:pPr>
      <w:r>
        <w:rPr>
          <w:rStyle w:val="22"/>
          <w:rFonts w:ascii="宋体" w:hAnsi="宋体"/>
          <w:sz w:val="24"/>
        </w:rPr>
        <w:t>1.</w:t>
      </w:r>
      <w:r>
        <w:rPr>
          <w:rStyle w:val="22"/>
          <w:rFonts w:hint="eastAsia" w:ascii="宋体" w:hAnsi="宋体"/>
          <w:sz w:val="24"/>
        </w:rPr>
        <w:t>7</w:t>
      </w:r>
      <w:r>
        <w:rPr>
          <w:rStyle w:val="22"/>
          <w:rFonts w:ascii="宋体" w:hAnsi="宋体"/>
          <w:sz w:val="24"/>
        </w:rPr>
        <w:t xml:space="preserve"> </w:t>
      </w:r>
      <w:r>
        <w:rPr>
          <w:rStyle w:val="22"/>
          <w:rFonts w:hint="eastAsia" w:ascii="宋体" w:hAnsi="宋体"/>
          <w:sz w:val="24"/>
        </w:rPr>
        <w:t>中标人</w:t>
      </w:r>
      <w:r>
        <w:rPr>
          <w:rStyle w:val="22"/>
          <w:rFonts w:ascii="宋体" w:hAnsi="宋体"/>
          <w:sz w:val="24"/>
        </w:rPr>
        <w:t>需提供清洗人员健康证复印件、清洗记录表，并提供水池清洗前照片和清洗后照片。</w:t>
      </w:r>
    </w:p>
    <w:p>
      <w:pPr>
        <w:tabs>
          <w:tab w:val="left" w:pos="1800"/>
        </w:tabs>
        <w:spacing w:line="360" w:lineRule="auto"/>
        <w:rPr>
          <w:rStyle w:val="22"/>
          <w:rFonts w:hint="eastAsia" w:ascii="宋体" w:hAnsi="宋体"/>
          <w:sz w:val="24"/>
        </w:rPr>
      </w:pPr>
    </w:p>
    <w:p>
      <w:pPr>
        <w:pStyle w:val="2"/>
        <w:spacing w:line="360" w:lineRule="auto"/>
        <w:rPr>
          <w:rFonts w:hint="eastAsia"/>
          <w:b/>
        </w:rPr>
      </w:pPr>
      <w:r>
        <w:rPr>
          <w:rFonts w:hint="eastAsia"/>
          <w:b/>
        </w:rPr>
        <w:t>第二条  报价要求</w:t>
      </w:r>
    </w:p>
    <w:p>
      <w:pPr>
        <w:widowControl w:val="0"/>
        <w:tabs>
          <w:tab w:val="left" w:pos="1800"/>
        </w:tabs>
        <w:spacing w:line="360" w:lineRule="auto"/>
        <w:rPr>
          <w:rStyle w:val="22"/>
          <w:rFonts w:ascii="宋体" w:hAnsi="宋体"/>
          <w:sz w:val="24"/>
        </w:rPr>
      </w:pPr>
      <w:r>
        <w:rPr>
          <w:rFonts w:hint="eastAsia"/>
        </w:rPr>
        <w:t>2.1</w:t>
      </w:r>
      <w:r>
        <w:rPr>
          <w:rFonts w:hint="eastAsia" w:ascii="宋体" w:hAnsi="宋体" w:cs="宋体"/>
          <w:sz w:val="24"/>
        </w:rPr>
        <w:t>供应商报价时应</w:t>
      </w:r>
      <w:r>
        <w:rPr>
          <w:rFonts w:hint="eastAsia" w:ascii="宋体" w:hAnsi="宋体"/>
          <w:sz w:val="24"/>
        </w:rPr>
        <w:t>包</w:t>
      </w:r>
      <w:r>
        <w:rPr>
          <w:rFonts w:hint="eastAsia" w:ascii="宋体" w:hAnsi="宋体" w:cs="宋体"/>
          <w:sz w:val="24"/>
          <w:shd w:val="clear" w:color="auto" w:fill="FFFFFF"/>
        </w:rPr>
        <w:t>括提供服务所需的材料费、运输、人工费、</w:t>
      </w:r>
      <w:r>
        <w:rPr>
          <w:rStyle w:val="22"/>
          <w:rFonts w:ascii="宋体" w:hAnsi="宋体"/>
          <w:sz w:val="24"/>
        </w:rPr>
        <w:t>水质化验费</w:t>
      </w:r>
      <w:r>
        <w:rPr>
          <w:rFonts w:hint="eastAsia" w:ascii="宋体" w:hAnsi="宋体" w:cs="宋体"/>
          <w:sz w:val="24"/>
          <w:shd w:val="clear" w:color="auto" w:fill="FFFFFF"/>
        </w:rPr>
        <w:t>、税费及一切技术和售后服务等费用，</w:t>
      </w:r>
      <w:r>
        <w:rPr>
          <w:rFonts w:hint="eastAsia" w:ascii="宋体" w:hAnsi="宋体"/>
          <w:sz w:val="24"/>
        </w:rPr>
        <w:t>报价以人民币为货币单位，单价、小计和总价应清楚表达。</w:t>
      </w:r>
    </w:p>
    <w:p>
      <w:pPr>
        <w:pStyle w:val="3"/>
        <w:spacing w:line="360" w:lineRule="auto"/>
        <w:ind w:left="0" w:leftChars="0"/>
        <w:rPr>
          <w:rFonts w:hint="eastAsia" w:ascii="宋体" w:hAnsi="宋体" w:cs="宋体"/>
          <w:sz w:val="24"/>
        </w:rPr>
      </w:pPr>
      <w:r>
        <w:rPr>
          <w:rFonts w:hint="eastAsia"/>
        </w:rPr>
        <w:t xml:space="preserve">2.2  </w:t>
      </w:r>
      <w:r>
        <w:rPr>
          <w:rFonts w:hint="eastAsia" w:ascii="宋体" w:hAnsi="宋体" w:cs="宋体"/>
          <w:sz w:val="24"/>
        </w:rPr>
        <w:t>本项目不允许提交备选方案，且均只有一次报价机会。</w:t>
      </w:r>
    </w:p>
    <w:p>
      <w:pPr>
        <w:spacing w:line="360" w:lineRule="auto"/>
        <w:rPr>
          <w:rFonts w:hint="eastAsia" w:ascii="宋体" w:hAnsi="宋体" w:cs="宋体"/>
          <w:sz w:val="24"/>
        </w:rPr>
      </w:pPr>
      <w:r>
        <w:rPr>
          <w:rFonts w:hint="eastAsia"/>
        </w:rPr>
        <w:t xml:space="preserve">2.3  </w:t>
      </w:r>
      <w:r>
        <w:rPr>
          <w:rFonts w:hint="eastAsia" w:ascii="宋体" w:hAnsi="宋体" w:cs="宋体"/>
          <w:sz w:val="24"/>
        </w:rPr>
        <w:t>本项目不接受联合体投标，服务商应独家参与投标且成交后必须由中标人自己经营，不允许分包、转包。</w:t>
      </w:r>
    </w:p>
    <w:p>
      <w:pPr>
        <w:spacing w:line="360" w:lineRule="auto"/>
        <w:rPr>
          <w:rFonts w:hint="eastAsia" w:hAnsi="宋体"/>
          <w:sz w:val="24"/>
        </w:rPr>
      </w:pPr>
      <w:r>
        <w:rPr>
          <w:rFonts w:hint="eastAsia"/>
        </w:rPr>
        <w:t xml:space="preserve">2.4  </w:t>
      </w:r>
      <w:r>
        <w:rPr>
          <w:rFonts w:hint="eastAsia" w:hAnsi="宋体" w:cs="宋体"/>
          <w:sz w:val="24"/>
        </w:rPr>
        <w:t>响应供应商报价时、或</w:t>
      </w:r>
      <w:r>
        <w:rPr>
          <w:rFonts w:hint="eastAsia" w:hAnsi="宋体"/>
          <w:color w:val="000000"/>
          <w:sz w:val="24"/>
        </w:rPr>
        <w:t>在项目实施过程中出现报价内容的任何遗漏，</w:t>
      </w:r>
      <w:r>
        <w:rPr>
          <w:rFonts w:hint="eastAsia" w:hAnsi="宋体"/>
          <w:sz w:val="24"/>
        </w:rPr>
        <w:t>报价中漏报、少报的费用，视为此项费用已隐含在投标报价中，中标人不得再向采购人收取任何费用。</w:t>
      </w:r>
    </w:p>
    <w:p>
      <w:pPr>
        <w:pStyle w:val="2"/>
        <w:rPr>
          <w:rFonts w:hint="eastAsia"/>
        </w:rPr>
      </w:pPr>
    </w:p>
    <w:p>
      <w:pPr>
        <w:pStyle w:val="3"/>
        <w:rPr>
          <w:rFonts w:hint="eastAsia"/>
        </w:rPr>
      </w:pPr>
    </w:p>
    <w:p>
      <w:pPr>
        <w:tabs>
          <w:tab w:val="left" w:pos="1800"/>
        </w:tabs>
        <w:spacing w:line="360" w:lineRule="auto"/>
        <w:rPr>
          <w:rStyle w:val="22"/>
          <w:rFonts w:hint="eastAsia" w:ascii="宋体" w:hAnsi="宋体"/>
          <w:b/>
          <w:bCs/>
          <w:sz w:val="30"/>
        </w:rPr>
      </w:pPr>
      <w:r>
        <w:rPr>
          <w:rStyle w:val="22"/>
          <w:rFonts w:hint="eastAsia" w:ascii="宋体" w:hAnsi="宋体"/>
          <w:b/>
          <w:bCs/>
          <w:sz w:val="30"/>
        </w:rPr>
        <w:t>第三条 合格供应商资格要求</w:t>
      </w:r>
    </w:p>
    <w:p>
      <w:pPr>
        <w:tabs>
          <w:tab w:val="left" w:pos="1800"/>
        </w:tabs>
        <w:spacing w:line="360" w:lineRule="auto"/>
        <w:rPr>
          <w:rStyle w:val="22"/>
          <w:rFonts w:hint="eastAsia" w:ascii="宋体" w:hAnsi="宋体" w:cs="宋体"/>
          <w:sz w:val="24"/>
        </w:rPr>
      </w:pPr>
      <w:r>
        <w:rPr>
          <w:rStyle w:val="22"/>
          <w:rFonts w:hint="eastAsia" w:ascii="宋体" w:hAnsi="宋体" w:cs="宋体"/>
          <w:sz w:val="24"/>
        </w:rPr>
        <w:t>▲3.1响应供应商须具有“清洗、消毒服务”等经营范围。</w:t>
      </w:r>
    </w:p>
    <w:p>
      <w:pPr>
        <w:tabs>
          <w:tab w:val="left" w:pos="1800"/>
        </w:tabs>
        <w:spacing w:line="360" w:lineRule="auto"/>
        <w:rPr>
          <w:rFonts w:hint="eastAsia" w:ascii="宋体" w:hAnsi="宋体" w:cs="宋体"/>
          <w:color w:val="000000"/>
          <w:sz w:val="24"/>
        </w:rPr>
      </w:pPr>
      <w:r>
        <w:rPr>
          <w:rStyle w:val="22"/>
          <w:rFonts w:hint="eastAsia" w:ascii="宋体" w:hAnsi="宋体" w:cs="宋体"/>
          <w:sz w:val="24"/>
        </w:rPr>
        <w:t>3.2</w:t>
      </w:r>
      <w:r>
        <w:rPr>
          <w:rFonts w:hint="eastAsia" w:ascii="宋体" w:hAnsi="宋体" w:cs="宋体"/>
          <w:color w:val="000000"/>
          <w:sz w:val="24"/>
        </w:rPr>
        <w:t>响应供应商必须在中华人民共和国注册的具有独立民事责任的企业法人或其他组织。</w:t>
      </w:r>
    </w:p>
    <w:p>
      <w:pPr>
        <w:tabs>
          <w:tab w:val="left" w:pos="1800"/>
        </w:tabs>
        <w:spacing w:line="360" w:lineRule="auto"/>
        <w:rPr>
          <w:rFonts w:hint="eastAsia" w:ascii="宋体" w:hAnsi="宋体" w:cs="宋体"/>
          <w:sz w:val="24"/>
        </w:rPr>
      </w:pPr>
      <w:r>
        <w:rPr>
          <w:rFonts w:hint="eastAsia" w:ascii="宋体" w:hAnsi="宋体" w:cs="宋体"/>
          <w:color w:val="000000"/>
          <w:sz w:val="24"/>
        </w:rPr>
        <w:t>3.3</w:t>
      </w:r>
      <w:r>
        <w:rPr>
          <w:rFonts w:hint="eastAsia" w:ascii="宋体" w:hAnsi="宋体" w:cs="宋体"/>
          <w:bCs/>
          <w:sz w:val="24"/>
        </w:rPr>
        <w:t>企业诚信情况</w:t>
      </w:r>
      <w:r>
        <w:rPr>
          <w:rFonts w:hint="eastAsia" w:ascii="宋体" w:hAnsi="宋体" w:cs="宋体"/>
          <w:sz w:val="24"/>
        </w:rPr>
        <w:t>在“信用中国”等正规平台查询结果良好、无不良记录。</w:t>
      </w:r>
    </w:p>
    <w:p>
      <w:pPr>
        <w:pStyle w:val="2"/>
        <w:spacing w:line="360" w:lineRule="auto"/>
        <w:rPr>
          <w:rFonts w:hint="eastAsia" w:hAnsi="宋体" w:cs="宋体"/>
          <w:color w:val="000000"/>
          <w:kern w:val="2"/>
          <w:sz w:val="24"/>
          <w:szCs w:val="24"/>
        </w:rPr>
      </w:pPr>
      <w:r>
        <w:rPr>
          <w:rFonts w:hint="eastAsia" w:hAnsi="宋体" w:cs="宋体"/>
          <w:color w:val="000000"/>
          <w:sz w:val="24"/>
          <w:szCs w:val="24"/>
        </w:rPr>
        <w:t xml:space="preserve">3.4 </w:t>
      </w:r>
      <w:r>
        <w:rPr>
          <w:rFonts w:hint="eastAsia" w:hAnsi="宋体" w:cs="宋体"/>
          <w:color w:val="000000"/>
          <w:kern w:val="2"/>
          <w:sz w:val="24"/>
          <w:szCs w:val="24"/>
        </w:rPr>
        <w:t>响应供应商须具有清洗消毒水箱相关经验，需提供相关的合同资料证明。</w:t>
      </w:r>
    </w:p>
    <w:p>
      <w:pPr>
        <w:pStyle w:val="3"/>
        <w:ind w:left="0" w:leftChars="0" w:firstLine="0" w:firstLineChars="0"/>
        <w:rPr>
          <w:rFonts w:hint="eastAsia" w:ascii="Times New Roman" w:hAnsi="宋体" w:eastAsia="宋体" w:cs="宋体"/>
          <w:color w:val="000000"/>
          <w:kern w:val="2"/>
          <w:sz w:val="24"/>
          <w:szCs w:val="24"/>
          <w:lang w:val="en-US" w:eastAsia="zh-CN" w:bidi="ar-SA"/>
        </w:rPr>
      </w:pPr>
      <w:r>
        <w:rPr>
          <w:rFonts w:hint="eastAsia" w:ascii="Times New Roman" w:hAnsi="宋体" w:eastAsia="宋体" w:cs="宋体"/>
          <w:color w:val="000000"/>
          <w:kern w:val="2"/>
          <w:sz w:val="24"/>
          <w:szCs w:val="24"/>
          <w:lang w:val="en-US" w:eastAsia="zh-CN" w:bidi="ar-SA"/>
        </w:rPr>
        <w:t>▲3.5响应供应商需提供同类项目的国家认可的CAM检测报告。</w:t>
      </w:r>
    </w:p>
    <w:p>
      <w:pPr>
        <w:tabs>
          <w:tab w:val="left" w:pos="1800"/>
        </w:tabs>
        <w:spacing w:line="360" w:lineRule="auto"/>
        <w:rPr>
          <w:rFonts w:hint="eastAsia" w:ascii="宋体" w:hAnsi="宋体" w:cs="宋体"/>
          <w:sz w:val="24"/>
        </w:rPr>
      </w:pPr>
    </w:p>
    <w:p>
      <w:pPr>
        <w:rPr>
          <w:rFonts w:hint="eastAsia"/>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四</w:t>
      </w:r>
      <w:r>
        <w:rPr>
          <w:rStyle w:val="22"/>
          <w:rFonts w:ascii="宋体" w:hAnsi="宋体"/>
          <w:b/>
          <w:bCs/>
          <w:sz w:val="30"/>
        </w:rPr>
        <w:t xml:space="preserve">条 </w:t>
      </w:r>
      <w:r>
        <w:rPr>
          <w:rStyle w:val="22"/>
          <w:rFonts w:hint="eastAsia" w:ascii="宋体" w:hAnsi="宋体"/>
          <w:b/>
          <w:bCs/>
          <w:sz w:val="30"/>
        </w:rPr>
        <w:t>响应时间</w:t>
      </w:r>
    </w:p>
    <w:p>
      <w:pPr>
        <w:tabs>
          <w:tab w:val="left" w:pos="1800"/>
        </w:tabs>
        <w:spacing w:line="360" w:lineRule="auto"/>
        <w:rPr>
          <w:rStyle w:val="22"/>
          <w:rFonts w:ascii="宋体" w:hAnsi="宋体"/>
          <w:sz w:val="24"/>
        </w:rPr>
      </w:pPr>
      <w:r>
        <w:rPr>
          <w:rStyle w:val="22"/>
          <w:rFonts w:hint="eastAsia" w:ascii="宋体" w:hAnsi="宋体"/>
          <w:sz w:val="24"/>
        </w:rPr>
        <w:t>4.1</w:t>
      </w:r>
      <w:r>
        <w:rPr>
          <w:rStyle w:val="22"/>
          <w:rFonts w:ascii="宋体" w:hAnsi="宋体"/>
          <w:sz w:val="24"/>
        </w:rPr>
        <w:t>每次接到采购人开工通知后两天内完成。</w:t>
      </w:r>
    </w:p>
    <w:p>
      <w:pPr>
        <w:pStyle w:val="2"/>
        <w:rPr>
          <w:rFonts w:hint="eastAsia"/>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五</w:t>
      </w:r>
      <w:r>
        <w:rPr>
          <w:rStyle w:val="22"/>
          <w:rFonts w:ascii="宋体" w:hAnsi="宋体"/>
          <w:b/>
          <w:bCs/>
          <w:sz w:val="30"/>
        </w:rPr>
        <w:t>条  项目依据和验收要求</w:t>
      </w:r>
    </w:p>
    <w:p>
      <w:pPr>
        <w:tabs>
          <w:tab w:val="left" w:pos="1800"/>
        </w:tabs>
        <w:spacing w:line="360" w:lineRule="auto"/>
        <w:rPr>
          <w:rStyle w:val="22"/>
          <w:rFonts w:ascii="宋体" w:hAnsi="宋体"/>
          <w:sz w:val="24"/>
        </w:rPr>
      </w:pPr>
      <w:r>
        <w:rPr>
          <w:rStyle w:val="22"/>
          <w:rFonts w:hint="eastAsia" w:ascii="宋体" w:hAnsi="宋体"/>
          <w:bCs/>
          <w:sz w:val="24"/>
        </w:rPr>
        <w:t>5</w:t>
      </w:r>
      <w:r>
        <w:rPr>
          <w:rStyle w:val="22"/>
          <w:rFonts w:ascii="宋体" w:hAnsi="宋体"/>
          <w:bCs/>
          <w:sz w:val="24"/>
        </w:rPr>
        <w:t>.1根据采购人提供的资料文件、场地及要求对指定水</w:t>
      </w:r>
      <w:r>
        <w:rPr>
          <w:rStyle w:val="22"/>
          <w:rFonts w:ascii="宋体" w:hAnsi="宋体"/>
          <w:sz w:val="24"/>
        </w:rPr>
        <w:t>箱</w:t>
      </w:r>
      <w:r>
        <w:rPr>
          <w:rStyle w:val="22"/>
          <w:rFonts w:ascii="宋体" w:hAnsi="宋体"/>
          <w:bCs/>
          <w:sz w:val="24"/>
        </w:rPr>
        <w:t>进行清洗、消毒及水样化验，</w:t>
      </w:r>
      <w:r>
        <w:rPr>
          <w:rStyle w:val="22"/>
          <w:rFonts w:ascii="宋体" w:hAnsi="宋体"/>
          <w:sz w:val="24"/>
        </w:rPr>
        <w:t>水质报告由有二次供水检测资质的第三方检测机构出具，水质化验项目指标包括（但不限于）①菌落总数、②总大肠菌群、③浑浊度、④色度、⑤嗅和味、⑥游离余氯、⑦PH、⑧肉眼可见物。</w:t>
      </w:r>
    </w:p>
    <w:p>
      <w:pPr>
        <w:tabs>
          <w:tab w:val="left" w:pos="1800"/>
        </w:tabs>
        <w:spacing w:line="360" w:lineRule="auto"/>
        <w:rPr>
          <w:rStyle w:val="22"/>
          <w:rFonts w:hint="eastAsia" w:ascii="宋体" w:hAnsi="宋体"/>
          <w:sz w:val="24"/>
        </w:rPr>
      </w:pPr>
      <w:r>
        <w:rPr>
          <w:rStyle w:val="22"/>
          <w:rFonts w:hint="eastAsia" w:ascii="宋体" w:hAnsi="宋体"/>
          <w:sz w:val="24"/>
        </w:rPr>
        <w:t>★5</w:t>
      </w:r>
      <w:r>
        <w:rPr>
          <w:rStyle w:val="22"/>
          <w:rFonts w:ascii="宋体" w:hAnsi="宋体"/>
          <w:sz w:val="24"/>
        </w:rPr>
        <w:t>.2每期项目完成后中标人向采购人提交水样化验合格</w:t>
      </w:r>
      <w:r>
        <w:rPr>
          <w:rStyle w:val="22"/>
          <w:rFonts w:hint="eastAsia" w:ascii="宋体" w:hAnsi="宋体"/>
          <w:sz w:val="24"/>
        </w:rPr>
        <w:t>报告（水质报告需有正规资质检测公司，检测完成后出具的含CMA章的报告）</w:t>
      </w:r>
      <w:r>
        <w:rPr>
          <w:rStyle w:val="22"/>
          <w:rFonts w:ascii="宋体" w:hAnsi="宋体"/>
          <w:sz w:val="24"/>
        </w:rPr>
        <w:t>。</w:t>
      </w:r>
    </w:p>
    <w:p>
      <w:pPr>
        <w:tabs>
          <w:tab w:val="left" w:pos="1800"/>
        </w:tabs>
        <w:spacing w:line="360" w:lineRule="auto"/>
        <w:rPr>
          <w:rStyle w:val="22"/>
          <w:rFonts w:hint="eastAsia" w:ascii="宋体" w:hAnsi="宋体"/>
          <w:sz w:val="24"/>
        </w:rPr>
      </w:pPr>
      <w:r>
        <w:rPr>
          <w:rStyle w:val="22"/>
          <w:rFonts w:hint="eastAsia" w:ascii="宋体" w:hAnsi="宋体"/>
          <w:sz w:val="24"/>
        </w:rPr>
        <w:t>5.3</w:t>
      </w:r>
      <w:r>
        <w:rPr>
          <w:rStyle w:val="22"/>
          <w:rFonts w:ascii="宋体" w:hAnsi="宋体"/>
          <w:sz w:val="24"/>
        </w:rPr>
        <w:t>负责按时、按质、按量完成清洗项目，保证清洗后蓄水池水质达到国家生活用水卫生标准的有关指标，</w:t>
      </w:r>
      <w:r>
        <w:rPr>
          <w:rStyle w:val="22"/>
          <w:rFonts w:hint="eastAsia" w:ascii="宋体" w:hAnsi="宋体"/>
          <w:sz w:val="24"/>
        </w:rPr>
        <w:t>验收以水样化验报告结果为准，不得弄虚作假，</w:t>
      </w:r>
      <w:r>
        <w:rPr>
          <w:rStyle w:val="22"/>
          <w:rFonts w:ascii="宋体" w:hAnsi="宋体"/>
          <w:sz w:val="24"/>
        </w:rPr>
        <w:t>如清洗后（市政管网水质指标正常情况下）水质达不到国家有关指标，</w:t>
      </w:r>
      <w:r>
        <w:rPr>
          <w:rStyle w:val="22"/>
          <w:rFonts w:hint="eastAsia" w:ascii="宋体" w:hAnsi="宋体"/>
          <w:sz w:val="24"/>
        </w:rPr>
        <w:t>若水质报告显示不合格，供应商应无偿再次进行清洗消毒，直至水样化验合格为止，期间产生的费用由供应商承担。</w:t>
      </w:r>
    </w:p>
    <w:p>
      <w:pPr>
        <w:tabs>
          <w:tab w:val="left" w:pos="1800"/>
        </w:tabs>
        <w:spacing w:line="360" w:lineRule="auto"/>
        <w:rPr>
          <w:rStyle w:val="22"/>
          <w:rFonts w:hint="eastAsia" w:ascii="宋体" w:hAnsi="宋体"/>
          <w:sz w:val="24"/>
        </w:rPr>
      </w:pPr>
      <w:r>
        <w:rPr>
          <w:rStyle w:val="22"/>
          <w:rFonts w:hint="eastAsia" w:ascii="宋体" w:hAnsi="宋体"/>
          <w:sz w:val="24"/>
        </w:rPr>
        <w:t>5.4中标人</w:t>
      </w:r>
      <w:r>
        <w:rPr>
          <w:rStyle w:val="22"/>
          <w:rFonts w:ascii="宋体" w:hAnsi="宋体"/>
          <w:sz w:val="24"/>
        </w:rPr>
        <w:t>在现场的施工按施工安全规范做好施工质量、安全管理，在施工期间发生施工质量、安全事故，均由中标人负责。</w:t>
      </w:r>
    </w:p>
    <w:p>
      <w:pPr>
        <w:tabs>
          <w:tab w:val="left" w:pos="1800"/>
        </w:tabs>
        <w:spacing w:line="360" w:lineRule="auto"/>
        <w:rPr>
          <w:rStyle w:val="22"/>
          <w:rFonts w:ascii="宋体" w:hAnsi="宋体"/>
          <w:sz w:val="24"/>
        </w:rPr>
      </w:pPr>
      <w:r>
        <w:rPr>
          <w:rStyle w:val="22"/>
          <w:rFonts w:hint="eastAsia" w:ascii="宋体" w:hAnsi="宋体"/>
          <w:sz w:val="24"/>
        </w:rPr>
        <w:t>5.5中标人</w:t>
      </w:r>
      <w:r>
        <w:rPr>
          <w:rStyle w:val="22"/>
          <w:rFonts w:ascii="宋体" w:hAnsi="宋体"/>
          <w:sz w:val="24"/>
        </w:rPr>
        <w:t>在施工过程中，应该遵守采购人规章制度，文明施工，不得损坏采购人现有设备、设施，如有在拖工过程损坏，中标人应照价赔偿。</w:t>
      </w:r>
    </w:p>
    <w:p>
      <w:pPr>
        <w:tabs>
          <w:tab w:val="left" w:pos="1800"/>
        </w:tabs>
        <w:spacing w:line="360" w:lineRule="auto"/>
        <w:rPr>
          <w:rStyle w:val="22"/>
          <w:rFonts w:ascii="宋体" w:hAnsi="宋体"/>
          <w:sz w:val="24"/>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六</w:t>
      </w:r>
      <w:r>
        <w:rPr>
          <w:rStyle w:val="22"/>
          <w:rFonts w:ascii="宋体" w:hAnsi="宋体"/>
          <w:b/>
          <w:bCs/>
          <w:sz w:val="30"/>
        </w:rPr>
        <w:t xml:space="preserve">条 </w:t>
      </w:r>
      <w:r>
        <w:rPr>
          <w:rStyle w:val="22"/>
          <w:rFonts w:hint="eastAsia" w:ascii="宋体" w:hAnsi="宋体"/>
          <w:b/>
          <w:bCs/>
          <w:sz w:val="30"/>
        </w:rPr>
        <w:t>服务质量监管</w:t>
      </w:r>
    </w:p>
    <w:p>
      <w:pPr>
        <w:tabs>
          <w:tab w:val="left" w:pos="1800"/>
        </w:tabs>
        <w:spacing w:line="360" w:lineRule="auto"/>
        <w:rPr>
          <w:rStyle w:val="22"/>
          <w:rFonts w:hint="eastAsia" w:ascii="宋体" w:hAnsi="宋体"/>
          <w:sz w:val="24"/>
        </w:rPr>
      </w:pPr>
      <w:r>
        <w:rPr>
          <w:rStyle w:val="22"/>
          <w:rFonts w:hint="eastAsia" w:ascii="宋体" w:hAnsi="宋体"/>
          <w:sz w:val="24"/>
        </w:rPr>
        <w:t>6.1由采购人每次对中标人的服务质量进行监督考核（详见附表一《水箱清洗消毒服务质量考评表》），考核结果与当次的服务费挂钩，中标人应积极配合采购人的监督和考评，不得以任何理由拒绝或阻挠采购人的考核。</w:t>
      </w:r>
    </w:p>
    <w:p>
      <w:pPr>
        <w:pStyle w:val="2"/>
        <w:spacing w:line="360" w:lineRule="auto"/>
        <w:rPr>
          <w:rStyle w:val="22"/>
          <w:rFonts w:hint="eastAsia" w:hAnsi="宋体"/>
          <w:kern w:val="2"/>
          <w:sz w:val="24"/>
          <w:szCs w:val="24"/>
        </w:rPr>
      </w:pPr>
      <w:r>
        <w:rPr>
          <w:rStyle w:val="22"/>
          <w:rFonts w:hint="eastAsia" w:hAnsi="宋体"/>
          <w:kern w:val="2"/>
          <w:sz w:val="24"/>
          <w:szCs w:val="24"/>
        </w:rPr>
        <w:t>6.2考评要求：考评总分为100分，考评分按实际考评得分计算。考核结果≥90分为合格；考核结果为80-89分的，中标人应对存在问题限时整改，同一问题连续出现两次的，采购人有权对中标人按500元/次进行扣罚；考核结果为70-79分的，采购人有权对中标人按1000元/次进行扣罚，如果中标人连续2个月服务质量低于75分或因中标人的责任发生安全事件且造成严重后果的，采购人有权拒绝支付服务费且单方提前终止合同，并继续追究中标人相关责任。</w:t>
      </w:r>
    </w:p>
    <w:p>
      <w:pPr>
        <w:pStyle w:val="3"/>
        <w:spacing w:line="360" w:lineRule="auto"/>
        <w:ind w:left="0" w:leftChars="0"/>
        <w:jc w:val="left"/>
        <w:rPr>
          <w:rStyle w:val="22"/>
          <w:rFonts w:hint="eastAsia" w:ascii="宋体" w:hAnsi="宋体"/>
          <w:sz w:val="24"/>
        </w:rPr>
      </w:pPr>
      <w:r>
        <w:rPr>
          <w:rStyle w:val="22"/>
          <w:rFonts w:hint="eastAsia" w:ascii="宋体" w:hAnsi="宋体"/>
          <w:sz w:val="24"/>
        </w:rPr>
        <w:t>6.3如中标人未按要求落实相关清洗消毒服务，存在弄虚作假行为的，采购人有权进行相应的扣罚：第一次发现扣罚500元，第二次发现2倍扣罚，第三次发现3倍扣罚，以此类推。</w:t>
      </w:r>
    </w:p>
    <w:p>
      <w:pPr>
        <w:spacing w:line="360" w:lineRule="auto"/>
        <w:rPr>
          <w:rFonts w:hint="eastAsia"/>
        </w:rPr>
      </w:pPr>
      <w:r>
        <w:rPr>
          <w:rFonts w:hint="eastAsia"/>
        </w:rPr>
        <w:t>附表一：</w:t>
      </w:r>
    </w:p>
    <w:p>
      <w:pPr>
        <w:pStyle w:val="3"/>
        <w:ind w:left="0" w:leftChars="0"/>
        <w:jc w:val="center"/>
        <w:rPr>
          <w:rFonts w:ascii="宋体" w:hAnsi="宋体" w:cs="宋体"/>
          <w:b/>
          <w:sz w:val="30"/>
          <w:szCs w:val="30"/>
        </w:rPr>
      </w:pPr>
      <w:r>
        <w:rPr>
          <w:rFonts w:hint="eastAsia" w:ascii="宋体" w:hAnsi="宋体" w:cs="宋体"/>
          <w:b/>
          <w:sz w:val="30"/>
          <w:szCs w:val="30"/>
        </w:rPr>
        <w:t>水箱清洗消毒服务质量考评表</w:t>
      </w:r>
    </w:p>
    <w:p>
      <w:pPr>
        <w:spacing w:line="360" w:lineRule="auto"/>
        <w:jc w:val="center"/>
        <w:rPr>
          <w:rFonts w:ascii="宋体" w:hAnsi="宋体"/>
          <w:sz w:val="24"/>
        </w:rPr>
      </w:pPr>
    </w:p>
    <w:tbl>
      <w:tblPr>
        <w:tblStyle w:val="14"/>
        <w:tblW w:w="8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54"/>
        <w:gridCol w:w="1134"/>
        <w:gridCol w:w="198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04" w:type="dxa"/>
            <w:shd w:val="clear" w:color="auto" w:fill="auto"/>
            <w:noWrap w:val="0"/>
            <w:vAlign w:val="center"/>
          </w:tcPr>
          <w:p>
            <w:pPr>
              <w:spacing w:line="260" w:lineRule="exact"/>
              <w:jc w:val="center"/>
              <w:rPr>
                <w:rFonts w:ascii="宋体" w:hAnsi="宋体" w:cs="宋体"/>
                <w:b/>
                <w:bCs/>
                <w:szCs w:val="21"/>
              </w:rPr>
            </w:pPr>
            <w:r>
              <w:rPr>
                <w:rFonts w:hint="eastAsia" w:ascii="宋体" w:hAnsi="宋体" w:cs="宋体"/>
                <w:b/>
                <w:bCs/>
                <w:szCs w:val="21"/>
              </w:rPr>
              <w:t>项目</w:t>
            </w:r>
          </w:p>
        </w:tc>
        <w:tc>
          <w:tcPr>
            <w:tcW w:w="2154" w:type="dxa"/>
            <w:shd w:val="clear" w:color="auto" w:fill="auto"/>
            <w:noWrap w:val="0"/>
            <w:vAlign w:val="center"/>
          </w:tcPr>
          <w:p>
            <w:pPr>
              <w:spacing w:line="260" w:lineRule="exact"/>
              <w:jc w:val="center"/>
              <w:rPr>
                <w:rFonts w:ascii="宋体" w:hAnsi="宋体" w:cs="宋体"/>
                <w:b/>
                <w:bCs/>
                <w:szCs w:val="21"/>
              </w:rPr>
            </w:pPr>
            <w:r>
              <w:rPr>
                <w:rFonts w:hint="eastAsia" w:ascii="宋体" w:hAnsi="宋体" w:cs="宋体"/>
                <w:b/>
                <w:bCs/>
                <w:szCs w:val="21"/>
              </w:rPr>
              <w:t>考评标准</w:t>
            </w:r>
          </w:p>
        </w:tc>
        <w:tc>
          <w:tcPr>
            <w:tcW w:w="1134" w:type="dxa"/>
            <w:shd w:val="clear" w:color="auto" w:fill="auto"/>
            <w:noWrap/>
            <w:vAlign w:val="center"/>
          </w:tcPr>
          <w:p>
            <w:pPr>
              <w:spacing w:line="260" w:lineRule="exact"/>
              <w:jc w:val="center"/>
              <w:rPr>
                <w:rFonts w:ascii="宋体" w:hAnsi="宋体" w:cs="宋体"/>
                <w:b/>
                <w:bCs/>
                <w:szCs w:val="21"/>
              </w:rPr>
            </w:pPr>
            <w:r>
              <w:rPr>
                <w:rFonts w:hint="eastAsia" w:ascii="宋体" w:hAnsi="宋体" w:cs="宋体"/>
                <w:b/>
                <w:bCs/>
                <w:szCs w:val="21"/>
              </w:rPr>
              <w:t>分值</w:t>
            </w:r>
          </w:p>
        </w:tc>
        <w:tc>
          <w:tcPr>
            <w:tcW w:w="1984" w:type="dxa"/>
            <w:shd w:val="clear" w:color="auto" w:fill="auto"/>
            <w:noWrap w:val="0"/>
            <w:vAlign w:val="center"/>
          </w:tcPr>
          <w:p>
            <w:pPr>
              <w:spacing w:line="260" w:lineRule="exact"/>
              <w:jc w:val="center"/>
              <w:rPr>
                <w:rFonts w:ascii="宋体" w:hAnsi="宋体" w:cs="宋体"/>
                <w:b/>
                <w:bCs/>
                <w:szCs w:val="21"/>
              </w:rPr>
            </w:pPr>
            <w:r>
              <w:rPr>
                <w:rFonts w:hint="eastAsia" w:ascii="宋体" w:hAnsi="宋体" w:cs="宋体"/>
                <w:b/>
                <w:bCs/>
                <w:szCs w:val="21"/>
              </w:rPr>
              <w:t>考核方法</w:t>
            </w:r>
          </w:p>
        </w:tc>
        <w:tc>
          <w:tcPr>
            <w:tcW w:w="1647" w:type="dxa"/>
            <w:noWrap w:val="0"/>
            <w:vAlign w:val="center"/>
          </w:tcPr>
          <w:p>
            <w:pPr>
              <w:spacing w:line="260" w:lineRule="exact"/>
              <w:jc w:val="center"/>
              <w:rPr>
                <w:rFonts w:ascii="宋体" w:hAnsi="宋体" w:cs="宋体"/>
                <w:b/>
                <w:bCs/>
                <w:szCs w:val="21"/>
              </w:rPr>
            </w:pPr>
            <w:r>
              <w:rPr>
                <w:rFonts w:hint="eastAsia" w:ascii="宋体" w:hAnsi="宋体" w:cs="宋体"/>
                <w:b/>
                <w:bCs/>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04" w:type="dxa"/>
            <w:shd w:val="clear" w:color="auto" w:fill="auto"/>
            <w:noWrap w:val="0"/>
            <w:vAlign w:val="center"/>
          </w:tcPr>
          <w:p>
            <w:pPr>
              <w:tabs>
                <w:tab w:val="left" w:pos="7725"/>
              </w:tabs>
              <w:snapToGrid w:val="0"/>
              <w:spacing w:line="240" w:lineRule="exact"/>
              <w:jc w:val="center"/>
              <w:rPr>
                <w:rFonts w:ascii="宋体" w:hAnsi="宋体" w:cs="宋体"/>
                <w:bCs/>
                <w:szCs w:val="21"/>
              </w:rPr>
            </w:pPr>
            <w:r>
              <w:rPr>
                <w:rFonts w:hint="eastAsia" w:ascii="宋体" w:hAnsi="宋体" w:cs="宋体"/>
                <w:bCs/>
                <w:szCs w:val="21"/>
              </w:rPr>
              <w:t>一、岗位职责（30分）</w:t>
            </w:r>
          </w:p>
        </w:tc>
        <w:tc>
          <w:tcPr>
            <w:tcW w:w="2154" w:type="dxa"/>
            <w:shd w:val="clear" w:color="auto" w:fill="auto"/>
            <w:noWrap w:val="0"/>
            <w:vAlign w:val="center"/>
          </w:tcPr>
          <w:p>
            <w:pPr>
              <w:tabs>
                <w:tab w:val="left" w:pos="7725"/>
              </w:tabs>
              <w:snapToGrid w:val="0"/>
              <w:spacing w:line="240" w:lineRule="exact"/>
              <w:rPr>
                <w:rFonts w:ascii="宋体" w:hAnsi="宋体" w:cs="宋体"/>
                <w:bCs/>
                <w:szCs w:val="21"/>
              </w:rPr>
            </w:pPr>
            <w:r>
              <w:rPr>
                <w:rFonts w:hint="eastAsia" w:ascii="宋体" w:hAnsi="宋体" w:cs="宋体"/>
                <w:szCs w:val="21"/>
              </w:rPr>
              <w:t>工作人员根据</w:t>
            </w:r>
            <w:r>
              <w:rPr>
                <w:rFonts w:hint="eastAsia" w:ascii="宋体" w:hAnsi="宋体" w:cs="宋体"/>
                <w:szCs w:val="21"/>
                <w:lang w:val="en-GB"/>
              </w:rPr>
              <w:t>服务</w:t>
            </w:r>
            <w:r>
              <w:rPr>
                <w:rFonts w:hint="eastAsia" w:ascii="宋体" w:hAnsi="宋体" w:cs="宋体"/>
                <w:szCs w:val="21"/>
              </w:rPr>
              <w:t>内容及</w:t>
            </w:r>
            <w:r>
              <w:rPr>
                <w:rFonts w:hint="eastAsia" w:ascii="宋体" w:hAnsi="宋体" w:cs="宋体"/>
                <w:szCs w:val="21"/>
                <w:lang w:val="en-GB"/>
              </w:rPr>
              <w:t>要求</w:t>
            </w:r>
            <w:r>
              <w:rPr>
                <w:rFonts w:hint="eastAsia" w:ascii="宋体" w:hAnsi="宋体" w:cs="宋体"/>
                <w:szCs w:val="21"/>
              </w:rPr>
              <w:t>按质按量完成本岗位职责。包括对综合楼、妇幼楼、内科楼的冷水箱、热水箱清洗消毒。</w:t>
            </w:r>
          </w:p>
        </w:tc>
        <w:tc>
          <w:tcPr>
            <w:tcW w:w="1134" w:type="dxa"/>
            <w:shd w:val="clear" w:color="auto" w:fill="auto"/>
            <w:noWrap/>
            <w:vAlign w:val="center"/>
          </w:tcPr>
          <w:p>
            <w:pPr>
              <w:tabs>
                <w:tab w:val="left" w:pos="7725"/>
              </w:tabs>
              <w:snapToGrid w:val="0"/>
              <w:spacing w:line="240" w:lineRule="exact"/>
              <w:jc w:val="center"/>
              <w:rPr>
                <w:rFonts w:ascii="宋体" w:hAnsi="宋体" w:cs="宋体"/>
                <w:bCs/>
                <w:szCs w:val="21"/>
              </w:rPr>
            </w:pPr>
            <w:r>
              <w:rPr>
                <w:rFonts w:hint="eastAsia" w:ascii="宋体" w:hAnsi="宋体" w:cs="宋体"/>
                <w:bCs/>
                <w:szCs w:val="21"/>
              </w:rPr>
              <w:t>30</w:t>
            </w:r>
          </w:p>
        </w:tc>
        <w:tc>
          <w:tcPr>
            <w:tcW w:w="1984" w:type="dxa"/>
            <w:shd w:val="clear" w:color="auto" w:fill="auto"/>
            <w:noWrap w:val="0"/>
            <w:vAlign w:val="center"/>
          </w:tcPr>
          <w:p>
            <w:pPr>
              <w:tabs>
                <w:tab w:val="left" w:pos="7725"/>
              </w:tabs>
              <w:snapToGrid w:val="0"/>
              <w:spacing w:line="240" w:lineRule="exact"/>
              <w:rPr>
                <w:rFonts w:ascii="宋体" w:hAnsi="宋体" w:cs="宋体"/>
                <w:bCs/>
                <w:szCs w:val="21"/>
              </w:rPr>
            </w:pPr>
            <w:r>
              <w:rPr>
                <w:rFonts w:hint="eastAsia" w:ascii="宋体" w:hAnsi="宋体" w:cs="宋体"/>
                <w:szCs w:val="21"/>
              </w:rPr>
              <w:t>一项工作不符合要求的，扣1分/次，如因清洗消毒不到位引起公共卫生事件，扣30分，扣完该项分为止。</w:t>
            </w:r>
          </w:p>
        </w:tc>
        <w:tc>
          <w:tcPr>
            <w:tcW w:w="1647" w:type="dxa"/>
            <w:noWrap w:val="0"/>
            <w:vAlign w:val="center"/>
          </w:tcPr>
          <w:p>
            <w:pPr>
              <w:tabs>
                <w:tab w:val="left" w:pos="7725"/>
              </w:tabs>
              <w:snapToGrid w:val="0"/>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304" w:type="dxa"/>
            <w:vMerge w:val="restart"/>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二、人员在岗（20分）</w:t>
            </w: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项目负责人要坚守工作岗位，在工作日请假休息或途中离开医院的，应向采购人主管部门报备并做好工作安排。</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管理人员无故离岗或休息不向采购人主管部门报备的，一次扣5分；如因管理人员休息而工作安排不到位导致不良后果的，扣减10分/次。</w:t>
            </w:r>
          </w:p>
        </w:tc>
        <w:tc>
          <w:tcPr>
            <w:tcW w:w="1647" w:type="dxa"/>
            <w:noWrap w:val="0"/>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304" w:type="dxa"/>
            <w:vMerge w:val="continue"/>
            <w:shd w:val="clear" w:color="auto" w:fill="auto"/>
            <w:noWrap/>
            <w:vAlign w:val="center"/>
          </w:tcPr>
          <w:p>
            <w:pPr>
              <w:tabs>
                <w:tab w:val="left" w:pos="7725"/>
              </w:tabs>
              <w:snapToGrid w:val="0"/>
              <w:spacing w:line="240" w:lineRule="exact"/>
              <w:jc w:val="center"/>
              <w:rPr>
                <w:rFonts w:ascii="宋体" w:hAnsi="宋体" w:cs="宋体"/>
                <w:szCs w:val="21"/>
              </w:rPr>
            </w:pP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岗位核查：清洗消毒作业不得少于2人，</w:t>
            </w:r>
            <w:r>
              <w:rPr>
                <w:rFonts w:hint="eastAsia" w:ascii="宋体" w:hAnsi="宋体" w:cs="宋体"/>
                <w:szCs w:val="21"/>
                <w:shd w:val="clear" w:color="auto" w:fill="FFFFFF"/>
              </w:rPr>
              <w:t>由采购人主管部门每次对中标人的作业人数进行核查，不得存在人数不足或弄虚作假情况，不得未经采购人主管部门同意随意更换项目作业人员。</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shd w:val="clear" w:color="auto" w:fill="FFFFFF"/>
              </w:rPr>
              <w:t>发现作业人数不足的，每发现一次扣5分，发现未经同意随意更换项目作业人员，扣5分/次。</w:t>
            </w:r>
          </w:p>
        </w:tc>
        <w:tc>
          <w:tcPr>
            <w:tcW w:w="1647" w:type="dxa"/>
            <w:noWrap w:val="0"/>
            <w:vAlign w:val="center"/>
          </w:tcPr>
          <w:p>
            <w:pPr>
              <w:spacing w:line="240" w:lineRule="exact"/>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szCs w:val="21"/>
              </w:rPr>
              <w:t>三、质量管理（15分）</w:t>
            </w: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每次按照清洗消毒的范围及频次进行消毒，以清洗消毒记录表、水质检测报告来核查消毒范围频次以及消毒效果，不得弄虚作假。清洁消毒完成后，需对环境进行清洁，设施部件恢复原状。</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15</w:t>
            </w:r>
          </w:p>
        </w:tc>
        <w:tc>
          <w:tcPr>
            <w:tcW w:w="1984" w:type="dxa"/>
            <w:shd w:val="clear" w:color="auto" w:fill="auto"/>
            <w:noWrap w:val="0"/>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一项工作不符合要求的，扣1分/次，消毒效果不合格的，按要求重新消毒，直至验收合格，若发现弄虚作假，扣10分/次，扣完为止。</w:t>
            </w:r>
          </w:p>
        </w:tc>
        <w:tc>
          <w:tcPr>
            <w:tcW w:w="1647" w:type="dxa"/>
            <w:noWrap w:val="0"/>
            <w:vAlign w:val="center"/>
          </w:tcPr>
          <w:p>
            <w:pPr>
              <w:spacing w:line="240" w:lineRule="exact"/>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四、资料提交（10分）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按时</w:t>
            </w:r>
            <w:r>
              <w:rPr>
                <w:rFonts w:hint="eastAsia" w:ascii="宋体" w:hAnsi="宋体" w:cs="宋体"/>
                <w:szCs w:val="21"/>
                <w:lang w:val="en-GB"/>
              </w:rPr>
              <w:t>提交</w:t>
            </w:r>
            <w:r>
              <w:rPr>
                <w:rFonts w:ascii="宋体" w:hAnsi="宋体" w:cs="宋体"/>
                <w:szCs w:val="21"/>
              </w:rPr>
              <w:t>清洗人员健康证复印件、清洗记录表，并提供水池清洗前照片和清洗后照片以及水质检测报告</w:t>
            </w:r>
            <w:r>
              <w:rPr>
                <w:rFonts w:hint="eastAsia" w:ascii="宋体" w:hAnsi="宋体" w:cs="宋体"/>
                <w:szCs w:val="21"/>
              </w:rPr>
              <w:t>。</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未按时交齐相关资料的，扣2分/次，扣完为止。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五、员工培训（4分）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公司有培训计划并针对员工进行实施，员工熟悉本岗位工作职责和流程及要求、相关法律法规、应急预案和处理方法等，应急处理培训合格率达100%。新入职员工应培训合格方可上岗作业。</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4</w:t>
            </w:r>
          </w:p>
        </w:tc>
        <w:tc>
          <w:tcPr>
            <w:tcW w:w="198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不熟悉职责、工作流程的，扣2分/人；新入职员工未经培训或培训后不熟悉工作独上岗，扣减1分/人，扣完为止。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六、质量持续改进（10分）</w:t>
            </w: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对存在问题及时改进，如收到采购人发出的整改通知函，应按期整改并提交整改意见。发生不良事件应1小时内采取补救措施将影响降到最低，处理结束后，针对发生原因进行分析并持续改进，在一周内提交整改报告到采购人主管部门。</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未按要求处理或改进的，扣1分/次；如果因公司责任再次发生同类不良事件的，扣3分/项，扣完为止。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30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七、劳动纪律（6分）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中标人的工作人员应遵守采购人的各项规章制度及疫情防控要求，服从指挥，配合采购人的工作要求，积极响应采购人的疫情防控措施，接受采购人的质量监督和检查。</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6</w:t>
            </w:r>
          </w:p>
        </w:tc>
        <w:tc>
          <w:tcPr>
            <w:tcW w:w="198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一人一项不符合扣0.5分/次；扣完该项为止；同类问题出现≥3次扣3/人.次，扣完该项分为止。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0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八、应急响应（5分）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提供24小时响应服务。非正常上班时间遇临时性或突发性的工作，应在接到采购人通知1小时内到达现场处理，到场后2小时内处理完毕。</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5</w:t>
            </w:r>
          </w:p>
        </w:tc>
        <w:tc>
          <w:tcPr>
            <w:tcW w:w="198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未按要求响应或未按时到达现场处理的，每发生一次扣1分，扣完为止。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04" w:type="dxa"/>
            <w:shd w:val="clear" w:color="auto" w:fill="auto"/>
            <w:noWrap/>
            <w:vAlign w:val="center"/>
          </w:tcPr>
          <w:p>
            <w:pPr>
              <w:spacing w:line="260" w:lineRule="exact"/>
              <w:jc w:val="center"/>
              <w:rPr>
                <w:rFonts w:ascii="宋体" w:hAnsi="宋体" w:cs="宋体"/>
                <w:szCs w:val="21"/>
              </w:rPr>
            </w:pPr>
          </w:p>
        </w:tc>
        <w:tc>
          <w:tcPr>
            <w:tcW w:w="2154" w:type="dxa"/>
            <w:shd w:val="clear" w:color="auto" w:fill="auto"/>
            <w:noWrap w:val="0"/>
            <w:vAlign w:val="center"/>
          </w:tcPr>
          <w:p>
            <w:pPr>
              <w:spacing w:line="260" w:lineRule="exact"/>
              <w:jc w:val="center"/>
              <w:rPr>
                <w:rFonts w:ascii="宋体" w:hAnsi="宋体" w:cs="宋体"/>
                <w:szCs w:val="21"/>
              </w:rPr>
            </w:pPr>
            <w:r>
              <w:rPr>
                <w:rFonts w:hint="eastAsia" w:ascii="宋体" w:hAnsi="宋体" w:cs="宋体"/>
                <w:b/>
                <w:bCs/>
                <w:szCs w:val="21"/>
              </w:rPr>
              <w:t>合计</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b/>
                <w:bCs/>
                <w:szCs w:val="21"/>
              </w:rPr>
              <w:t>100</w:t>
            </w:r>
          </w:p>
        </w:tc>
        <w:tc>
          <w:tcPr>
            <w:tcW w:w="1984" w:type="dxa"/>
            <w:shd w:val="clear" w:color="auto" w:fill="auto"/>
            <w:noWrap w:val="0"/>
            <w:vAlign w:val="center"/>
          </w:tcPr>
          <w:p>
            <w:pPr>
              <w:spacing w:line="260" w:lineRule="exact"/>
              <w:jc w:val="center"/>
              <w:rPr>
                <w:rFonts w:ascii="宋体" w:hAnsi="宋体" w:cs="宋体"/>
                <w:szCs w:val="21"/>
              </w:rPr>
            </w:pPr>
          </w:p>
        </w:tc>
        <w:tc>
          <w:tcPr>
            <w:tcW w:w="1647" w:type="dxa"/>
            <w:noWrap w:val="0"/>
            <w:vAlign w:val="center"/>
          </w:tcPr>
          <w:p>
            <w:pPr>
              <w:spacing w:line="260" w:lineRule="exact"/>
              <w:jc w:val="center"/>
              <w:rPr>
                <w:rFonts w:ascii="宋体" w:hAnsi="宋体" w:cs="宋体"/>
                <w:szCs w:val="21"/>
              </w:rPr>
            </w:pPr>
          </w:p>
        </w:tc>
      </w:tr>
    </w:tbl>
    <w:p>
      <w:pPr>
        <w:rPr>
          <w:rFonts w:ascii="仿宋_GB2312" w:eastAsia="仿宋_GB2312"/>
          <w:sz w:val="24"/>
        </w:rPr>
      </w:pPr>
    </w:p>
    <w:p>
      <w:pPr>
        <w:rPr>
          <w:rFonts w:hint="eastAsia"/>
        </w:rPr>
      </w:pPr>
    </w:p>
    <w:p>
      <w:pPr>
        <w:tabs>
          <w:tab w:val="left" w:pos="1800"/>
        </w:tabs>
        <w:spacing w:line="360" w:lineRule="auto"/>
        <w:rPr>
          <w:rStyle w:val="22"/>
          <w:rFonts w:hint="eastAsia" w:ascii="宋体" w:hAnsi="宋体"/>
          <w:sz w:val="24"/>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七</w:t>
      </w:r>
      <w:r>
        <w:rPr>
          <w:rStyle w:val="22"/>
          <w:rFonts w:ascii="宋体" w:hAnsi="宋体"/>
          <w:b/>
          <w:bCs/>
          <w:sz w:val="30"/>
        </w:rPr>
        <w:t xml:space="preserve">条 </w:t>
      </w:r>
      <w:r>
        <w:rPr>
          <w:rStyle w:val="22"/>
          <w:rFonts w:hint="eastAsia" w:ascii="宋体" w:hAnsi="宋体"/>
          <w:b/>
          <w:bCs/>
          <w:sz w:val="30"/>
        </w:rPr>
        <w:t>服务费用结算</w:t>
      </w:r>
    </w:p>
    <w:p>
      <w:pPr>
        <w:widowControl w:val="0"/>
        <w:tabs>
          <w:tab w:val="left" w:pos="1800"/>
        </w:tabs>
        <w:spacing w:line="360" w:lineRule="auto"/>
        <w:rPr>
          <w:rStyle w:val="22"/>
          <w:rFonts w:ascii="宋体" w:hAnsi="宋体"/>
          <w:sz w:val="24"/>
        </w:rPr>
      </w:pPr>
      <w:r>
        <w:rPr>
          <w:rFonts w:hint="eastAsia" w:ascii="宋体" w:hAnsi="宋体"/>
          <w:sz w:val="24"/>
        </w:rPr>
        <w:t>★</w:t>
      </w:r>
      <w:r>
        <w:rPr>
          <w:rStyle w:val="22"/>
          <w:rFonts w:hint="eastAsia" w:ascii="宋体" w:hAnsi="宋体"/>
          <w:sz w:val="24"/>
        </w:rPr>
        <w:t>6</w:t>
      </w:r>
      <w:r>
        <w:rPr>
          <w:rStyle w:val="22"/>
          <w:rFonts w:ascii="宋体" w:hAnsi="宋体"/>
          <w:sz w:val="24"/>
        </w:rPr>
        <w:t>.</w:t>
      </w:r>
      <w:r>
        <w:rPr>
          <w:rStyle w:val="22"/>
          <w:rFonts w:hint="eastAsia" w:ascii="宋体" w:hAnsi="宋体"/>
          <w:sz w:val="24"/>
        </w:rPr>
        <w:t>1</w:t>
      </w:r>
      <w:r>
        <w:rPr>
          <w:rFonts w:hint="eastAsia" w:ascii="宋体" w:hAnsi="宋体"/>
          <w:sz w:val="24"/>
        </w:rPr>
        <w:t>采购人</w:t>
      </w:r>
      <w:r>
        <w:rPr>
          <w:rStyle w:val="22"/>
          <w:rFonts w:ascii="宋体" w:hAnsi="宋体"/>
          <w:sz w:val="24"/>
        </w:rPr>
        <w:t>根据当次清洗消毒的服务考评结果，按照当次清洗消毒的内容进行结算，每次在水池清洗消毒完毕，</w:t>
      </w:r>
      <w:r>
        <w:rPr>
          <w:rStyle w:val="22"/>
          <w:rFonts w:hint="eastAsia" w:ascii="宋体" w:hAnsi="宋体"/>
          <w:sz w:val="24"/>
        </w:rPr>
        <w:t>中标人</w:t>
      </w:r>
      <w:r>
        <w:rPr>
          <w:rStyle w:val="22"/>
          <w:rFonts w:ascii="宋体" w:hAnsi="宋体"/>
          <w:sz w:val="24"/>
        </w:rPr>
        <w:t>向采购人提交水质检验</w:t>
      </w:r>
      <w:r>
        <w:rPr>
          <w:rStyle w:val="22"/>
          <w:rFonts w:hint="eastAsia" w:ascii="宋体" w:hAnsi="宋体"/>
          <w:sz w:val="24"/>
        </w:rPr>
        <w:t>报告，采购人在每次清洗消毒完毕后7天内将服务考评结果反馈中标人，中标人对考核结果有异议，应在收到反馈后两天内提交书面意见，逾期未提交视为同意。经双方确定服务费用，中标人开具</w:t>
      </w:r>
      <w:r>
        <w:rPr>
          <w:rStyle w:val="22"/>
          <w:rFonts w:ascii="宋体" w:hAnsi="宋体"/>
          <w:sz w:val="24"/>
        </w:rPr>
        <w:t>有效发票，采购人收到发票并审核无误后的</w:t>
      </w:r>
      <w:r>
        <w:rPr>
          <w:rStyle w:val="22"/>
          <w:rFonts w:hint="eastAsia" w:ascii="宋体" w:hAnsi="宋体"/>
          <w:sz w:val="24"/>
        </w:rPr>
        <w:t>一个月</w:t>
      </w:r>
      <w:r>
        <w:rPr>
          <w:rStyle w:val="22"/>
          <w:rFonts w:ascii="宋体" w:hAnsi="宋体"/>
          <w:sz w:val="24"/>
        </w:rPr>
        <w:t>内支付费用。</w:t>
      </w:r>
    </w:p>
    <w:p>
      <w:pPr>
        <w:tabs>
          <w:tab w:val="left" w:pos="1800"/>
        </w:tabs>
        <w:spacing w:line="360" w:lineRule="auto"/>
        <w:rPr>
          <w:rStyle w:val="22"/>
          <w:rFonts w:ascii="宋体" w:hAnsi="宋体"/>
          <w:sz w:val="24"/>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七</w:t>
      </w:r>
      <w:r>
        <w:rPr>
          <w:rStyle w:val="22"/>
          <w:rFonts w:ascii="宋体" w:hAnsi="宋体"/>
          <w:b/>
          <w:bCs/>
          <w:sz w:val="30"/>
        </w:rPr>
        <w:t xml:space="preserve">条   争议解决方式   </w:t>
      </w:r>
    </w:p>
    <w:p>
      <w:pPr>
        <w:pStyle w:val="23"/>
        <w:tabs>
          <w:tab w:val="left" w:pos="1800"/>
        </w:tabs>
        <w:spacing w:line="360" w:lineRule="auto"/>
        <w:ind w:firstLine="0" w:firstLineChars="0"/>
        <w:rPr>
          <w:rStyle w:val="22"/>
          <w:rFonts w:ascii="宋体" w:hAnsi="宋体"/>
          <w:sz w:val="24"/>
        </w:rPr>
      </w:pPr>
      <w:r>
        <w:rPr>
          <w:rStyle w:val="22"/>
          <w:rFonts w:hint="eastAsia" w:ascii="宋体" w:hAnsi="宋体"/>
          <w:sz w:val="24"/>
        </w:rPr>
        <w:t>7.1</w:t>
      </w:r>
      <w:r>
        <w:rPr>
          <w:rStyle w:val="22"/>
          <w:rFonts w:ascii="宋体" w:hAnsi="宋体"/>
          <w:sz w:val="24"/>
        </w:rPr>
        <w:t>本项目如发生纠纷协商或调解不成时，可向中山市经济合同仲裁机关申请仲裁或向采购人所在人民法院起诉。</w:t>
      </w:r>
    </w:p>
    <w:p>
      <w:pPr>
        <w:pStyle w:val="23"/>
        <w:tabs>
          <w:tab w:val="left" w:pos="1800"/>
        </w:tabs>
        <w:spacing w:line="360" w:lineRule="auto"/>
        <w:ind w:firstLine="0" w:firstLineChars="0"/>
        <w:rPr>
          <w:rStyle w:val="22"/>
          <w:rFonts w:ascii="宋体" w:hAnsi="宋体"/>
          <w:sz w:val="24"/>
        </w:rPr>
      </w:pPr>
      <w:r>
        <w:rPr>
          <w:rStyle w:val="22"/>
          <w:rFonts w:hint="eastAsia" w:ascii="宋体" w:hAnsi="宋体"/>
          <w:sz w:val="24"/>
        </w:rPr>
        <w:t>7.2</w:t>
      </w:r>
      <w:r>
        <w:rPr>
          <w:rStyle w:val="22"/>
          <w:rFonts w:ascii="宋体" w:hAnsi="宋体"/>
          <w:sz w:val="24"/>
        </w:rPr>
        <w:t>本项目未尽事宜由双方协商确定。</w:t>
      </w: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4"/>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tabs>
          <w:tab w:val="left" w:pos="1800"/>
        </w:tabs>
        <w:spacing w:line="480" w:lineRule="exact"/>
        <w:jc w:val="center"/>
        <w:rPr>
          <w:rStyle w:val="22"/>
          <w:rFonts w:hint="eastAsia" w:ascii="宋体" w:hAnsi="宋体"/>
          <w:b/>
          <w:bCs/>
          <w:sz w:val="30"/>
        </w:rPr>
      </w:pPr>
      <w:r>
        <w:rPr>
          <w:rStyle w:val="22"/>
          <w:rFonts w:hint="eastAsia" w:ascii="宋体" w:hAnsi="宋体"/>
          <w:b/>
          <w:bCs/>
          <w:sz w:val="30"/>
        </w:rPr>
        <w:t>综合评分表</w:t>
      </w:r>
    </w:p>
    <w:p>
      <w:pPr>
        <w:pStyle w:val="2"/>
        <w:rPr>
          <w:rFonts w:hint="eastAsia" w:hAnsi="宋体"/>
          <w:sz w:val="24"/>
          <w:szCs w:val="24"/>
        </w:rPr>
      </w:pPr>
      <w:r>
        <w:rPr>
          <w:rFonts w:hAnsi="宋体"/>
          <w:sz w:val="24"/>
          <w:szCs w:val="24"/>
        </w:rPr>
        <w:t>分值权重：</w:t>
      </w:r>
    </w:p>
    <w:tbl>
      <w:tblPr>
        <w:tblStyle w:val="14"/>
        <w:tblpPr w:leftFromText="180" w:rightFromText="180" w:vertAnchor="text" w:horzAnchor="margin" w:tblpXSpec="center" w:tblpY="106"/>
        <w:tblW w:w="776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2902"/>
        <w:gridCol w:w="27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093" w:type="dxa"/>
            <w:tcBorders>
              <w:top w:val="double" w:color="auto" w:sz="4" w:space="0"/>
              <w:bottom w:val="single" w:color="auto" w:sz="6" w:space="0"/>
            </w:tcBorders>
            <w:shd w:val="clear" w:color="auto" w:fill="E0E0E0"/>
            <w:noWrap w:val="0"/>
            <w:vAlign w:val="center"/>
          </w:tcPr>
          <w:p>
            <w:pPr>
              <w:ind w:left="105" w:hanging="105"/>
              <w:jc w:val="center"/>
              <w:rPr>
                <w:rFonts w:ascii="宋体" w:hAnsi="宋体"/>
                <w:b/>
              </w:rPr>
            </w:pPr>
            <w:r>
              <w:rPr>
                <w:rFonts w:hint="eastAsia" w:ascii="宋体" w:hAnsi="宋体"/>
                <w:b/>
              </w:rPr>
              <w:t>评分项目</w:t>
            </w:r>
          </w:p>
        </w:tc>
        <w:tc>
          <w:tcPr>
            <w:tcW w:w="2902" w:type="dxa"/>
            <w:tcBorders>
              <w:top w:val="double" w:color="auto" w:sz="4" w:space="0"/>
              <w:bottom w:val="single" w:color="auto" w:sz="6" w:space="0"/>
            </w:tcBorders>
            <w:shd w:val="clear" w:color="auto" w:fill="E0E0E0"/>
            <w:noWrap w:val="0"/>
            <w:vAlign w:val="center"/>
          </w:tcPr>
          <w:p>
            <w:pPr>
              <w:ind w:left="105" w:hanging="105"/>
              <w:jc w:val="center"/>
              <w:rPr>
                <w:rFonts w:ascii="宋体" w:hAnsi="宋体"/>
                <w:b/>
              </w:rPr>
            </w:pPr>
            <w:r>
              <w:rPr>
                <w:rFonts w:hint="eastAsia" w:ascii="宋体" w:hAnsi="宋体"/>
                <w:b/>
              </w:rPr>
              <w:t>商务技术评分</w:t>
            </w:r>
          </w:p>
        </w:tc>
        <w:tc>
          <w:tcPr>
            <w:tcW w:w="2768" w:type="dxa"/>
            <w:tcBorders>
              <w:top w:val="double" w:color="auto" w:sz="4" w:space="0"/>
              <w:left w:val="single" w:color="auto" w:sz="4" w:space="0"/>
              <w:bottom w:val="single" w:color="auto" w:sz="6" w:space="0"/>
            </w:tcBorders>
            <w:shd w:val="clear" w:color="auto" w:fill="E0E0E0"/>
            <w:noWrap w:val="0"/>
            <w:vAlign w:val="center"/>
          </w:tcPr>
          <w:p>
            <w:pPr>
              <w:ind w:left="105" w:hanging="105"/>
              <w:jc w:val="center"/>
              <w:rPr>
                <w:rFonts w:ascii="宋体" w:hAnsi="宋体"/>
                <w:b/>
              </w:rPr>
            </w:pPr>
            <w:r>
              <w:rPr>
                <w:rFonts w:hint="eastAsia" w:ascii="宋体" w:hAnsi="宋体"/>
                <w:b/>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093" w:type="dxa"/>
            <w:tcBorders>
              <w:top w:val="single" w:color="auto" w:sz="6" w:space="0"/>
            </w:tcBorders>
            <w:noWrap w:val="0"/>
            <w:vAlign w:val="center"/>
          </w:tcPr>
          <w:p>
            <w:pPr>
              <w:ind w:left="105" w:hanging="105"/>
              <w:jc w:val="center"/>
              <w:rPr>
                <w:rFonts w:ascii="宋体" w:hAnsi="宋体"/>
                <w:b/>
              </w:rPr>
            </w:pPr>
            <w:r>
              <w:rPr>
                <w:rFonts w:hint="eastAsia" w:ascii="宋体" w:hAnsi="宋体"/>
                <w:b/>
              </w:rPr>
              <w:t>分   值</w:t>
            </w:r>
          </w:p>
        </w:tc>
        <w:tc>
          <w:tcPr>
            <w:tcW w:w="2902" w:type="dxa"/>
            <w:tcBorders>
              <w:top w:val="single" w:color="auto" w:sz="6" w:space="0"/>
            </w:tcBorders>
            <w:noWrap w:val="0"/>
            <w:vAlign w:val="center"/>
          </w:tcPr>
          <w:p>
            <w:pPr>
              <w:ind w:left="105" w:hanging="105"/>
              <w:jc w:val="center"/>
              <w:rPr>
                <w:rFonts w:ascii="宋体" w:hAnsi="宋体"/>
              </w:rPr>
            </w:pPr>
            <w:r>
              <w:rPr>
                <w:rFonts w:hint="eastAsia" w:ascii="宋体" w:hAnsi="宋体"/>
              </w:rPr>
              <w:t>70分</w:t>
            </w:r>
          </w:p>
        </w:tc>
        <w:tc>
          <w:tcPr>
            <w:tcW w:w="2768" w:type="dxa"/>
            <w:tcBorders>
              <w:top w:val="single" w:color="auto" w:sz="6" w:space="0"/>
              <w:left w:val="single" w:color="auto" w:sz="4" w:space="0"/>
            </w:tcBorders>
            <w:noWrap w:val="0"/>
            <w:vAlign w:val="center"/>
          </w:tcPr>
          <w:p>
            <w:pPr>
              <w:ind w:left="105" w:hanging="105"/>
              <w:jc w:val="center"/>
              <w:rPr>
                <w:rFonts w:ascii="宋体" w:hAnsi="宋体"/>
              </w:rPr>
            </w:pPr>
            <w:r>
              <w:rPr>
                <w:rFonts w:hint="eastAsia" w:ascii="宋体" w:hAnsi="宋体"/>
              </w:rPr>
              <w:t>30分</w:t>
            </w:r>
          </w:p>
        </w:tc>
      </w:tr>
    </w:tbl>
    <w:p>
      <w:pPr>
        <w:pStyle w:val="3"/>
        <w:ind w:left="0" w:leftChars="0"/>
        <w:rPr>
          <w:rFonts w:hint="eastAsia" w:ascii="宋体" w:hAnsi="宋体"/>
        </w:rPr>
      </w:pPr>
    </w:p>
    <w:p>
      <w:pPr>
        <w:rPr>
          <w:rFonts w:hint="eastAsia" w:ascii="宋体" w:hAnsi="宋体"/>
        </w:rPr>
      </w:pPr>
    </w:p>
    <w:p>
      <w:pPr>
        <w:pStyle w:val="3"/>
        <w:ind w:left="0" w:leftChars="0"/>
        <w:rPr>
          <w:rFonts w:hint="eastAsia" w:ascii="宋体" w:hAnsi="宋体"/>
          <w:kern w:val="0"/>
          <w:sz w:val="32"/>
          <w:szCs w:val="20"/>
        </w:rPr>
      </w:pPr>
    </w:p>
    <w:p>
      <w:pPr>
        <w:rPr>
          <w:rFonts w:hint="eastAsia"/>
        </w:rPr>
      </w:pPr>
    </w:p>
    <w:p>
      <w:pPr>
        <w:pStyle w:val="2"/>
        <w:rPr>
          <w:rFonts w:hint="eastAsia" w:hAnsi="宋体"/>
          <w:sz w:val="24"/>
          <w:szCs w:val="24"/>
        </w:rPr>
      </w:pPr>
      <w:r>
        <w:rPr>
          <w:rFonts w:hint="eastAsia" w:hAnsi="宋体"/>
          <w:sz w:val="24"/>
          <w:szCs w:val="24"/>
        </w:rPr>
        <w:t>商务技术评审：</w:t>
      </w:r>
    </w:p>
    <w:tbl>
      <w:tblPr>
        <w:tblStyle w:val="14"/>
        <w:tblW w:w="5000" w:type="pct"/>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autofit"/>
        <w:tblCellMar>
          <w:top w:w="0" w:type="dxa"/>
          <w:left w:w="57" w:type="dxa"/>
          <w:bottom w:w="0" w:type="dxa"/>
          <w:right w:w="57" w:type="dxa"/>
        </w:tblCellMar>
      </w:tblPr>
      <w:tblGrid>
        <w:gridCol w:w="437"/>
        <w:gridCol w:w="1102"/>
        <w:gridCol w:w="496"/>
        <w:gridCol w:w="5787"/>
        <w:gridCol w:w="1363"/>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284" w:hRule="atLeast"/>
          <w:jc w:val="center"/>
        </w:trPr>
        <w:tc>
          <w:tcPr>
            <w:tcW w:w="238"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szCs w:val="21"/>
              </w:rPr>
              <w:t>序号</w:t>
            </w:r>
          </w:p>
        </w:tc>
        <w:tc>
          <w:tcPr>
            <w:tcW w:w="600"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szCs w:val="21"/>
              </w:rPr>
              <w:t>评审项目</w:t>
            </w:r>
          </w:p>
        </w:tc>
        <w:tc>
          <w:tcPr>
            <w:tcW w:w="270"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szCs w:val="21"/>
              </w:rPr>
              <w:t>分值</w:t>
            </w:r>
          </w:p>
        </w:tc>
        <w:tc>
          <w:tcPr>
            <w:tcW w:w="3150"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bCs/>
                <w:szCs w:val="21"/>
              </w:rPr>
              <w:t>评议内容及评分</w:t>
            </w:r>
          </w:p>
        </w:tc>
        <w:tc>
          <w:tcPr>
            <w:tcW w:w="742"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1</w:t>
            </w:r>
          </w:p>
        </w:tc>
        <w:tc>
          <w:tcPr>
            <w:tcW w:w="600" w:type="pct"/>
            <w:tcBorders>
              <w:top w:val="single" w:color="auto" w:sz="4" w:space="0"/>
              <w:left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投标人综合实力</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szCs w:val="21"/>
              </w:rPr>
            </w:pPr>
            <w:r>
              <w:rPr>
                <w:rFonts w:hint="eastAsia" w:ascii="宋体" w:hAnsi="宋体" w:cs="宋体"/>
                <w:szCs w:val="21"/>
              </w:rPr>
              <w:t>3</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1、投标人具有合法有效的营业执照，得1分；</w:t>
            </w:r>
          </w:p>
          <w:p>
            <w:pPr>
              <w:rPr>
                <w:rFonts w:ascii="宋体" w:hAnsi="宋体" w:cs="宋体"/>
                <w:szCs w:val="21"/>
              </w:rPr>
            </w:pPr>
            <w:r>
              <w:rPr>
                <w:rFonts w:hint="eastAsia" w:ascii="宋体" w:hAnsi="宋体" w:cs="宋体"/>
                <w:szCs w:val="21"/>
              </w:rPr>
              <w:t>2、投标人具有高新技术企业证书的，得1分；</w:t>
            </w:r>
          </w:p>
          <w:p>
            <w:pPr>
              <w:rPr>
                <w:rFonts w:ascii="宋体" w:hAnsi="宋体" w:cs="宋体"/>
                <w:szCs w:val="21"/>
              </w:rPr>
            </w:pPr>
            <w:r>
              <w:rPr>
                <w:rFonts w:ascii="宋体" w:hAnsi="宋体" w:cs="宋体"/>
                <w:szCs w:val="21"/>
              </w:rPr>
              <w:t>3</w:t>
            </w:r>
            <w:r>
              <w:rPr>
                <w:rFonts w:hint="eastAsia" w:ascii="宋体" w:hAnsi="宋体" w:cs="宋体"/>
                <w:szCs w:val="21"/>
              </w:rPr>
              <w:t>、投标人202</w:t>
            </w:r>
            <w:r>
              <w:rPr>
                <w:rFonts w:ascii="宋体" w:hAnsi="宋体" w:cs="宋体"/>
                <w:szCs w:val="21"/>
              </w:rPr>
              <w:t>0</w:t>
            </w:r>
            <w:r>
              <w:rPr>
                <w:rFonts w:hint="eastAsia" w:ascii="宋体" w:hAnsi="宋体" w:cs="宋体"/>
                <w:szCs w:val="21"/>
              </w:rPr>
              <w:t>年1月1日至今获得过省级（含）以上奖项的，得1分。（时间以证书颁发时间为准）</w:t>
            </w:r>
          </w:p>
          <w:p>
            <w:pPr>
              <w:rPr>
                <w:rFonts w:ascii="宋体" w:hAnsi="宋体" w:cs="宋体"/>
                <w:szCs w:val="21"/>
              </w:rPr>
            </w:pPr>
            <w:r>
              <w:rPr>
                <w:rFonts w:hint="eastAsia" w:ascii="宋体" w:hAnsi="宋体" w:cs="宋体"/>
                <w:b/>
                <w:bCs/>
                <w:szCs w:val="21"/>
              </w:rPr>
              <w:t xml:space="preserve">注：提供上述证书、证件复印件并加盖公章，不提供的不得分。 </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2</w:t>
            </w:r>
          </w:p>
        </w:tc>
        <w:tc>
          <w:tcPr>
            <w:tcW w:w="600" w:type="pct"/>
            <w:tcBorders>
              <w:left w:val="single" w:color="auto" w:sz="4" w:space="0"/>
              <w:bottom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拟投入人员</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szCs w:val="21"/>
              </w:rPr>
            </w:pPr>
            <w:r>
              <w:rPr>
                <w:rFonts w:hint="eastAsia" w:ascii="宋体" w:hAnsi="宋体" w:cs="宋体"/>
                <w:szCs w:val="21"/>
              </w:rPr>
              <w:t>6</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拟投入本项目负责人1名以及不少于2名人员进行水箱清洗、水样采集、水样送检等工作，每人得1分，拟投入的人员中，含中高职称的人员，可每人得1分，本项最高得分6分。</w:t>
            </w:r>
          </w:p>
          <w:p>
            <w:pPr>
              <w:rPr>
                <w:rFonts w:ascii="宋体" w:hAnsi="宋体" w:cs="宋体"/>
                <w:szCs w:val="21"/>
              </w:rPr>
            </w:pPr>
            <w:r>
              <w:rPr>
                <w:rFonts w:hint="eastAsia" w:ascii="宋体" w:hAnsi="宋体" w:cs="宋体"/>
                <w:b/>
                <w:bCs/>
                <w:szCs w:val="21"/>
              </w:rPr>
              <w:t>注：提供上述相应证书复印件并加盖公章，不提供的不得分。</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489"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3</w:t>
            </w:r>
          </w:p>
        </w:tc>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项目业绩</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color w:val="auto"/>
                <w:szCs w:val="21"/>
              </w:rPr>
            </w:pPr>
            <w:r>
              <w:rPr>
                <w:rFonts w:hint="eastAsia" w:ascii="宋体" w:hAnsi="宋体" w:cs="宋体"/>
                <w:color w:val="auto"/>
                <w:szCs w:val="21"/>
              </w:rPr>
              <w:t>16</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r>
              <w:rPr>
                <w:rFonts w:hint="eastAsia" w:ascii="宋体" w:hAnsi="宋体" w:cs="宋体"/>
                <w:color w:val="auto"/>
                <w:szCs w:val="21"/>
              </w:rPr>
              <w:t>供应商自2020年1月1日至今，承接过水箱清洗消毒项目业绩，每个业绩得2分，最高得16分。</w:t>
            </w:r>
          </w:p>
          <w:p>
            <w:pPr>
              <w:rPr>
                <w:rFonts w:ascii="宋体" w:hAnsi="宋体" w:cs="宋体"/>
                <w:color w:val="auto"/>
                <w:szCs w:val="21"/>
              </w:rPr>
            </w:pPr>
            <w:r>
              <w:rPr>
                <w:rFonts w:hint="eastAsia" w:ascii="宋体" w:hAnsi="宋体" w:cs="宋体"/>
                <w:b/>
                <w:bCs/>
                <w:color w:val="auto"/>
                <w:szCs w:val="21"/>
              </w:rPr>
              <w:t>注：业绩时间以签订合同落款时间为准，投标文件中提供合同复印件加盖公章，</w:t>
            </w:r>
            <w:r>
              <w:rPr>
                <w:rFonts w:hint="eastAsia" w:ascii="宋体" w:hAnsi="宋体" w:cs="宋体"/>
                <w:b/>
                <w:color w:val="auto"/>
                <w:szCs w:val="21"/>
              </w:rPr>
              <w:t>开标时提供原件核</w:t>
            </w:r>
            <w:bookmarkStart w:id="6" w:name="_GoBack"/>
            <w:bookmarkEnd w:id="6"/>
            <w:r>
              <w:rPr>
                <w:rFonts w:hint="eastAsia" w:ascii="宋体" w:hAnsi="宋体" w:cs="宋体"/>
                <w:b/>
                <w:color w:val="auto"/>
                <w:szCs w:val="21"/>
              </w:rPr>
              <w:t>查，不提供不得分。</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4</w:t>
            </w:r>
          </w:p>
        </w:tc>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用户需求响应程度</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szCs w:val="21"/>
              </w:rPr>
            </w:pPr>
            <w:r>
              <w:rPr>
                <w:rFonts w:hint="eastAsia" w:ascii="宋体" w:hAnsi="宋体" w:cs="宋体"/>
                <w:szCs w:val="21"/>
              </w:rPr>
              <w:t>25</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根据响应文件对用户需求书（即非“★”号条款）的响应程度进行评审，完全满足得25分。其中，带“▲”号参数为重要指标，一项不满足（负偏离）扣3分；非“▲”号参数（带</w:t>
            </w:r>
            <w:r>
              <w:rPr>
                <w:rFonts w:ascii="宋体" w:hAnsi="宋体" w:cs="宋体"/>
                <w:szCs w:val="21"/>
              </w:rPr>
              <w:t>“★号”项除外</w:t>
            </w:r>
            <w:r>
              <w:rPr>
                <w:rFonts w:hint="eastAsia" w:ascii="宋体" w:hAnsi="宋体" w:cs="宋体"/>
                <w:szCs w:val="21"/>
              </w:rPr>
              <w:t>）为一般性指标，一项不满足（负偏离）扣2分，扣完为止。</w:t>
            </w:r>
          </w:p>
          <w:p>
            <w:pPr>
              <w:textAlignment w:val="center"/>
              <w:rPr>
                <w:rFonts w:ascii="宋体" w:hAnsi="宋体" w:cs="宋体"/>
                <w:szCs w:val="21"/>
              </w:rPr>
            </w:pPr>
            <w:r>
              <w:rPr>
                <w:rFonts w:hint="eastAsia" w:ascii="宋体" w:hAnsi="宋体" w:cs="宋体"/>
                <w:b/>
                <w:bCs/>
                <w:szCs w:val="21"/>
              </w:rPr>
              <w:t>注：以“用户需求响应表”及应招标要求提供的相关证明材料作为评审依据。</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hint="eastAsia" w:ascii="宋体" w:hAnsi="宋体" w:cs="宋体"/>
                <w:szCs w:val="21"/>
              </w:rPr>
            </w:pPr>
            <w:r>
              <w:rPr>
                <w:rFonts w:hint="eastAsia" w:ascii="宋体" w:hAnsi="宋体" w:cs="宋体"/>
                <w:szCs w:val="21"/>
              </w:rPr>
              <w:t>5</w:t>
            </w:r>
          </w:p>
        </w:tc>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服务方案</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hint="eastAsia" w:ascii="宋体" w:hAnsi="宋体" w:cs="宋体"/>
                <w:szCs w:val="21"/>
              </w:rPr>
            </w:pPr>
            <w:r>
              <w:rPr>
                <w:rFonts w:hint="eastAsia" w:ascii="宋体" w:hAnsi="宋体" w:cs="宋体"/>
                <w:szCs w:val="21"/>
              </w:rPr>
              <w:t>20</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根据响应文件提交的服务方案进行综合评审，内容包含但不限于清洗消毒方案，人员配置安排、清洗工具配置、应急预案等。</w:t>
            </w:r>
          </w:p>
          <w:p>
            <w:pPr>
              <w:rPr>
                <w:rFonts w:hint="eastAsia" w:ascii="宋体" w:hAnsi="宋体" w:cs="宋体"/>
                <w:szCs w:val="21"/>
              </w:rPr>
            </w:pPr>
            <w:r>
              <w:rPr>
                <w:rFonts w:hint="eastAsia" w:ascii="宋体" w:hAnsi="宋体" w:cs="宋体"/>
                <w:szCs w:val="21"/>
              </w:rPr>
              <w:t>清洗消毒方案内容清晰完整，人员配置安排完善合理，清洗工具配置完整、应急预案完善可靠，得20分；</w:t>
            </w:r>
          </w:p>
          <w:p>
            <w:pPr>
              <w:rPr>
                <w:rFonts w:hint="eastAsia" w:ascii="宋体" w:hAnsi="宋体" w:cs="宋体"/>
                <w:szCs w:val="21"/>
              </w:rPr>
            </w:pPr>
            <w:r>
              <w:rPr>
                <w:rFonts w:hint="eastAsia" w:ascii="宋体" w:hAnsi="宋体" w:cs="宋体"/>
                <w:szCs w:val="21"/>
              </w:rPr>
              <w:t>清洗消毒方案内容较详细，人员配置较完善合理，清洗工具配置较完整、应急预案完善可行，得14分；</w:t>
            </w:r>
          </w:p>
          <w:p>
            <w:pPr>
              <w:rPr>
                <w:rFonts w:hint="eastAsia" w:ascii="宋体" w:hAnsi="宋体" w:cs="宋体"/>
                <w:szCs w:val="21"/>
              </w:rPr>
            </w:pPr>
            <w:r>
              <w:rPr>
                <w:rFonts w:hint="eastAsia" w:ascii="宋体" w:hAnsi="宋体" w:cs="宋体"/>
                <w:szCs w:val="21"/>
              </w:rPr>
              <w:t>清洗消毒方案内容一般，人员配置安排较欠缺，清洗工具配置一般，应急预案可行性不高，得8分；</w:t>
            </w:r>
          </w:p>
          <w:p>
            <w:pPr>
              <w:rPr>
                <w:rFonts w:hint="eastAsia"/>
              </w:rPr>
            </w:pPr>
            <w:r>
              <w:rPr>
                <w:rFonts w:hint="eastAsia"/>
              </w:rPr>
              <w:t>不提供服务方案，不得分。</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838" w:type="pct"/>
            <w:gridSpan w:val="2"/>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b/>
                <w:szCs w:val="21"/>
              </w:rPr>
            </w:pPr>
            <w:r>
              <w:rPr>
                <w:rFonts w:hint="eastAsia" w:ascii="宋体" w:hAnsi="宋体" w:cs="宋体"/>
                <w:b/>
                <w:szCs w:val="21"/>
              </w:rPr>
              <w:t>合计</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b/>
                <w:szCs w:val="21"/>
              </w:rPr>
            </w:pPr>
            <w:r>
              <w:rPr>
                <w:rFonts w:hint="eastAsia" w:ascii="宋体" w:hAnsi="宋体" w:cs="宋体"/>
                <w:b/>
                <w:szCs w:val="21"/>
              </w:rPr>
              <w:t>70</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b/>
                <w:szCs w:val="21"/>
              </w:rPr>
            </w:pPr>
            <w:r>
              <w:rPr>
                <w:rFonts w:hint="eastAsia" w:ascii="宋体" w:hAnsi="宋体" w:cs="宋体"/>
                <w:b/>
                <w:szCs w:val="21"/>
              </w:rPr>
              <w:t>得分合计</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bl>
    <w:p>
      <w:pPr>
        <w:pStyle w:val="2"/>
        <w:rPr>
          <w:rFonts w:hint="eastAsia" w:hAnsi="宋体"/>
          <w:sz w:val="24"/>
          <w:szCs w:val="24"/>
        </w:rPr>
      </w:pPr>
    </w:p>
    <w:p>
      <w:pPr>
        <w:pStyle w:val="3"/>
        <w:rPr>
          <w:rFonts w:hint="eastAsia" w:hAnsi="宋体"/>
          <w:sz w:val="24"/>
          <w:szCs w:val="24"/>
        </w:rPr>
      </w:pPr>
    </w:p>
    <w:p>
      <w:pPr>
        <w:rPr>
          <w:rFonts w:hint="eastAsia" w:hAnsi="宋体"/>
          <w:sz w:val="24"/>
          <w:szCs w:val="24"/>
        </w:rPr>
      </w:pPr>
    </w:p>
    <w:p>
      <w:pPr>
        <w:pStyle w:val="2"/>
        <w:rPr>
          <w:rFonts w:hint="eastAsia" w:hAnsi="宋体"/>
          <w:sz w:val="24"/>
          <w:szCs w:val="24"/>
        </w:rPr>
      </w:pPr>
    </w:p>
    <w:p>
      <w:pPr>
        <w:pStyle w:val="3"/>
        <w:rPr>
          <w:rFonts w:hint="eastAsia" w:hAnsi="宋体"/>
          <w:sz w:val="24"/>
          <w:szCs w:val="24"/>
        </w:rPr>
      </w:pPr>
    </w:p>
    <w:p>
      <w:pPr>
        <w:rPr>
          <w:rFonts w:hint="eastAsia"/>
        </w:rPr>
      </w:pPr>
    </w:p>
    <w:p>
      <w:pPr>
        <w:pStyle w:val="2"/>
        <w:rPr>
          <w:rFonts w:hint="eastAsia" w:hAnsi="宋体"/>
          <w:sz w:val="24"/>
          <w:szCs w:val="24"/>
        </w:rPr>
      </w:pPr>
      <w:r>
        <w:rPr>
          <w:rFonts w:hint="eastAsia" w:hAnsi="宋体"/>
          <w:sz w:val="24"/>
          <w:szCs w:val="24"/>
        </w:rPr>
        <w:t>价格评审：</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68"/>
        <w:gridCol w:w="1110"/>
        <w:gridCol w:w="487"/>
        <w:gridCol w:w="580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 w:type="pct"/>
            <w:shd w:val="clear" w:color="auto" w:fill="D7D7D7"/>
            <w:noWrap w:val="0"/>
            <w:vAlign w:val="center"/>
          </w:tcPr>
          <w:p>
            <w:pPr>
              <w:jc w:val="center"/>
              <w:rPr>
                <w:rFonts w:ascii="宋体" w:hAnsi="宋体" w:cs="宋体"/>
                <w:b/>
                <w:szCs w:val="21"/>
              </w:rPr>
            </w:pPr>
            <w:r>
              <w:rPr>
                <w:rFonts w:hint="eastAsia" w:ascii="宋体" w:hAnsi="宋体" w:cs="宋体"/>
                <w:b/>
                <w:szCs w:val="21"/>
              </w:rPr>
              <w:t>序号</w:t>
            </w:r>
          </w:p>
        </w:tc>
        <w:tc>
          <w:tcPr>
            <w:tcW w:w="604" w:type="pct"/>
            <w:shd w:val="clear" w:color="auto" w:fill="D7D7D7"/>
            <w:noWrap w:val="0"/>
            <w:vAlign w:val="center"/>
          </w:tcPr>
          <w:p>
            <w:pPr>
              <w:jc w:val="center"/>
              <w:rPr>
                <w:rFonts w:ascii="宋体" w:hAnsi="宋体" w:cs="宋体"/>
                <w:b/>
                <w:szCs w:val="21"/>
              </w:rPr>
            </w:pPr>
            <w:r>
              <w:rPr>
                <w:rFonts w:hint="eastAsia" w:ascii="宋体" w:hAnsi="宋体" w:cs="宋体"/>
                <w:b/>
                <w:szCs w:val="21"/>
              </w:rPr>
              <w:t>评分项目</w:t>
            </w:r>
          </w:p>
        </w:tc>
        <w:tc>
          <w:tcPr>
            <w:tcW w:w="265" w:type="pct"/>
            <w:shd w:val="clear" w:color="auto" w:fill="D7D7D7"/>
            <w:noWrap w:val="0"/>
            <w:vAlign w:val="center"/>
          </w:tcPr>
          <w:p>
            <w:pPr>
              <w:jc w:val="center"/>
              <w:rPr>
                <w:rFonts w:ascii="宋体" w:hAnsi="宋体" w:cs="宋体"/>
                <w:b/>
                <w:szCs w:val="21"/>
              </w:rPr>
            </w:pPr>
            <w:r>
              <w:rPr>
                <w:rFonts w:hint="eastAsia" w:ascii="宋体" w:hAnsi="宋体" w:cs="宋体"/>
                <w:b/>
                <w:szCs w:val="21"/>
              </w:rPr>
              <w:t>分值</w:t>
            </w:r>
          </w:p>
        </w:tc>
        <w:tc>
          <w:tcPr>
            <w:tcW w:w="3160" w:type="pct"/>
            <w:shd w:val="clear" w:color="auto" w:fill="D7D7D7"/>
            <w:noWrap w:val="0"/>
            <w:vAlign w:val="center"/>
          </w:tcPr>
          <w:p>
            <w:pPr>
              <w:jc w:val="center"/>
              <w:rPr>
                <w:rFonts w:ascii="宋体" w:hAnsi="宋体" w:cs="宋体"/>
                <w:b/>
                <w:szCs w:val="21"/>
              </w:rPr>
            </w:pPr>
            <w:r>
              <w:rPr>
                <w:rFonts w:hint="eastAsia" w:ascii="宋体" w:hAnsi="宋体" w:cs="宋体"/>
                <w:b/>
                <w:szCs w:val="21"/>
              </w:rPr>
              <w:t>评分</w:t>
            </w:r>
          </w:p>
        </w:tc>
        <w:tc>
          <w:tcPr>
            <w:tcW w:w="716" w:type="pct"/>
            <w:shd w:val="clear" w:color="auto" w:fill="D7D7D7"/>
            <w:noWrap w:val="0"/>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1" w:hRule="atLeast"/>
          <w:jc w:val="center"/>
        </w:trPr>
        <w:tc>
          <w:tcPr>
            <w:tcW w:w="255" w:type="pct"/>
            <w:noWrap w:val="0"/>
            <w:vAlign w:val="center"/>
          </w:tcPr>
          <w:p>
            <w:pPr>
              <w:ind w:left="105" w:hanging="105"/>
              <w:jc w:val="center"/>
              <w:rPr>
                <w:rFonts w:ascii="宋体" w:hAnsi="宋体" w:cs="宋体"/>
                <w:szCs w:val="21"/>
              </w:rPr>
            </w:pPr>
            <w:r>
              <w:rPr>
                <w:rFonts w:hint="eastAsia" w:ascii="宋体" w:hAnsi="宋体" w:cs="宋体"/>
                <w:szCs w:val="21"/>
              </w:rPr>
              <w:t>1</w:t>
            </w:r>
          </w:p>
        </w:tc>
        <w:tc>
          <w:tcPr>
            <w:tcW w:w="604" w:type="pct"/>
            <w:noWrap w:val="0"/>
            <w:vAlign w:val="center"/>
          </w:tcPr>
          <w:p>
            <w:pPr>
              <w:jc w:val="center"/>
              <w:rPr>
                <w:rFonts w:ascii="宋体" w:hAnsi="宋体" w:cs="宋体"/>
                <w:szCs w:val="21"/>
              </w:rPr>
            </w:pPr>
            <w:r>
              <w:rPr>
                <w:rFonts w:hint="eastAsia" w:ascii="宋体" w:hAnsi="宋体" w:cs="宋体"/>
                <w:szCs w:val="21"/>
              </w:rPr>
              <w:t>报价要求</w:t>
            </w:r>
          </w:p>
        </w:tc>
        <w:tc>
          <w:tcPr>
            <w:tcW w:w="265" w:type="pct"/>
            <w:noWrap w:val="0"/>
            <w:vAlign w:val="center"/>
          </w:tcPr>
          <w:p>
            <w:pPr>
              <w:ind w:left="105" w:hanging="105"/>
              <w:jc w:val="center"/>
              <w:rPr>
                <w:rFonts w:ascii="宋体" w:hAnsi="宋体" w:cs="宋体"/>
                <w:szCs w:val="21"/>
              </w:rPr>
            </w:pPr>
            <w:r>
              <w:rPr>
                <w:rFonts w:hint="eastAsia" w:ascii="宋体" w:hAnsi="宋体" w:cs="宋体"/>
                <w:szCs w:val="21"/>
              </w:rPr>
              <w:t>30</w:t>
            </w:r>
          </w:p>
        </w:tc>
        <w:tc>
          <w:tcPr>
            <w:tcW w:w="3160" w:type="pct"/>
            <w:noWrap w:val="0"/>
            <w:vAlign w:val="top"/>
          </w:tcPr>
          <w:p>
            <w:pPr>
              <w:snapToGrid w:val="0"/>
              <w:jc w:val="left"/>
              <w:rPr>
                <w:rFonts w:ascii="宋体" w:hAnsi="宋体"/>
                <w:szCs w:val="21"/>
              </w:rPr>
            </w:pPr>
            <w:r>
              <w:rPr>
                <w:rFonts w:hint="eastAsia" w:ascii="宋体" w:hAnsi="宋体"/>
                <w:szCs w:val="21"/>
              </w:rPr>
              <w:t>采用低价优先法，即满足磋商文件要求且最后报价最低的供应商的价格为磋商基准价，其价格分为满分30。其他供应商的价格分统一按照下列公式计算：</w:t>
            </w:r>
          </w:p>
          <w:p>
            <w:pPr>
              <w:rPr>
                <w:rFonts w:ascii="宋体" w:hAnsi="宋体" w:cs="宋体"/>
                <w:szCs w:val="21"/>
              </w:rPr>
            </w:pPr>
            <w:r>
              <w:rPr>
                <w:rFonts w:hint="eastAsia" w:ascii="宋体" w:hAnsi="宋体"/>
                <w:b/>
                <w:szCs w:val="21"/>
              </w:rPr>
              <w:t>磋商报价得分（精确到小数点后2位）</w:t>
            </w:r>
            <w:r>
              <w:rPr>
                <w:rFonts w:ascii="宋体" w:hAnsi="宋体"/>
                <w:b/>
                <w:szCs w:val="21"/>
              </w:rPr>
              <w:t>=(</w:t>
            </w:r>
            <w:r>
              <w:rPr>
                <w:rFonts w:hint="eastAsia" w:ascii="宋体" w:hAnsi="宋体"/>
                <w:b/>
                <w:szCs w:val="21"/>
              </w:rPr>
              <w:t>磋商基准价／最后磋商报价</w:t>
            </w:r>
            <w:r>
              <w:rPr>
                <w:rFonts w:ascii="宋体" w:hAnsi="宋体"/>
                <w:b/>
                <w:szCs w:val="21"/>
              </w:rPr>
              <w:t>)</w:t>
            </w:r>
            <w:r>
              <w:rPr>
                <w:rFonts w:hint="eastAsia" w:ascii="宋体" w:hAnsi="宋体"/>
                <w:b/>
                <w:szCs w:val="21"/>
              </w:rPr>
              <w:t>×3</w:t>
            </w:r>
            <w:r>
              <w:rPr>
                <w:rFonts w:ascii="宋体" w:hAnsi="宋体"/>
                <w:b/>
                <w:szCs w:val="21"/>
              </w:rPr>
              <w:t>0</w:t>
            </w:r>
          </w:p>
        </w:tc>
        <w:tc>
          <w:tcPr>
            <w:tcW w:w="716" w:type="pct"/>
            <w:noWrap w:val="0"/>
            <w:vAlign w:val="top"/>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jc w:val="center"/>
        </w:trPr>
        <w:tc>
          <w:tcPr>
            <w:tcW w:w="859" w:type="pct"/>
            <w:gridSpan w:val="2"/>
            <w:noWrap w:val="0"/>
            <w:vAlign w:val="top"/>
          </w:tcPr>
          <w:p>
            <w:pPr>
              <w:spacing w:before="93" w:beforeLines="30"/>
              <w:ind w:left="120" w:hanging="120"/>
              <w:jc w:val="center"/>
              <w:rPr>
                <w:rFonts w:ascii="宋体" w:hAnsi="宋体" w:cs="宋体"/>
                <w:b/>
                <w:bCs/>
                <w:sz w:val="24"/>
              </w:rPr>
            </w:pPr>
            <w:r>
              <w:rPr>
                <w:rFonts w:hint="eastAsia" w:ascii="宋体" w:hAnsi="宋体" w:cs="宋体"/>
                <w:b/>
                <w:bCs/>
                <w:sz w:val="24"/>
              </w:rPr>
              <w:t>合计</w:t>
            </w:r>
          </w:p>
        </w:tc>
        <w:tc>
          <w:tcPr>
            <w:tcW w:w="265" w:type="pct"/>
            <w:noWrap w:val="0"/>
            <w:vAlign w:val="top"/>
          </w:tcPr>
          <w:p>
            <w:pPr>
              <w:spacing w:before="93" w:beforeLines="30"/>
              <w:ind w:left="120" w:hanging="120"/>
              <w:jc w:val="center"/>
              <w:rPr>
                <w:rFonts w:ascii="宋体" w:hAnsi="宋体" w:cs="宋体"/>
                <w:b/>
                <w:bCs/>
                <w:sz w:val="24"/>
              </w:rPr>
            </w:pPr>
            <w:r>
              <w:rPr>
                <w:rFonts w:hint="eastAsia" w:ascii="宋体" w:hAnsi="宋体" w:cs="宋体"/>
                <w:b/>
                <w:bCs/>
                <w:sz w:val="24"/>
              </w:rPr>
              <w:t>30</w:t>
            </w:r>
          </w:p>
        </w:tc>
        <w:tc>
          <w:tcPr>
            <w:tcW w:w="3160" w:type="pct"/>
            <w:noWrap w:val="0"/>
            <w:vAlign w:val="top"/>
          </w:tcPr>
          <w:p>
            <w:pPr>
              <w:spacing w:before="93" w:beforeLines="30"/>
              <w:ind w:left="120" w:hanging="120"/>
              <w:jc w:val="center"/>
              <w:rPr>
                <w:rFonts w:ascii="宋体" w:hAnsi="宋体" w:cs="宋体"/>
                <w:b/>
                <w:bCs/>
                <w:sz w:val="24"/>
              </w:rPr>
            </w:pPr>
            <w:r>
              <w:rPr>
                <w:rFonts w:hint="eastAsia" w:ascii="宋体" w:hAnsi="宋体" w:cs="宋体"/>
                <w:b/>
                <w:bCs/>
                <w:sz w:val="24"/>
              </w:rPr>
              <w:t>得分合计</w:t>
            </w:r>
          </w:p>
        </w:tc>
        <w:tc>
          <w:tcPr>
            <w:tcW w:w="716" w:type="pct"/>
            <w:noWrap w:val="0"/>
            <w:vAlign w:val="top"/>
          </w:tcPr>
          <w:p>
            <w:pPr>
              <w:spacing w:before="93" w:beforeLines="30"/>
              <w:ind w:left="120" w:hanging="120"/>
              <w:jc w:val="center"/>
              <w:rPr>
                <w:rFonts w:ascii="宋体" w:hAnsi="宋体" w:cs="宋体"/>
                <w:b/>
                <w:bCs/>
                <w:sz w:val="24"/>
              </w:rPr>
            </w:pPr>
          </w:p>
        </w:tc>
      </w:tr>
    </w:tbl>
    <w:p>
      <w:pPr>
        <w:pStyle w:val="19"/>
        <w:rPr>
          <w:rFonts w:hint="eastAsia"/>
          <w:shd w:val="clear" w:color="FFFFFF" w:fill="D9D9D9"/>
          <w:lang w:val="en-US" w:eastAsia="zh-CN"/>
        </w:rPr>
      </w:pPr>
    </w:p>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4"/>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重要</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spacing w:line="500" w:lineRule="exact"/>
        <w:rPr>
          <w:rFonts w:hint="eastAsia" w:ascii="宋体" w:hAnsi="宋体" w:cs="宋体"/>
          <w:b/>
          <w:bCs w:val="0"/>
          <w:color w:val="000000"/>
          <w:sz w:val="21"/>
          <w:szCs w:val="21"/>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2"/>
        <w:rPr>
          <w:rFonts w:hint="eastAsia"/>
        </w:rPr>
      </w:pPr>
    </w:p>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00" w:tblpY="202"/>
        <w:tblOverlap w:val="never"/>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6"/>
        <w:gridCol w:w="855"/>
        <w:gridCol w:w="884"/>
        <w:gridCol w:w="193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pct"/>
            <w:vAlign w:val="center"/>
          </w:tcPr>
          <w:p>
            <w:pPr>
              <w:spacing w:line="560" w:lineRule="exact"/>
              <w:jc w:val="center"/>
              <w:rPr>
                <w:rFonts w:hint="default" w:ascii="宋体" w:hAnsi="宋体" w:eastAsia="宋体" w:cs="宋体"/>
                <w:b/>
                <w:bCs/>
                <w:color w:val="auto"/>
                <w:sz w:val="26"/>
                <w:szCs w:val="26"/>
                <w:lang w:val="en-US" w:eastAsia="zh-CN"/>
              </w:rPr>
            </w:pPr>
            <w:r>
              <w:rPr>
                <w:rFonts w:hint="eastAsia" w:ascii="宋体" w:hAnsi="宋体" w:cs="宋体"/>
                <w:b/>
                <w:bCs/>
                <w:color w:val="auto"/>
                <w:sz w:val="26"/>
                <w:szCs w:val="26"/>
                <w:lang w:val="en-US" w:eastAsia="zh-CN"/>
              </w:rPr>
              <w:t>项目名称</w:t>
            </w:r>
          </w:p>
        </w:tc>
        <w:tc>
          <w:tcPr>
            <w:tcW w:w="47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4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106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992"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81" w:type="pct"/>
            <w:vAlign w:val="center"/>
          </w:tcPr>
          <w:p>
            <w:pPr>
              <w:spacing w:line="560" w:lineRule="exact"/>
              <w:jc w:val="center"/>
              <w:rPr>
                <w:rFonts w:hint="eastAsia" w:ascii="宋体" w:hAnsi="宋体" w:eastAsia="宋体" w:cs="宋体"/>
                <w:b/>
                <w:color w:val="auto"/>
                <w:sz w:val="26"/>
                <w:szCs w:val="26"/>
              </w:rPr>
            </w:pPr>
          </w:p>
        </w:tc>
        <w:tc>
          <w:tcPr>
            <w:tcW w:w="471" w:type="pct"/>
            <w:vAlign w:val="center"/>
          </w:tcPr>
          <w:p>
            <w:pPr>
              <w:spacing w:line="560" w:lineRule="exact"/>
              <w:jc w:val="center"/>
              <w:rPr>
                <w:rFonts w:hint="eastAsia" w:ascii="宋体" w:hAnsi="宋体" w:eastAsia="宋体" w:cs="宋体"/>
                <w:color w:val="auto"/>
                <w:sz w:val="26"/>
                <w:szCs w:val="26"/>
              </w:rPr>
            </w:pPr>
          </w:p>
        </w:tc>
        <w:tc>
          <w:tcPr>
            <w:tcW w:w="487" w:type="pct"/>
            <w:vAlign w:val="center"/>
          </w:tcPr>
          <w:p>
            <w:pPr>
              <w:spacing w:line="560" w:lineRule="exact"/>
              <w:jc w:val="center"/>
              <w:rPr>
                <w:rFonts w:hint="eastAsia" w:ascii="宋体" w:hAnsi="宋体" w:eastAsia="宋体" w:cs="宋体"/>
                <w:color w:val="auto"/>
                <w:sz w:val="26"/>
                <w:szCs w:val="26"/>
              </w:rPr>
            </w:pPr>
          </w:p>
        </w:tc>
        <w:tc>
          <w:tcPr>
            <w:tcW w:w="1066" w:type="pct"/>
            <w:vAlign w:val="center"/>
          </w:tcPr>
          <w:p>
            <w:pPr>
              <w:spacing w:line="560" w:lineRule="exact"/>
              <w:jc w:val="center"/>
              <w:rPr>
                <w:rFonts w:hint="eastAsia" w:ascii="宋体" w:hAnsi="宋体" w:eastAsia="宋体" w:cs="宋体"/>
                <w:color w:val="auto"/>
                <w:sz w:val="26"/>
                <w:szCs w:val="26"/>
              </w:rPr>
            </w:pPr>
          </w:p>
        </w:tc>
        <w:tc>
          <w:tcPr>
            <w:tcW w:w="992"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cs="宋体"/>
          <w:szCs w:val="21"/>
        </w:rPr>
        <w:t>项目业绩</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cs="宋体"/>
          <w:szCs w:val="21"/>
        </w:rPr>
        <w:t>拟投入人员</w:t>
      </w:r>
      <w:r>
        <w:rPr>
          <w:rFonts w:hint="eastAsia" w:hAnsi="宋体" w:cs="宋体"/>
          <w:szCs w:val="21"/>
          <w:lang w:val="en-US" w:eastAsia="zh-CN"/>
        </w:rPr>
        <w:t>方案</w:t>
      </w:r>
    </w:p>
    <w:p>
      <w:pPr>
        <w:pStyle w:val="3"/>
        <w:ind w:left="0" w:leftChars="0" w:firstLine="0" w:firstLineChars="0"/>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3"/>
        <w:rPr>
          <w:rFonts w:hint="eastAsia" w:ascii="宋体" w:hAnsi="宋体" w:eastAsia="宋体" w:cs="宋体"/>
          <w:color w:val="auto"/>
          <w:sz w:val="24"/>
          <w:szCs w:val="24"/>
          <w:highlight w:val="none"/>
          <w:lang w:val="en-US" w:eastAsia="zh-CN"/>
        </w:rPr>
      </w:pPr>
    </w:p>
    <w:p>
      <w:pPr>
        <w:rPr>
          <w:rFonts w:hint="default"/>
          <w:lang w:val="en-US" w:eastAsia="zh-CN"/>
        </w:rPr>
      </w:pPr>
      <w:r>
        <w:rPr>
          <w:rFonts w:hint="eastAsia" w:ascii="宋体" w:hAnsi="宋体" w:cs="宋体"/>
          <w:color w:val="auto"/>
          <w:sz w:val="24"/>
          <w:szCs w:val="24"/>
          <w:highlight w:val="none"/>
          <w:lang w:val="en-US" w:eastAsia="zh-CN"/>
        </w:rPr>
        <w:t>8.其他</w:t>
      </w: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467ED1D"/>
    <w:multiLevelType w:val="singleLevel"/>
    <w:tmpl w:val="D467ED1D"/>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86483A5"/>
    <w:multiLevelType w:val="singleLevel"/>
    <w:tmpl w:val="286483A5"/>
    <w:lvl w:ilvl="0" w:tentative="0">
      <w:start w:val="6"/>
      <w:numFmt w:val="chineseCounting"/>
      <w:suff w:val="nothing"/>
      <w:lvlText w:val="%1、"/>
      <w:lvlJc w:val="left"/>
      <w:rPr>
        <w:rFonts w:hint="eastAsia"/>
      </w:rPr>
    </w:lvl>
  </w:abstractNum>
  <w:abstractNum w:abstractNumId="4">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5">
    <w:nsid w:val="6FEF5E58"/>
    <w:multiLevelType w:val="singleLevel"/>
    <w:tmpl w:val="6FEF5E58"/>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824491C"/>
    <w:rsid w:val="13F32450"/>
    <w:rsid w:val="14BB0B18"/>
    <w:rsid w:val="174F240F"/>
    <w:rsid w:val="19BD0BCC"/>
    <w:rsid w:val="1A7850C9"/>
    <w:rsid w:val="21946261"/>
    <w:rsid w:val="26E9186E"/>
    <w:rsid w:val="29864AF9"/>
    <w:rsid w:val="2FDE7907"/>
    <w:rsid w:val="329937C6"/>
    <w:rsid w:val="41E7087C"/>
    <w:rsid w:val="4770286C"/>
    <w:rsid w:val="62951A17"/>
    <w:rsid w:val="73CD0149"/>
    <w:rsid w:val="748911CC"/>
    <w:rsid w:val="78866507"/>
    <w:rsid w:val="79587DE9"/>
    <w:rsid w:val="79675089"/>
    <w:rsid w:val="7C987517"/>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2">
    <w:name w:val="NormalCharacter"/>
    <w:semiHidden/>
    <w:qFormat/>
    <w:uiPriority w:val="0"/>
  </w:style>
  <w:style w:type="paragraph" w:customStyle="1" w:styleId="23">
    <w:name w:val="BodyTextIndent"/>
    <w:basedOn w:val="1"/>
    <w:qFormat/>
    <w:uiPriority w:val="0"/>
    <w:pPr>
      <w:ind w:firstLine="538" w:firstLineChars="192"/>
      <w:jc w:val="both"/>
      <w:textAlignment w:val="baseline"/>
    </w:pPr>
    <w:rPr>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6339</Words>
  <Characters>6627</Characters>
  <Lines>0</Lines>
  <Paragraphs>0</Paragraphs>
  <TotalTime>12</TotalTime>
  <ScaleCrop>false</ScaleCrop>
  <LinksUpToDate>false</LinksUpToDate>
  <CharactersWithSpaces>6875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2023-10-09T11:34:35Z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E7BA3A01E01D4BD9B118B4C534D56E56</vt:lpwstr>
  </property>
</Properties>
</file>