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72"/>
          <w:szCs w:val="72"/>
          <w:highlight w:val="none"/>
          <w:lang w:val="en-US" w:eastAsia="zh-CN"/>
        </w:rPr>
      </w:pPr>
      <w:r>
        <w:rPr>
          <w:rFonts w:hint="eastAsia" w:ascii="仿宋" w:hAnsi="仿宋" w:eastAsia="仿宋" w:cs="仿宋"/>
          <w:b/>
          <w:color w:val="auto"/>
          <w:sz w:val="72"/>
          <w:szCs w:val="72"/>
          <w:highlight w:val="none"/>
          <w:lang w:val="en-US" w:eastAsia="zh-CN"/>
        </w:rPr>
        <w:t>谈 判 文 件</w:t>
      </w:r>
    </w:p>
    <w:p>
      <w:pPr>
        <w:widowControl/>
        <w:spacing w:line="360" w:lineRule="auto"/>
        <w:jc w:val="center"/>
        <w:rPr>
          <w:rFonts w:hint="eastAsia" w:ascii="仿宋" w:hAnsi="仿宋" w:eastAsia="仿宋" w:cs="仿宋"/>
          <w:b/>
          <w:color w:val="auto"/>
          <w:sz w:val="36"/>
          <w:szCs w:val="36"/>
          <w:highlight w:val="none"/>
        </w:rPr>
      </w:pPr>
    </w:p>
    <w:p>
      <w:pPr>
        <w:pStyle w:val="9"/>
        <w:rPr>
          <w:rFonts w:hint="eastAsia" w:ascii="仿宋" w:hAnsi="仿宋" w:eastAsia="仿宋" w:cs="仿宋"/>
          <w:b/>
          <w:color w:val="auto"/>
          <w:sz w:val="36"/>
          <w:szCs w:val="36"/>
          <w:highlight w:val="none"/>
        </w:rPr>
      </w:pPr>
    </w:p>
    <w:p>
      <w:pPr>
        <w:pStyle w:val="10"/>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9"/>
        <w:rPr>
          <w:rFonts w:hint="eastAsia" w:ascii="仿宋" w:hAnsi="仿宋" w:eastAsia="仿宋" w:cs="仿宋"/>
          <w:b/>
          <w:color w:val="auto"/>
          <w:sz w:val="36"/>
          <w:szCs w:val="36"/>
          <w:highlight w:val="none"/>
        </w:rPr>
      </w:pPr>
    </w:p>
    <w:p>
      <w:pPr>
        <w:pStyle w:val="10"/>
        <w:rPr>
          <w:rFonts w:hint="eastAsia" w:ascii="仿宋" w:hAnsi="仿宋" w:eastAsia="仿宋" w:cs="仿宋"/>
          <w:b/>
          <w:color w:val="auto"/>
          <w:sz w:val="36"/>
          <w:szCs w:val="36"/>
          <w:highlight w:val="none"/>
        </w:rPr>
      </w:pPr>
    </w:p>
    <w:p>
      <w:pPr>
        <w:rPr>
          <w:rFonts w:hint="eastAsia" w:ascii="仿宋" w:hAnsi="仿宋" w:eastAsia="仿宋" w:cs="仿宋"/>
          <w:color w:val="auto"/>
          <w:sz w:val="36"/>
          <w:szCs w:val="36"/>
          <w:highlight w:val="none"/>
        </w:rPr>
      </w:pPr>
    </w:p>
    <w:p>
      <w:pPr>
        <w:widowControl/>
        <w:spacing w:line="360" w:lineRule="auto"/>
        <w:jc w:val="center"/>
        <w:rPr>
          <w:rFonts w:hint="eastAsia" w:ascii="仿宋" w:hAnsi="仿宋" w:eastAsia="仿宋" w:cs="仿宋"/>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val="en-US" w:eastAsia="zh-CN"/>
        </w:rPr>
        <w:t>中山市小榄人民医院无线AP采购项目</w:t>
      </w:r>
    </w:p>
    <w:p>
      <w:pPr>
        <w:pStyle w:val="24"/>
        <w:ind w:left="0" w:leftChars="0" w:firstLine="0" w:firstLineChars="0"/>
        <w:jc w:val="center"/>
        <w:rPr>
          <w:rFonts w:hint="default"/>
          <w:highlight w:val="none"/>
          <w:lang w:val="en-US" w:eastAsia="zh-CN"/>
        </w:rPr>
      </w:pPr>
      <w:r>
        <w:rPr>
          <w:rFonts w:hint="eastAsia" w:ascii="仿宋" w:hAnsi="仿宋" w:eastAsia="仿宋" w:cs="仿宋"/>
          <w:b/>
          <w:bCs/>
          <w:color w:val="auto"/>
          <w:sz w:val="36"/>
          <w:szCs w:val="36"/>
          <w:highlight w:val="none"/>
          <w:lang w:val="en-US" w:eastAsia="zh-CN"/>
        </w:rPr>
        <w:t>项目编号：SQD2023022000015</w:t>
      </w:r>
    </w:p>
    <w:p>
      <w:pPr>
        <w:pStyle w:val="9"/>
        <w:rPr>
          <w:rFonts w:hint="eastAsia" w:ascii="仿宋" w:hAnsi="仿宋" w:eastAsia="仿宋" w:cs="仿宋"/>
          <w:b/>
          <w:bCs/>
          <w:color w:val="auto"/>
          <w:sz w:val="36"/>
          <w:szCs w:val="36"/>
          <w:highlight w:val="none"/>
          <w:lang w:val="en-US" w:eastAsia="zh-CN"/>
        </w:rPr>
      </w:pPr>
    </w:p>
    <w:p>
      <w:pPr>
        <w:pStyle w:val="10"/>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9"/>
        <w:rPr>
          <w:rFonts w:hint="eastAsia" w:ascii="仿宋" w:hAnsi="仿宋" w:eastAsia="仿宋" w:cs="仿宋"/>
          <w:b/>
          <w:bCs/>
          <w:color w:val="auto"/>
          <w:sz w:val="36"/>
          <w:szCs w:val="36"/>
          <w:highlight w:val="none"/>
          <w:lang w:val="en-US" w:eastAsia="zh-CN"/>
        </w:rPr>
      </w:pPr>
    </w:p>
    <w:p>
      <w:pPr>
        <w:pStyle w:val="10"/>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9"/>
        <w:rPr>
          <w:rFonts w:hint="eastAsia" w:ascii="仿宋" w:hAnsi="仿宋" w:eastAsia="仿宋" w:cs="仿宋"/>
          <w:b/>
          <w:bCs/>
          <w:color w:val="auto"/>
          <w:sz w:val="36"/>
          <w:szCs w:val="36"/>
          <w:highlight w:val="none"/>
          <w:lang w:val="en-US" w:eastAsia="zh-CN"/>
        </w:rPr>
      </w:pPr>
    </w:p>
    <w:p>
      <w:pPr>
        <w:tabs>
          <w:tab w:val="left" w:pos="0"/>
          <w:tab w:val="left" w:pos="426"/>
        </w:tabs>
        <w:wordWrap w:val="0"/>
        <w:spacing w:line="360" w:lineRule="auto"/>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3</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10</w:t>
      </w:r>
      <w:r>
        <w:rPr>
          <w:rFonts w:hint="eastAsia" w:ascii="仿宋" w:hAnsi="仿宋" w:eastAsia="仿宋" w:cs="仿宋"/>
          <w:b/>
          <w:bCs/>
          <w:color w:val="auto"/>
          <w:sz w:val="36"/>
          <w:szCs w:val="36"/>
          <w:highlight w:val="none"/>
        </w:rPr>
        <w:t>月</w:t>
      </w:r>
    </w:p>
    <w:p>
      <w:pPr>
        <w:rPr>
          <w:rFonts w:hint="eastAsia"/>
          <w:highlight w:val="none"/>
          <w:lang w:eastAsia="zh-CN"/>
        </w:rPr>
      </w:pPr>
    </w:p>
    <w:p>
      <w:pPr>
        <w:pStyle w:val="10"/>
        <w:rPr>
          <w:rFonts w:hint="default"/>
          <w:highlight w:val="none"/>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default"/>
          <w:highlight w:val="none"/>
          <w:lang w:val="en-US" w:eastAsia="zh-CN"/>
        </w:rPr>
      </w:pPr>
    </w:p>
    <w:sdt>
      <w:sdtPr>
        <w:rPr>
          <w:rFonts w:hint="eastAsia" w:ascii="仿宋" w:hAnsi="仿宋" w:eastAsia="仿宋" w:cs="仿宋"/>
          <w:kern w:val="2"/>
          <w:sz w:val="28"/>
          <w:szCs w:val="28"/>
          <w:highlight w:val="none"/>
          <w:lang w:val="en-US" w:eastAsia="zh-CN" w:bidi="ar-SA"/>
        </w:rPr>
        <w:id w:val="147474871"/>
        <w15:color w:val="DBDBDB"/>
        <w:docPartObj>
          <w:docPartGallery w:val="Table of Contents"/>
          <w:docPartUnique/>
        </w:docPartObj>
      </w:sdtPr>
      <w:sdtEndPr>
        <w:rPr>
          <w:rFonts w:hint="eastAsia" w:ascii="仿宋" w:hAnsi="仿宋" w:eastAsia="仿宋" w:cs="仿宋"/>
          <w:b/>
          <w:bCs/>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bookmarkStart w:id="0" w:name="_Toc17594_WPSOffice_Type1"/>
          <w:r>
            <w:rPr>
              <w:rFonts w:hint="eastAsia" w:ascii="仿宋" w:hAnsi="仿宋" w:eastAsia="仿宋" w:cs="仿宋"/>
              <w:b/>
              <w:bCs/>
              <w:sz w:val="28"/>
              <w:szCs w:val="28"/>
              <w:highlight w:val="none"/>
            </w:rPr>
            <w:t>目</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录</w:t>
          </w:r>
        </w:p>
        <w:p>
          <w:pPr>
            <w:pStyle w:val="25"/>
            <w:tabs>
              <w:tab w:val="right" w:leader="dot" w:pos="8306"/>
            </w:tabs>
            <w:rPr>
              <w:rFonts w:hint="eastAsia" w:ascii="仿宋" w:hAnsi="仿宋" w:eastAsia="仿宋" w:cs="仿宋"/>
              <w:b/>
              <w:bCs/>
              <w:sz w:val="28"/>
              <w:szCs w:val="28"/>
              <w:highlight w:val="none"/>
              <w:lang w:eastAsia="zh-CN"/>
            </w:rPr>
          </w:pPr>
          <w:sdt>
            <w:sdtPr>
              <w:rPr>
                <w:rFonts w:hint="eastAsia" w:ascii="仿宋" w:hAnsi="仿宋" w:eastAsia="仿宋" w:cs="仿宋"/>
                <w:b/>
                <w:bCs/>
                <w:kern w:val="2"/>
                <w:sz w:val="28"/>
                <w:szCs w:val="28"/>
                <w:highlight w:val="none"/>
                <w:lang w:val="en-US" w:eastAsia="zh-CN" w:bidi="ar-SA"/>
              </w:rPr>
              <w:id w:val="147474871"/>
              <w:placeholder>
                <w:docPart w:val="{23e60ae3-7a8d-4af9-b237-b2ec2688e4c8}"/>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第一部分 谈判邀请函</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2</w:t>
          </w:r>
        </w:p>
        <w:p>
          <w:pPr>
            <w:pStyle w:val="25"/>
            <w:tabs>
              <w:tab w:val="right" w:leader="dot" w:pos="8306"/>
            </w:tabs>
            <w:rPr>
              <w:rFonts w:hint="eastAsia" w:ascii="仿宋" w:hAnsi="仿宋" w:eastAsia="仿宋" w:cs="仿宋"/>
              <w:b/>
              <w:bCs/>
              <w:sz w:val="28"/>
              <w:szCs w:val="28"/>
              <w:highlight w:val="none"/>
              <w:lang w:eastAsia="zh-CN"/>
            </w:rPr>
          </w:pPr>
          <w:sdt>
            <w:sdtPr>
              <w:rPr>
                <w:rFonts w:hint="eastAsia" w:ascii="仿宋" w:hAnsi="仿宋" w:eastAsia="仿宋" w:cs="仿宋"/>
                <w:b/>
                <w:bCs/>
                <w:kern w:val="2"/>
                <w:sz w:val="28"/>
                <w:szCs w:val="28"/>
                <w:highlight w:val="none"/>
                <w:lang w:val="en-US" w:eastAsia="zh-CN" w:bidi="ar-SA"/>
              </w:rPr>
              <w:id w:val="147474871"/>
              <w:placeholder>
                <w:docPart w:val="{fb6986d5-d4c7-4efd-b5f1-7fa913a231d0}"/>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第二部分 采购需求书</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6</w:t>
          </w:r>
        </w:p>
        <w:p>
          <w:pPr>
            <w:pStyle w:val="25"/>
            <w:tabs>
              <w:tab w:val="right" w:leader="dot" w:pos="8306"/>
            </w:tabs>
            <w:rPr>
              <w:rFonts w:hint="default" w:ascii="仿宋" w:hAnsi="仿宋" w:eastAsia="仿宋" w:cs="仿宋"/>
              <w:b/>
              <w:bCs/>
              <w:sz w:val="28"/>
              <w:szCs w:val="28"/>
              <w:highlight w:val="none"/>
              <w:lang w:val="en-US" w:eastAsia="zh-CN"/>
            </w:rPr>
          </w:pPr>
          <w:sdt>
            <w:sdtPr>
              <w:rPr>
                <w:rFonts w:hint="eastAsia" w:ascii="仿宋" w:hAnsi="仿宋" w:eastAsia="仿宋" w:cs="仿宋"/>
                <w:b/>
                <w:bCs/>
                <w:kern w:val="2"/>
                <w:sz w:val="28"/>
                <w:szCs w:val="28"/>
                <w:highlight w:val="none"/>
                <w:lang w:val="en-US" w:eastAsia="zh-CN" w:bidi="ar-SA"/>
              </w:rPr>
              <w:id w:val="147474871"/>
              <w:placeholder>
                <w:docPart w:val="{90f722e0-8df3-41a8-a0cb-fc645b1ad85b}"/>
              </w:placeholder>
              <w15:color w:val="509DF3"/>
            </w:sdtPr>
            <w:sdtEndPr>
              <w:rPr>
                <w:rFonts w:hint="eastAsia"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第三部分 评分标准</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13</w:t>
          </w:r>
        </w:p>
        <w:p>
          <w:pPr>
            <w:pStyle w:val="25"/>
            <w:tabs>
              <w:tab w:val="right" w:leader="dot" w:pos="8306"/>
            </w:tabs>
            <w:rPr>
              <w:rFonts w:hint="default" w:ascii="仿宋" w:hAnsi="仿宋" w:eastAsia="仿宋" w:cs="仿宋"/>
              <w:b/>
              <w:bCs/>
              <w:sz w:val="28"/>
              <w:szCs w:val="28"/>
              <w:highlight w:val="none"/>
              <w:lang w:val="en-US" w:eastAsia="zh-CN"/>
            </w:rPr>
          </w:pPr>
          <w:sdt>
            <w:sdtPr>
              <w:rPr>
                <w:rFonts w:hint="eastAsia" w:ascii="仿宋" w:hAnsi="仿宋" w:eastAsia="仿宋" w:cs="仿宋"/>
                <w:b/>
                <w:bCs/>
                <w:kern w:val="2"/>
                <w:sz w:val="28"/>
                <w:szCs w:val="28"/>
                <w:highlight w:val="none"/>
                <w:lang w:val="en-US" w:eastAsia="zh-CN" w:bidi="ar-SA"/>
              </w:rPr>
              <w:id w:val="147474871"/>
              <w:placeholder>
                <w:docPart w:val="{374c8499-bb23-40ff-a681-38061e3be905}"/>
              </w:placeholder>
              <w15:color w:val="509DF3"/>
            </w:sdtPr>
            <w:sdtEndPr>
              <w:rPr>
                <w:rFonts w:hint="default" w:ascii="仿宋" w:hAnsi="仿宋" w:eastAsia="仿宋" w:cs="仿宋"/>
                <w:b/>
                <w:bCs/>
                <w:kern w:val="2"/>
                <w:sz w:val="28"/>
                <w:szCs w:val="28"/>
                <w:highlight w:val="none"/>
                <w:lang w:val="en-US" w:eastAsia="zh-CN" w:bidi="ar-SA"/>
              </w:rPr>
            </w:sdtEndPr>
            <w:sdtContent>
              <w:r>
                <w:rPr>
                  <w:rFonts w:hint="eastAsia" w:ascii="仿宋" w:hAnsi="仿宋" w:eastAsia="仿宋" w:cs="仿宋"/>
                  <w:b/>
                  <w:bCs/>
                  <w:kern w:val="2"/>
                  <w:sz w:val="28"/>
                  <w:szCs w:val="28"/>
                  <w:highlight w:val="none"/>
                  <w:lang w:val="en-US" w:eastAsia="zh-CN" w:bidi="ar-SA"/>
                </w:rPr>
                <w:t>第四部分 报价文件格式</w:t>
              </w:r>
            </w:sdtContent>
          </w:sdt>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lang w:val="en-US" w:eastAsia="zh-CN"/>
            </w:rPr>
            <w:t>16</w:t>
          </w:r>
        </w:p>
        <w:bookmarkEnd w:id="0"/>
        <w:p>
          <w:pPr>
            <w:pStyle w:val="25"/>
            <w:tabs>
              <w:tab w:val="right" w:leader="dot" w:pos="8306"/>
            </w:tabs>
            <w:rPr>
              <w:rFonts w:hint="eastAsia" w:ascii="仿宋" w:hAnsi="仿宋" w:eastAsia="仿宋" w:cs="仿宋"/>
              <w:b/>
              <w:bCs/>
              <w:sz w:val="28"/>
              <w:szCs w:val="28"/>
              <w:highlight w:val="none"/>
            </w:rPr>
          </w:pPr>
        </w:p>
      </w:sdtContent>
    </w:sdt>
    <w:p>
      <w:pPr>
        <w:pStyle w:val="9"/>
        <w:rPr>
          <w:rFonts w:hint="eastAsia" w:ascii="仿宋" w:hAnsi="仿宋" w:eastAsia="仿宋" w:cs="仿宋"/>
          <w:sz w:val="28"/>
          <w:szCs w:val="28"/>
          <w:highlight w:val="none"/>
        </w:rPr>
      </w:pPr>
    </w:p>
    <w:p>
      <w:pPr>
        <w:pStyle w:val="10"/>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pStyle w:val="10"/>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pStyle w:val="10"/>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pStyle w:val="10"/>
        <w:rPr>
          <w:rFonts w:hint="eastAsia" w:ascii="仿宋" w:hAnsi="仿宋" w:eastAsia="仿宋" w:cs="仿宋"/>
          <w:sz w:val="28"/>
          <w:szCs w:val="28"/>
          <w:highlight w:val="none"/>
        </w:rPr>
      </w:pPr>
    </w:p>
    <w:p>
      <w:pPr>
        <w:rPr>
          <w:rFonts w:hint="eastAsia" w:ascii="仿宋" w:hAnsi="仿宋" w:eastAsia="仿宋" w:cs="仿宋"/>
          <w:sz w:val="28"/>
          <w:szCs w:val="28"/>
          <w:highlight w:val="none"/>
        </w:rPr>
      </w:pPr>
    </w:p>
    <w:p>
      <w:pPr>
        <w:pStyle w:val="9"/>
        <w:rPr>
          <w:rFonts w:hint="eastAsia" w:ascii="仿宋" w:hAnsi="仿宋" w:eastAsia="仿宋" w:cs="仿宋"/>
          <w:sz w:val="28"/>
          <w:szCs w:val="28"/>
          <w:highlight w:val="none"/>
        </w:rPr>
      </w:pPr>
    </w:p>
    <w:p>
      <w:pPr>
        <w:pStyle w:val="10"/>
        <w:rPr>
          <w:rFonts w:hint="eastAsia" w:ascii="仿宋" w:hAnsi="仿宋" w:eastAsia="仿宋" w:cs="仿宋"/>
          <w:sz w:val="28"/>
          <w:szCs w:val="28"/>
          <w:highlight w:val="none"/>
        </w:rPr>
      </w:pPr>
    </w:p>
    <w:p>
      <w:pPr>
        <w:pStyle w:val="4"/>
        <w:bidi w:val="0"/>
        <w:jc w:val="center"/>
        <w:rPr>
          <w:rFonts w:hint="eastAsia"/>
          <w:color w:val="auto"/>
          <w:highlight w:val="none"/>
        </w:rPr>
      </w:pPr>
      <w:bookmarkStart w:id="1" w:name="_Toc26272340"/>
      <w:bookmarkStart w:id="2" w:name="_Toc25203"/>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pStyle w:val="4"/>
        <w:numPr>
          <w:ilvl w:val="0"/>
          <w:numId w:val="1"/>
        </w:numPr>
        <w:bidi w:val="0"/>
        <w:jc w:val="center"/>
        <w:rPr>
          <w:rFonts w:hint="eastAsia"/>
          <w:color w:val="auto"/>
          <w:highlight w:val="none"/>
          <w:lang w:eastAsia="zh-CN"/>
        </w:rPr>
      </w:pPr>
      <w:r>
        <w:rPr>
          <w:rFonts w:hint="eastAsia"/>
          <w:color w:val="auto"/>
          <w:highlight w:val="none"/>
        </w:rPr>
        <w:t xml:space="preserve"> </w:t>
      </w:r>
      <w:bookmarkEnd w:id="1"/>
      <w:r>
        <w:rPr>
          <w:rFonts w:hint="eastAsia"/>
          <w:color w:val="auto"/>
          <w:highlight w:val="none"/>
          <w:lang w:eastAsia="zh-CN"/>
        </w:rPr>
        <w:t>谈判邀请函</w:t>
      </w:r>
      <w:bookmarkEnd w:id="2"/>
    </w:p>
    <w:p>
      <w:pPr>
        <w:widowControl w:val="0"/>
        <w:numPr>
          <w:ilvl w:val="0"/>
          <w:numId w:val="0"/>
        </w:numPr>
        <w:jc w:val="both"/>
        <w:rPr>
          <w:rFonts w:hint="eastAsia"/>
          <w:highlight w:val="none"/>
          <w:lang w:eastAsia="zh-CN"/>
        </w:rPr>
      </w:pPr>
    </w:p>
    <w:p>
      <w:pPr>
        <w:pStyle w:val="9"/>
        <w:rPr>
          <w:rFonts w:hint="eastAsia"/>
          <w:highlight w:val="none"/>
          <w:lang w:eastAsia="zh-CN"/>
        </w:rPr>
      </w:pPr>
    </w:p>
    <w:p>
      <w:pPr>
        <w:pStyle w:val="10"/>
        <w:rPr>
          <w:rFonts w:hint="eastAsia"/>
          <w:highlight w:val="none"/>
          <w:lang w:eastAsia="zh-CN"/>
        </w:rPr>
      </w:pPr>
    </w:p>
    <w:p>
      <w:pPr>
        <w:rPr>
          <w:rFonts w:hint="eastAsia"/>
          <w:highlight w:val="none"/>
          <w:lang w:eastAsia="zh-CN"/>
        </w:rPr>
      </w:pPr>
    </w:p>
    <w:p>
      <w:pPr>
        <w:pStyle w:val="9"/>
        <w:rPr>
          <w:rFonts w:hint="eastAsia"/>
          <w:highlight w:val="none"/>
          <w:lang w:eastAsia="zh-CN"/>
        </w:rPr>
      </w:pPr>
    </w:p>
    <w:p>
      <w:pPr>
        <w:pStyle w:val="10"/>
        <w:rPr>
          <w:rFonts w:hint="eastAsia"/>
          <w:highlight w:val="none"/>
          <w:lang w:eastAsia="zh-CN"/>
        </w:rPr>
      </w:pPr>
    </w:p>
    <w:p>
      <w:pPr>
        <w:rPr>
          <w:rFonts w:hint="eastAsia"/>
          <w:highlight w:val="none"/>
          <w:lang w:eastAsia="zh-CN"/>
        </w:rPr>
      </w:pPr>
    </w:p>
    <w:p>
      <w:pPr>
        <w:pStyle w:val="9"/>
        <w:rPr>
          <w:rFonts w:hint="eastAsia"/>
          <w:highlight w:val="none"/>
          <w:lang w:eastAsia="zh-CN"/>
        </w:rPr>
      </w:pPr>
    </w:p>
    <w:p>
      <w:pPr>
        <w:pStyle w:val="10"/>
        <w:rPr>
          <w:rFonts w:hint="eastAsia"/>
          <w:highlight w:val="none"/>
          <w:lang w:eastAsia="zh-CN"/>
        </w:rPr>
      </w:pPr>
    </w:p>
    <w:p>
      <w:pPr>
        <w:rPr>
          <w:rFonts w:hint="eastAsia"/>
          <w:highlight w:val="none"/>
          <w:lang w:eastAsia="zh-CN"/>
        </w:rPr>
      </w:pPr>
    </w:p>
    <w:p>
      <w:pPr>
        <w:pStyle w:val="9"/>
        <w:rPr>
          <w:rFonts w:hint="eastAsia"/>
          <w:highlight w:val="none"/>
          <w:lang w:eastAsia="zh-CN"/>
        </w:rPr>
      </w:pPr>
    </w:p>
    <w:p>
      <w:pPr>
        <w:pStyle w:val="10"/>
        <w:rPr>
          <w:rFonts w:hint="eastAsia"/>
          <w:highlight w:val="none"/>
          <w:lang w:eastAsia="zh-CN"/>
        </w:rPr>
      </w:pPr>
    </w:p>
    <w:p>
      <w:pPr>
        <w:rPr>
          <w:rFonts w:hint="eastAsia"/>
          <w:highlight w:val="none"/>
          <w:lang w:eastAsia="zh-CN"/>
        </w:rPr>
      </w:pPr>
    </w:p>
    <w:p>
      <w:pPr>
        <w:pStyle w:val="9"/>
        <w:rPr>
          <w:rFonts w:hint="eastAsia"/>
          <w:highlight w:val="none"/>
          <w:lang w:eastAsia="zh-CN"/>
        </w:rPr>
      </w:pPr>
    </w:p>
    <w:p>
      <w:pPr>
        <w:pStyle w:val="10"/>
        <w:rPr>
          <w:rFonts w:hint="eastAsia"/>
          <w:highlight w:val="none"/>
          <w:lang w:eastAsia="zh-CN"/>
        </w:rPr>
      </w:pPr>
    </w:p>
    <w:p>
      <w:pPr>
        <w:rPr>
          <w:rFonts w:hint="eastAsia"/>
          <w:highlight w:val="none"/>
          <w:lang w:eastAsia="zh-CN"/>
        </w:rPr>
      </w:pPr>
    </w:p>
    <w:p>
      <w:pPr>
        <w:pStyle w:val="9"/>
        <w:rPr>
          <w:rFonts w:hint="eastAsia"/>
          <w:highlight w:val="none"/>
          <w:lang w:eastAsia="zh-CN"/>
        </w:rPr>
      </w:pPr>
    </w:p>
    <w:p>
      <w:pPr>
        <w:adjustRightInd w:val="0"/>
        <w:snapToGrid w:val="0"/>
        <w:spacing w:line="360" w:lineRule="auto"/>
        <w:jc w:val="center"/>
        <w:rPr>
          <w:rFonts w:hint="eastAsia" w:ascii="仿宋" w:hAnsi="仿宋" w:eastAsia="仿宋" w:cs="仿宋"/>
          <w:b/>
          <w:color w:val="auto"/>
          <w:kern w:val="28"/>
          <w:sz w:val="28"/>
          <w:szCs w:val="28"/>
          <w:highlight w:val="none"/>
          <w:lang w:eastAsia="zh-CN"/>
        </w:rPr>
      </w:pPr>
      <w:r>
        <w:rPr>
          <w:rFonts w:hint="eastAsia" w:ascii="仿宋" w:hAnsi="仿宋" w:eastAsia="仿宋" w:cs="仿宋"/>
          <w:b/>
          <w:color w:val="auto"/>
          <w:kern w:val="28"/>
          <w:sz w:val="28"/>
          <w:szCs w:val="28"/>
          <w:highlight w:val="none"/>
        </w:rPr>
        <w:t xml:space="preserve">  </w:t>
      </w:r>
      <w:r>
        <w:rPr>
          <w:rFonts w:hint="eastAsia" w:ascii="仿宋" w:hAnsi="仿宋" w:eastAsia="仿宋" w:cs="仿宋"/>
          <w:b/>
          <w:color w:val="auto"/>
          <w:kern w:val="28"/>
          <w:sz w:val="28"/>
          <w:szCs w:val="28"/>
          <w:highlight w:val="none"/>
          <w:lang w:eastAsia="zh-CN"/>
        </w:rPr>
        <w:t>谈判邀请函</w:t>
      </w:r>
    </w:p>
    <w:p>
      <w:pPr>
        <w:pStyle w:val="17"/>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一、</w:t>
      </w:r>
      <w:r>
        <w:rPr>
          <w:rStyle w:val="22"/>
          <w:rFonts w:hint="eastAsia" w:ascii="仿宋" w:hAnsi="仿宋" w:eastAsia="仿宋" w:cs="仿宋"/>
          <w:bCs/>
          <w:color w:val="auto"/>
          <w:sz w:val="24"/>
          <w:szCs w:val="24"/>
          <w:highlight w:val="none"/>
          <w:shd w:val="clear" w:color="auto" w:fill="FFFFFF"/>
        </w:rPr>
        <w:t>项目基本情况</w:t>
      </w:r>
    </w:p>
    <w:p>
      <w:pPr>
        <w:pStyle w:val="17"/>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7"/>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19"/>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9"/>
        <w:gridCol w:w="2504"/>
        <w:gridCol w:w="207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0" w:hRule="atLeast"/>
        </w:trPr>
        <w:tc>
          <w:tcPr>
            <w:tcW w:w="1119"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04"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074"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p>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840" w:type="dxa"/>
            <w:shd w:val="clear" w:color="auto" w:fill="F2F2F2"/>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119" w:type="dxa"/>
            <w:shd w:val="clear" w:color="auto" w:fill="FFFFFF"/>
            <w:noWrap/>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04" w:type="dxa"/>
            <w:shd w:val="clear" w:color="auto" w:fill="FFFFFF"/>
            <w:noWrap/>
            <w:tcMar>
              <w:left w:w="105" w:type="dxa"/>
              <w:right w:w="105" w:type="dxa"/>
            </w:tcMar>
            <w:vAlign w:val="center"/>
          </w:tcPr>
          <w:p>
            <w:pPr>
              <w:pStyle w:val="17"/>
              <w:widowControl/>
              <w:spacing w:beforeAutospacing="0" w:afterAutospacing="0"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中山市小榄人民医院无线AP采购项目</w:t>
            </w:r>
          </w:p>
        </w:tc>
        <w:tc>
          <w:tcPr>
            <w:tcW w:w="2074" w:type="dxa"/>
            <w:shd w:val="clear" w:color="auto" w:fill="FFFFFF"/>
            <w:noWrap/>
            <w:tcMar>
              <w:left w:w="105" w:type="dxa"/>
              <w:right w:w="105" w:type="dxa"/>
            </w:tcMar>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281500.00</w:t>
            </w:r>
          </w:p>
        </w:tc>
        <w:tc>
          <w:tcPr>
            <w:tcW w:w="2840" w:type="dxa"/>
            <w:shd w:val="clear" w:color="auto" w:fill="FFFFFF"/>
            <w:noWrap/>
            <w:tcMar>
              <w:left w:w="105" w:type="dxa"/>
              <w:right w:w="105" w:type="dxa"/>
            </w:tcMar>
            <w:vAlign w:val="center"/>
          </w:tcPr>
          <w:p>
            <w:pPr>
              <w:pStyle w:val="17"/>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采购清单、技术参数详细见附件《谈判文件》</w:t>
            </w:r>
          </w:p>
        </w:tc>
      </w:tr>
    </w:tbl>
    <w:p>
      <w:pPr>
        <w:pStyle w:val="17"/>
        <w:widowControl/>
        <w:numPr>
          <w:ilvl w:val="0"/>
          <w:numId w:val="0"/>
        </w:numPr>
        <w:spacing w:beforeAutospacing="0" w:afterAutospacing="0" w:line="360" w:lineRule="auto"/>
        <w:ind w:left="0" w:leftChars="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二、</w:t>
      </w:r>
      <w:r>
        <w:rPr>
          <w:rStyle w:val="22"/>
          <w:rFonts w:hint="eastAsia" w:ascii="仿宋" w:hAnsi="仿宋" w:eastAsia="仿宋" w:cs="仿宋"/>
          <w:bCs/>
          <w:color w:val="auto"/>
          <w:sz w:val="24"/>
          <w:szCs w:val="24"/>
          <w:highlight w:val="none"/>
          <w:shd w:val="clear" w:color="auto" w:fill="FFFFFF"/>
          <w:lang w:eastAsia="zh-CN"/>
        </w:rPr>
        <w:t>供应商</w:t>
      </w:r>
      <w:r>
        <w:rPr>
          <w:rStyle w:val="22"/>
          <w:rFonts w:hint="eastAsia" w:ascii="仿宋" w:hAnsi="仿宋" w:eastAsia="仿宋" w:cs="仿宋"/>
          <w:bCs/>
          <w:color w:val="auto"/>
          <w:sz w:val="24"/>
          <w:szCs w:val="24"/>
          <w:highlight w:val="none"/>
          <w:shd w:val="clear" w:color="auto" w:fill="FFFFFF"/>
        </w:rPr>
        <w:t>的资格要求</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2.1</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具有合法的法人资格，并在法律、财务上与项目经办人不存在关联关系；</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2.2报价设备或服务须在其法定营</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业范围内； </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2.3提供有</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效的三证合一的营业执照</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复印件</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 </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2.4</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单位负责人为同一人或者存在直接控股、管理关系的不同投标人；不得参加同一合同项下的谈判活动。</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2.5</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rPr>
        <w:t>提供偏离情况响应表，必须完全满足带"★"号条款中要求。</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Style w:val="22"/>
          <w:rFonts w:hint="eastAsia" w:ascii="仿宋" w:hAnsi="仿宋" w:eastAsia="仿宋" w:cs="仿宋"/>
          <w:b/>
          <w:bCs/>
          <w:i w:val="0"/>
          <w:iCs w:val="0"/>
          <w:caps w:val="0"/>
          <w:color w:val="auto"/>
          <w:spacing w:val="0"/>
          <w:sz w:val="24"/>
          <w:szCs w:val="24"/>
          <w:highlight w:val="none"/>
          <w:shd w:val="clear" w:fill="FFFFFF"/>
          <w:vertAlign w:val="baseline"/>
          <w:lang w:val="en-US"/>
        </w:rPr>
      </w:pPr>
      <w:r>
        <w:rPr>
          <w:rFonts w:hint="eastAsia" w:ascii="仿宋" w:hAnsi="仿宋" w:eastAsia="仿宋" w:cs="仿宋"/>
          <w:b/>
          <w:bCs/>
          <w:i w:val="0"/>
          <w:iCs w:val="0"/>
          <w:caps w:val="0"/>
          <w:color w:val="auto"/>
          <w:spacing w:val="0"/>
          <w:kern w:val="0"/>
          <w:sz w:val="24"/>
          <w:szCs w:val="24"/>
          <w:highlight w:val="none"/>
          <w:shd w:val="clear" w:fill="FFFFFF"/>
          <w:vertAlign w:val="baseline"/>
          <w:lang w:val="en-US" w:eastAsia="zh-CN" w:bidi="ar-SA"/>
        </w:rPr>
        <w:t>三、</w:t>
      </w:r>
      <w:r>
        <w:rPr>
          <w:rStyle w:val="22"/>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递交报价文件截止时间、递交方式</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3.1</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截止时间：</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2023</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年</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10</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月</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12</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日</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17</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rPr>
        <w:t>:00（北京时间）</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3.2</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报价文件递交份数：4份（1份正本、3份副本）</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3.3报价文件递交方式（以下方式均可）：</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begin"/>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instrText xml:space="preserve"> HYPERLINK "mailto:XXXXX@XXX.com" </w:instrTex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separate"/>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yxzb8420@126.com</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fldChar w:fldCharType="end"/>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孙小姐</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收件人：孙小姐</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收件电话：0760-88662120-8420</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收件地址：中山市小榄镇菊城大道中65号（小榄人民医院采购部）</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现场递交：中山市小榄人民医院内科大楼九楼采购部。</w:t>
      </w:r>
    </w:p>
    <w:p>
      <w:pPr>
        <w:pStyle w:val="17"/>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四、</w:t>
      </w:r>
      <w:r>
        <w:rPr>
          <w:rStyle w:val="22"/>
          <w:rFonts w:hint="eastAsia" w:ascii="仿宋" w:hAnsi="仿宋" w:eastAsia="仿宋" w:cs="仿宋"/>
          <w:bCs/>
          <w:color w:val="auto"/>
          <w:sz w:val="24"/>
          <w:szCs w:val="24"/>
          <w:highlight w:val="none"/>
          <w:shd w:val="clear" w:color="auto" w:fill="FFFFFF"/>
        </w:rPr>
        <w:t>公告期限</w:t>
      </w:r>
    </w:p>
    <w:p>
      <w:pPr>
        <w:pStyle w:val="17"/>
        <w:widowControl/>
        <w:shd w:val="clear" w:color="auto" w:fill="FFFFFF"/>
        <w:spacing w:beforeAutospacing="0" w:afterAutospacing="0" w:line="360" w:lineRule="auto"/>
        <w:ind w:firstLine="420"/>
        <w:textAlignment w:val="baseline"/>
        <w:rPr>
          <w:rStyle w:val="22"/>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7"/>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五、</w:t>
      </w:r>
      <w:r>
        <w:rPr>
          <w:rStyle w:val="22"/>
          <w:rFonts w:hint="eastAsia" w:ascii="仿宋" w:hAnsi="仿宋" w:eastAsia="仿宋" w:cs="仿宋"/>
          <w:bCs/>
          <w:color w:val="auto"/>
          <w:sz w:val="24"/>
          <w:szCs w:val="24"/>
          <w:highlight w:val="none"/>
          <w:shd w:val="clear" w:color="auto" w:fill="FFFFFF"/>
          <w:lang w:eastAsia="zh-CN"/>
        </w:rPr>
        <w:t>报价文件</w:t>
      </w:r>
      <w:r>
        <w:rPr>
          <w:rStyle w:val="22"/>
          <w:rFonts w:hint="eastAsia" w:ascii="仿宋" w:hAnsi="仿宋" w:eastAsia="仿宋" w:cs="仿宋"/>
          <w:bCs/>
          <w:color w:val="auto"/>
          <w:sz w:val="24"/>
          <w:szCs w:val="24"/>
          <w:highlight w:val="none"/>
          <w:shd w:val="clear" w:color="auto" w:fill="FFFFFF"/>
        </w:rPr>
        <w:t>要求</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报名时请各供应商按照以下要求提供完整的报价文件，供采购人进行预审：</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报价单</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偏离表</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法定代表人证明书及其授权委托书</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（4）</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单位负责人为同一人或者存在直接控股、管理关系的不同报价人，不得参加同一合同项下的谈判活动，供应商在参与本次谈判活动中未有围标、串标行为。并出具《无围标、串标行为承诺书》（加盖公章）。</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（5）</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厂家资质证件（包括但不限于营业执照等）</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各级经销商资质证件（包括但不限于营业执照等）</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7</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售后服务承诺函</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ab/>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8</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产品配置清单</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9</w:t>
      </w: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产品彩页</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注：</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以上文件均需盖公章。</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(2)</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供应商需与法人代表（或法定代表人授权委托人）一致。</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(3)</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预审通过后，采购人以电子邮件方式通知供应商进入下一阶段流程。</w:t>
      </w:r>
    </w:p>
    <w:p>
      <w:pPr>
        <w:pStyle w:val="17"/>
        <w:widowControl/>
        <w:numPr>
          <w:ilvl w:val="0"/>
          <w:numId w:val="0"/>
        </w:numPr>
        <w:shd w:val="clear" w:color="auto" w:fill="FFFFFF"/>
        <w:spacing w:beforeAutospacing="0" w:afterAutospacing="0" w:line="360" w:lineRule="auto"/>
        <w:ind w:left="0" w:leftChars="0" w:firstLine="0" w:firstLineChars="0"/>
        <w:jc w:val="both"/>
        <w:textAlignment w:val="baseline"/>
        <w:rPr>
          <w:rStyle w:val="22"/>
          <w:rFonts w:hint="eastAsia" w:ascii="仿宋" w:hAnsi="仿宋" w:eastAsia="仿宋" w:cs="仿宋"/>
          <w:bCs/>
          <w:color w:val="auto"/>
          <w:sz w:val="24"/>
          <w:szCs w:val="24"/>
          <w:highlight w:val="none"/>
          <w:shd w:val="clear" w:color="auto" w:fill="FFFFFF"/>
        </w:rPr>
      </w:pPr>
      <w:r>
        <w:rPr>
          <w:rFonts w:hint="eastAsia" w:ascii="仿宋" w:hAnsi="仿宋" w:eastAsia="仿宋" w:cs="仿宋"/>
          <w:b/>
          <w:bCs/>
          <w:color w:val="auto"/>
          <w:spacing w:val="10"/>
          <w:kern w:val="0"/>
          <w:sz w:val="24"/>
          <w:szCs w:val="24"/>
          <w:highlight w:val="none"/>
          <w:shd w:val="clear" w:fill="FFFFFF"/>
          <w:lang w:val="en-US" w:eastAsia="zh-CN" w:bidi="ar-SA"/>
        </w:rPr>
        <w:t>六、</w:t>
      </w:r>
      <w:r>
        <w:rPr>
          <w:rStyle w:val="22"/>
          <w:rFonts w:hint="eastAsia" w:ascii="仿宋" w:hAnsi="仿宋" w:eastAsia="仿宋" w:cs="仿宋"/>
          <w:bCs/>
          <w:color w:val="auto"/>
          <w:sz w:val="24"/>
          <w:szCs w:val="24"/>
          <w:highlight w:val="none"/>
          <w:shd w:val="clear" w:color="auto" w:fill="FFFFFF"/>
          <w:lang w:val="en-US" w:eastAsia="zh-CN"/>
        </w:rPr>
        <w:t>其他补充事宜</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6.1</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如现场提供资料与电子资料存在不一致，以纸质盖章资料为准。</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6.2</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0"/>
        </w:tabs>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22"/>
          <w:rFonts w:hint="default" w:ascii="仿宋" w:hAnsi="仿宋" w:eastAsia="仿宋" w:cs="仿宋"/>
          <w:b w:val="0"/>
          <w:bCs w:val="0"/>
          <w:i w:val="0"/>
          <w:iCs w:val="0"/>
          <w:caps w:val="0"/>
          <w:color w:val="auto"/>
          <w:spacing w:val="0"/>
          <w:sz w:val="24"/>
          <w:szCs w:val="24"/>
          <w:highlight w:val="none"/>
          <w:shd w:val="clear" w:fill="FFFFFF"/>
          <w:vertAlign w:val="baseline"/>
          <w:lang w:val="en-US" w:eastAsia="zh-CN"/>
        </w:rPr>
        <w:t>6.3</w:t>
      </w:r>
      <w:r>
        <w:rPr>
          <w:rStyle w:val="22"/>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递交报价文件截止前，需提供完整的报价文件供采购人预审，资料不全或不通过者，报名无效。</w:t>
      </w:r>
    </w:p>
    <w:p>
      <w:pPr>
        <w:pStyle w:val="17"/>
        <w:widowControl/>
        <w:numPr>
          <w:ilvl w:val="0"/>
          <w:numId w:val="0"/>
        </w:numPr>
        <w:shd w:val="clear" w:color="auto" w:fill="FFFFFF"/>
        <w:spacing w:beforeAutospacing="0" w:afterAutospacing="0" w:line="360" w:lineRule="auto"/>
        <w:ind w:left="0" w:leftChars="0" w:firstLine="0" w:firstLineChars="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lang w:val="en-US" w:eastAsia="zh-CN"/>
        </w:rPr>
        <w:t>监督部门联系方式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default"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2023年10月7日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4"/>
        <w:bidi w:val="0"/>
        <w:jc w:val="center"/>
        <w:rPr>
          <w:rFonts w:hint="eastAsia"/>
          <w:color w:val="auto"/>
          <w:highlight w:val="none"/>
        </w:rPr>
      </w:pPr>
      <w:bookmarkStart w:id="3" w:name="_Toc26272341"/>
      <w:bookmarkStart w:id="4" w:name="_Toc14672"/>
    </w:p>
    <w:p>
      <w:pPr>
        <w:pStyle w:val="4"/>
        <w:bidi w:val="0"/>
        <w:jc w:val="center"/>
        <w:rPr>
          <w:rFonts w:hint="eastAsia"/>
          <w:color w:val="auto"/>
          <w:highlight w:val="none"/>
          <w:lang w:eastAsia="zh-CN"/>
        </w:rPr>
      </w:pPr>
      <w:r>
        <w:rPr>
          <w:rFonts w:hint="eastAsia"/>
          <w:color w:val="auto"/>
          <w:highlight w:val="none"/>
        </w:rPr>
        <w:t>第二部分　</w:t>
      </w:r>
      <w:bookmarkEnd w:id="3"/>
      <w:r>
        <w:rPr>
          <w:rFonts w:hint="eastAsia"/>
          <w:color w:val="auto"/>
          <w:highlight w:val="none"/>
          <w:lang w:eastAsia="zh-CN"/>
        </w:rPr>
        <w:t>采购需求书</w:t>
      </w:r>
      <w:bookmarkEnd w:id="4"/>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0"/>
        <w:ind w:left="0" w:leftChars="0" w:firstLine="0" w:firstLineChars="0"/>
        <w:rPr>
          <w:rFonts w:hint="eastAsia"/>
          <w:highlight w:val="none"/>
          <w:lang w:eastAsia="zh-CN"/>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10"/>
        <w:ind w:left="0" w:leftChars="0" w:firstLine="0" w:firstLineChars="0"/>
        <w:rPr>
          <w:rFonts w:hint="eastAsia"/>
          <w:highlight w:val="none"/>
        </w:rPr>
      </w:pPr>
    </w:p>
    <w:p>
      <w:pPr>
        <w:rPr>
          <w:rFonts w:hint="eastAsia"/>
        </w:rPr>
      </w:pPr>
    </w:p>
    <w:p>
      <w:pPr>
        <w:pStyle w:val="2"/>
        <w:rPr>
          <w:rFonts w:hint="eastAsia"/>
        </w:rPr>
      </w:pPr>
    </w:p>
    <w:p>
      <w:pPr>
        <w:pStyle w:val="4"/>
        <w:spacing w:before="0" w:after="0" w:line="240" w:lineRule="auto"/>
        <w:jc w:val="center"/>
        <w:rPr>
          <w:rFonts w:ascii="宋体" w:hAnsi="宋体"/>
          <w:sz w:val="20"/>
          <w:szCs w:val="20"/>
        </w:rPr>
      </w:pPr>
      <w:r>
        <w:rPr>
          <w:rFonts w:hint="eastAsia" w:ascii="宋体" w:hAnsi="宋体"/>
          <w:sz w:val="32"/>
          <w:szCs w:val="32"/>
        </w:rPr>
        <w:t>用户需求书</w:t>
      </w:r>
    </w:p>
    <w:p>
      <w:pPr>
        <w:snapToGrid w:val="0"/>
        <w:spacing w:line="360" w:lineRule="auto"/>
        <w:rPr>
          <w:rFonts w:ascii="宋体" w:hAnsi="宋体"/>
          <w:b/>
          <w:bCs/>
        </w:rPr>
      </w:pPr>
      <w:r>
        <w:rPr>
          <w:rFonts w:hint="eastAsia" w:ascii="宋体" w:hAnsi="宋体"/>
          <w:b/>
          <w:bCs/>
        </w:rPr>
        <w:t>一、项目概况</w:t>
      </w:r>
    </w:p>
    <w:p>
      <w:pPr>
        <w:snapToGrid w:val="0"/>
        <w:spacing w:line="360" w:lineRule="auto"/>
        <w:ind w:firstLine="420" w:firstLineChars="200"/>
        <w:jc w:val="left"/>
        <w:rPr>
          <w:rFonts w:ascii="宋体" w:hAnsi="宋体"/>
          <w:bCs/>
        </w:rPr>
      </w:pPr>
      <w:r>
        <w:rPr>
          <w:rFonts w:hint="eastAsia" w:ascii="宋体" w:hAnsi="宋体"/>
          <w:bCs/>
        </w:rPr>
        <w:t>项目名称：中山市小榄人民医院无线AP采购项目</w:t>
      </w:r>
    </w:p>
    <w:p>
      <w:pPr>
        <w:snapToGrid w:val="0"/>
        <w:spacing w:line="360" w:lineRule="auto"/>
        <w:ind w:firstLine="420" w:firstLineChars="200"/>
        <w:jc w:val="left"/>
      </w:pPr>
      <w:r>
        <w:rPr>
          <w:rFonts w:hint="eastAsia" w:ascii="宋体" w:hAnsi="宋体"/>
          <w:bCs/>
        </w:rPr>
        <w:t>用户单位：中山市小榄人民医院</w:t>
      </w:r>
    </w:p>
    <w:p>
      <w:pPr>
        <w:snapToGrid w:val="0"/>
        <w:spacing w:line="360" w:lineRule="auto"/>
        <w:rPr>
          <w:rFonts w:ascii="宋体" w:hAnsi="宋体"/>
          <w:b/>
          <w:bCs/>
        </w:rPr>
      </w:pPr>
      <w:r>
        <w:rPr>
          <w:rFonts w:hint="eastAsia" w:ascii="宋体" w:hAnsi="宋体"/>
          <w:b/>
          <w:bCs/>
        </w:rPr>
        <w:t>二、项目采购清单及技术参数要求（含安装调试）</w:t>
      </w:r>
    </w:p>
    <w:tbl>
      <w:tblPr>
        <w:tblStyle w:val="19"/>
        <w:tblW w:w="5184" w:type="pct"/>
        <w:tblInd w:w="93" w:type="dxa"/>
        <w:tblLayout w:type="fixed"/>
        <w:tblCellMar>
          <w:top w:w="0" w:type="dxa"/>
          <w:left w:w="0" w:type="dxa"/>
          <w:bottom w:w="0" w:type="dxa"/>
          <w:right w:w="0" w:type="dxa"/>
        </w:tblCellMar>
      </w:tblPr>
      <w:tblGrid>
        <w:gridCol w:w="668"/>
        <w:gridCol w:w="1087"/>
        <w:gridCol w:w="2403"/>
        <w:gridCol w:w="705"/>
        <w:gridCol w:w="810"/>
        <w:gridCol w:w="1410"/>
        <w:gridCol w:w="1560"/>
      </w:tblGrid>
      <w:tr>
        <w:tblPrEx>
          <w:tblCellMar>
            <w:top w:w="0" w:type="dxa"/>
            <w:left w:w="0" w:type="dxa"/>
            <w:bottom w:w="0" w:type="dxa"/>
            <w:right w:w="0" w:type="dxa"/>
          </w:tblCellMar>
        </w:tblPrEx>
        <w:trPr>
          <w:trHeight w:val="460" w:hRule="atLeast"/>
        </w:trPr>
        <w:tc>
          <w:tcPr>
            <w:tcW w:w="668" w:type="dxa"/>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jc w:val="center"/>
              <w:textAlignment w:val="center"/>
              <w:rPr>
                <w:rFonts w:ascii="宋体" w:hAnsi="宋体"/>
                <w:b/>
                <w:color w:val="000000"/>
              </w:rPr>
            </w:pPr>
            <w:r>
              <w:rPr>
                <w:rFonts w:hint="eastAsia" w:ascii="宋体" w:hAnsi="宋体"/>
                <w:b/>
                <w:color w:val="000000"/>
                <w:kern w:val="0"/>
              </w:rPr>
              <w:t>序号</w:t>
            </w:r>
          </w:p>
        </w:tc>
        <w:tc>
          <w:tcPr>
            <w:tcW w:w="1087" w:type="dxa"/>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textAlignment w:val="center"/>
              <w:rPr>
                <w:rFonts w:ascii="宋体" w:hAnsi="宋体"/>
                <w:b/>
                <w:color w:val="000000"/>
              </w:rPr>
            </w:pPr>
            <w:r>
              <w:rPr>
                <w:rFonts w:hint="eastAsia" w:ascii="宋体" w:hAnsi="宋体"/>
                <w:b/>
                <w:color w:val="000000"/>
              </w:rPr>
              <w:t xml:space="preserve"> 产品名称</w:t>
            </w:r>
          </w:p>
        </w:tc>
        <w:tc>
          <w:tcPr>
            <w:tcW w:w="2403" w:type="dxa"/>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jc w:val="center"/>
              <w:textAlignment w:val="center"/>
              <w:rPr>
                <w:rFonts w:ascii="宋体" w:hAnsi="宋体"/>
                <w:b/>
                <w:color w:val="000000"/>
              </w:rPr>
            </w:pPr>
            <w:r>
              <w:rPr>
                <w:rFonts w:hint="eastAsia" w:ascii="宋体" w:hAnsi="宋体"/>
                <w:b/>
                <w:color w:val="000000"/>
              </w:rPr>
              <w:t>品牌</w:t>
            </w:r>
          </w:p>
        </w:tc>
        <w:tc>
          <w:tcPr>
            <w:tcW w:w="705" w:type="dxa"/>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jc w:val="center"/>
              <w:textAlignment w:val="center"/>
              <w:rPr>
                <w:rFonts w:ascii="宋体" w:hAnsi="宋体"/>
                <w:b/>
                <w:color w:val="000000"/>
                <w:kern w:val="0"/>
              </w:rPr>
            </w:pPr>
            <w:r>
              <w:rPr>
                <w:rFonts w:hint="eastAsia" w:ascii="宋体" w:hAnsi="宋体"/>
                <w:b/>
                <w:color w:val="000000"/>
                <w:kern w:val="0"/>
              </w:rPr>
              <w:t>单位</w:t>
            </w:r>
          </w:p>
        </w:tc>
        <w:tc>
          <w:tcPr>
            <w:tcW w:w="810" w:type="dxa"/>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jc w:val="center"/>
              <w:textAlignment w:val="center"/>
              <w:rPr>
                <w:rFonts w:ascii="宋体" w:hAnsi="宋体"/>
                <w:b/>
                <w:color w:val="000000"/>
              </w:rPr>
            </w:pPr>
            <w:r>
              <w:rPr>
                <w:rFonts w:hint="eastAsia" w:ascii="宋体" w:hAnsi="宋体"/>
                <w:b/>
                <w:color w:val="000000"/>
                <w:kern w:val="0"/>
              </w:rPr>
              <w:t>数量</w:t>
            </w:r>
          </w:p>
        </w:tc>
        <w:tc>
          <w:tcPr>
            <w:tcW w:w="1410" w:type="dxa"/>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b/>
                <w:color w:val="000000"/>
                <w:kern w:val="0"/>
              </w:rPr>
            </w:pPr>
            <w:r>
              <w:rPr>
                <w:rFonts w:hint="eastAsia" w:ascii="宋体" w:hAnsi="宋体"/>
                <w:b/>
                <w:color w:val="000000"/>
                <w:kern w:val="0"/>
              </w:rPr>
              <w:t>单价最高</w:t>
            </w:r>
          </w:p>
          <w:p>
            <w:pPr>
              <w:widowControl/>
              <w:jc w:val="center"/>
              <w:textAlignment w:val="center"/>
              <w:rPr>
                <w:rFonts w:ascii="宋体" w:hAnsi="宋体"/>
                <w:b/>
                <w:color w:val="000000"/>
              </w:rPr>
            </w:pPr>
            <w:r>
              <w:rPr>
                <w:rFonts w:hint="eastAsia" w:ascii="宋体" w:hAnsi="宋体"/>
                <w:b/>
                <w:color w:val="000000"/>
                <w:kern w:val="0"/>
              </w:rPr>
              <w:t>限价（元）</w:t>
            </w:r>
          </w:p>
        </w:tc>
        <w:tc>
          <w:tcPr>
            <w:tcW w:w="1560" w:type="dxa"/>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jc w:val="center"/>
              <w:textAlignment w:val="center"/>
              <w:rPr>
                <w:rFonts w:ascii="宋体" w:hAnsi="宋体"/>
                <w:b/>
                <w:color w:val="000000"/>
              </w:rPr>
            </w:pPr>
            <w:r>
              <w:rPr>
                <w:rFonts w:hint="eastAsia" w:ascii="宋体" w:hAnsi="宋体"/>
                <w:b/>
                <w:color w:val="000000"/>
                <w:kern w:val="0"/>
              </w:rPr>
              <w:t>小计（</w:t>
            </w:r>
            <w:r>
              <w:rPr>
                <w:rStyle w:val="29"/>
                <w:rFonts w:hint="default"/>
              </w:rPr>
              <w:t>元）</w:t>
            </w:r>
          </w:p>
        </w:tc>
      </w:tr>
      <w:tr>
        <w:tblPrEx>
          <w:tblCellMar>
            <w:top w:w="0" w:type="dxa"/>
            <w:left w:w="0" w:type="dxa"/>
            <w:bottom w:w="0" w:type="dxa"/>
            <w:right w:w="0" w:type="dxa"/>
          </w:tblCellMar>
        </w:tblPrEx>
        <w:trPr>
          <w:trHeight w:val="460" w:hRule="atLeast"/>
        </w:trPr>
        <w:tc>
          <w:tcPr>
            <w:tcW w:w="668"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color w:val="000000"/>
              </w:rPr>
            </w:pPr>
            <w:r>
              <w:rPr>
                <w:rFonts w:hint="eastAsia" w:ascii="宋体" w:hAnsi="宋体"/>
                <w:color w:val="000000"/>
                <w:kern w:val="0"/>
              </w:rPr>
              <w:t>1</w:t>
            </w:r>
          </w:p>
        </w:tc>
        <w:tc>
          <w:tcPr>
            <w:tcW w:w="108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Style w:val="30"/>
                <w:rFonts w:hint="default"/>
                <w:color w:val="auto"/>
              </w:rPr>
            </w:pPr>
            <w:r>
              <w:rPr>
                <w:rStyle w:val="30"/>
                <w:rFonts w:hint="default"/>
                <w:color w:val="auto"/>
              </w:rPr>
              <w:t>交换机/</w:t>
            </w:r>
          </w:p>
          <w:p>
            <w:pPr>
              <w:widowControl/>
              <w:jc w:val="center"/>
              <w:textAlignment w:val="center"/>
              <w:rPr>
                <w:rFonts w:ascii="宋体" w:hAnsi="宋体"/>
              </w:rPr>
            </w:pPr>
            <w:r>
              <w:rPr>
                <w:rStyle w:val="30"/>
                <w:rFonts w:hint="default"/>
                <w:color w:val="auto"/>
              </w:rPr>
              <w:t>交换设备</w:t>
            </w:r>
          </w:p>
        </w:tc>
        <w:tc>
          <w:tcPr>
            <w:tcW w:w="2403"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rPr>
            </w:pPr>
            <w:r>
              <w:rPr>
                <w:rFonts w:hint="eastAsia" w:ascii="宋体" w:hAnsi="宋体"/>
              </w:rPr>
              <w:t>思科（CISCO）</w:t>
            </w:r>
          </w:p>
          <w:p>
            <w:pPr>
              <w:widowControl/>
              <w:jc w:val="center"/>
              <w:textAlignment w:val="center"/>
              <w:rPr>
                <w:rFonts w:ascii="宋体" w:hAnsi="宋体"/>
              </w:rPr>
            </w:pPr>
          </w:p>
        </w:tc>
        <w:tc>
          <w:tcPr>
            <w:tcW w:w="705"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color w:val="000000"/>
                <w:kern w:val="0"/>
              </w:rPr>
            </w:pPr>
            <w:r>
              <w:rPr>
                <w:rFonts w:hint="eastAsia" w:ascii="宋体" w:hAnsi="宋体"/>
                <w:color w:val="000000"/>
                <w:kern w:val="0"/>
              </w:rPr>
              <w:t>台</w:t>
            </w:r>
          </w:p>
        </w:tc>
        <w:tc>
          <w:tcPr>
            <w:tcW w:w="810"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ascii="宋体" w:hAnsi="宋体"/>
                <w:color w:val="000000"/>
              </w:rPr>
            </w:pPr>
            <w:r>
              <w:rPr>
                <w:rFonts w:hint="eastAsia" w:ascii="宋体" w:hAnsi="宋体"/>
                <w:color w:val="000000"/>
                <w:kern w:val="0"/>
              </w:rPr>
              <w:t>50</w:t>
            </w:r>
          </w:p>
        </w:tc>
        <w:tc>
          <w:tcPr>
            <w:tcW w:w="1410"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lang w:val="en-US" w:eastAsia="zh-CN"/>
              </w:rPr>
            </w:pPr>
            <w:r>
              <w:rPr>
                <w:rFonts w:hint="eastAsia" w:ascii="宋体" w:hAnsi="宋体"/>
                <w:color w:val="000000"/>
                <w:kern w:val="0"/>
                <w:lang w:val="en-US" w:eastAsia="zh-CN"/>
              </w:rPr>
              <w:t>5630</w:t>
            </w:r>
          </w:p>
        </w:tc>
        <w:tc>
          <w:tcPr>
            <w:tcW w:w="1560"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jc w:val="center"/>
              <w:textAlignment w:val="center"/>
              <w:rPr>
                <w:rFonts w:hint="default" w:ascii="宋体" w:hAnsi="宋体" w:eastAsia="宋体"/>
                <w:color w:val="000000"/>
                <w:lang w:val="en-US" w:eastAsia="zh-CN"/>
              </w:rPr>
            </w:pPr>
            <w:r>
              <w:rPr>
                <w:rFonts w:hint="eastAsia" w:ascii="宋体" w:hAnsi="宋体"/>
                <w:color w:val="000000"/>
                <w:kern w:val="0"/>
                <w:lang w:val="en-US" w:eastAsia="zh-CN"/>
              </w:rPr>
              <w:t>281500</w:t>
            </w:r>
          </w:p>
        </w:tc>
      </w:tr>
    </w:tbl>
    <w:p>
      <w:pPr>
        <w:autoSpaceDE w:val="0"/>
        <w:autoSpaceDN w:val="0"/>
        <w:spacing w:line="360" w:lineRule="auto"/>
        <w:rPr>
          <w:rFonts w:ascii="宋体" w:hAnsi="宋体"/>
          <w:b/>
          <w:color w:val="000000"/>
        </w:rPr>
      </w:pPr>
      <w:r>
        <w:rPr>
          <w:rFonts w:hint="eastAsia" w:ascii="宋体" w:hAnsi="宋体"/>
          <w:b/>
          <w:color w:val="000000"/>
        </w:rPr>
        <w:t>说明：</w:t>
      </w:r>
    </w:p>
    <w:p>
      <w:pPr>
        <w:numPr>
          <w:ilvl w:val="0"/>
          <w:numId w:val="2"/>
        </w:numPr>
        <w:spacing w:line="360" w:lineRule="auto"/>
        <w:ind w:left="420" w:hanging="420" w:hangingChars="200"/>
        <w:jc w:val="left"/>
        <w:rPr>
          <w:rFonts w:ascii="宋体" w:hAnsi="宋体"/>
          <w:bCs/>
        </w:rPr>
      </w:pPr>
      <w:r>
        <w:rPr>
          <w:rFonts w:hint="eastAsia" w:ascii="宋体" w:hAnsi="宋体"/>
          <w:bCs/>
        </w:rPr>
        <w:t>★ 供应商对以上采购清单的货物报价，报价不得高于本项目采购预算价。</w:t>
      </w:r>
    </w:p>
    <w:p>
      <w:pPr>
        <w:numPr>
          <w:ilvl w:val="0"/>
          <w:numId w:val="2"/>
        </w:numPr>
        <w:spacing w:line="360" w:lineRule="auto"/>
        <w:ind w:left="420" w:hanging="420" w:hangingChars="200"/>
        <w:jc w:val="left"/>
        <w:rPr>
          <w:rFonts w:ascii="宋体" w:hAnsi="宋体"/>
          <w:bCs/>
        </w:rPr>
      </w:pPr>
      <w:r>
        <w:rPr>
          <w:rFonts w:hint="eastAsia" w:ascii="宋体" w:hAnsi="宋体"/>
          <w:bCs/>
        </w:rPr>
        <w:t>报价含送货、安装（包括包工包料的50条网络布线）、调试（联合无线控器调试，含50个原厂许可，确保信号无间覆盖）等及相关人工费、运输费、税费。</w:t>
      </w:r>
    </w:p>
    <w:p>
      <w:pPr>
        <w:pStyle w:val="24"/>
        <w:numPr>
          <w:ilvl w:val="0"/>
          <w:numId w:val="2"/>
        </w:numPr>
        <w:snapToGrid w:val="0"/>
        <w:spacing w:line="360" w:lineRule="auto"/>
        <w:ind w:firstLineChars="0"/>
        <w:rPr>
          <w:rFonts w:ascii="宋体" w:hAnsi="宋体"/>
          <w:bCs/>
        </w:rPr>
      </w:pPr>
      <w:r>
        <w:rPr>
          <w:rFonts w:hint="eastAsia" w:ascii="宋体" w:hAnsi="宋体"/>
          <w:bCs/>
        </w:rPr>
        <w:t>技术参数（一年内按用户的需求无限次上门安装）</w:t>
      </w: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keepNext/>
              <w:spacing w:line="440" w:lineRule="exact"/>
              <w:jc w:val="center"/>
              <w:outlineLvl w:val="0"/>
              <w:rPr>
                <w:rFonts w:ascii="宋体" w:hAnsi="宋体"/>
                <w:color w:val="auto"/>
              </w:rPr>
            </w:pPr>
            <w:r>
              <w:rPr>
                <w:rFonts w:hint="eastAsia" w:ascii="宋体" w:hAnsi="宋体"/>
                <w:color w:val="auto"/>
                <w:kern w:val="0"/>
                <w:sz w:val="20"/>
              </w:rPr>
              <w:t>序号</w:t>
            </w:r>
          </w:p>
        </w:tc>
        <w:tc>
          <w:tcPr>
            <w:tcW w:w="7614" w:type="dxa"/>
            <w:tcBorders>
              <w:top w:val="single" w:color="auto" w:sz="4" w:space="0"/>
              <w:left w:val="single" w:color="auto" w:sz="4" w:space="0"/>
              <w:bottom w:val="single" w:color="auto" w:sz="4" w:space="0"/>
              <w:right w:val="single" w:color="auto" w:sz="4" w:space="0"/>
            </w:tcBorders>
            <w:vAlign w:val="center"/>
          </w:tcPr>
          <w:p>
            <w:pPr>
              <w:keepNext/>
              <w:spacing w:line="440" w:lineRule="exact"/>
              <w:jc w:val="center"/>
              <w:outlineLvl w:val="0"/>
              <w:rPr>
                <w:rFonts w:ascii="宋体" w:hAnsi="宋体"/>
                <w:color w:val="auto"/>
              </w:rPr>
            </w:pPr>
            <w:r>
              <w:rPr>
                <w:rFonts w:hint="eastAsia" w:ascii="宋体" w:hAnsi="宋体"/>
                <w:color w:val="auto"/>
                <w:kern w:val="0"/>
                <w:sz w:val="20"/>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keepNext/>
              <w:spacing w:line="440" w:lineRule="exact"/>
              <w:jc w:val="center"/>
              <w:outlineLvl w:val="0"/>
              <w:rPr>
                <w:rFonts w:ascii="宋体" w:hAnsi="宋体"/>
                <w:b/>
                <w:bCs/>
                <w:color w:val="auto"/>
              </w:rPr>
            </w:pPr>
            <w:r>
              <w:rPr>
                <w:rFonts w:hint="eastAsia" w:ascii="宋体" w:hAnsi="宋体"/>
                <w:b/>
                <w:bCs/>
                <w:color w:val="auto"/>
                <w:kern w:val="0"/>
                <w:sz w:val="20"/>
              </w:rPr>
              <w:t>1</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端口:10/100/1000以太网口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2</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LED指示灯:</w:t>
            </w:r>
            <w:r>
              <w:rPr>
                <w:rFonts w:hint="eastAsia" w:ascii="宋体" w:hAnsi="宋体"/>
                <w:color w:val="auto"/>
                <w:kern w:val="0"/>
                <w:shd w:val="clear" w:color="auto" w:fill="FFFFFF"/>
              </w:rPr>
              <w:t>支</w:t>
            </w:r>
            <w:r>
              <w:rPr>
                <w:rFonts w:hint="eastAsia" w:ascii="宋体" w:hAnsi="宋体"/>
                <w:color w:val="auto"/>
                <w:kern w:val="0"/>
              </w:rPr>
              <w:t>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3</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数据传输率:≥</w:t>
            </w:r>
            <w:r>
              <w:rPr>
                <w:rFonts w:ascii="宋体" w:hAnsi="宋体"/>
                <w:color w:val="auto"/>
                <w:kern w:val="0"/>
              </w:rPr>
              <w:t xml:space="preserve">1.3 </w:t>
            </w:r>
            <w:r>
              <w:rPr>
                <w:rFonts w:hint="eastAsia" w:ascii="宋体" w:hAnsi="宋体"/>
                <w:color w:val="auto"/>
                <w:kern w:val="0"/>
              </w:rPr>
              <w:t>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4</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天线:内置，集成天线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5</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安全性能:802.11i，WPA2，WPA，802.1X，AES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6</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使用场景:企业办公、医院无线查房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7</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网络标准:IEEE802.11a、IEEE802.11b、IEEE 802.11g、IEEE 802.11ac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eastAsia="宋体" w:cs="宋体"/>
                <w:b/>
                <w:bCs/>
                <w:color w:val="auto"/>
                <w:kern w:val="0"/>
                <w:sz w:val="20"/>
              </w:rPr>
              <w:t>★</w:t>
            </w:r>
            <w:r>
              <w:rPr>
                <w:rFonts w:hint="eastAsia" w:ascii="宋体" w:hAnsi="宋体"/>
                <w:b/>
                <w:bCs/>
                <w:color w:val="auto"/>
                <w:kern w:val="0"/>
                <w:sz w:val="20"/>
              </w:rPr>
              <w:t>8</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兼容性:兼容</w:t>
            </w:r>
            <w:bookmarkStart w:id="5" w:name="_Hlk5189420"/>
            <w:r>
              <w:rPr>
                <w:rFonts w:hint="eastAsia" w:ascii="宋体" w:hAnsi="宋体"/>
                <w:color w:val="auto"/>
                <w:kern w:val="0"/>
              </w:rPr>
              <w:t>思科WLC5508无线控制器</w:t>
            </w:r>
            <w:bookmarkEnd w:id="5"/>
            <w:r>
              <w:rPr>
                <w:rFonts w:hint="eastAsia" w:ascii="宋体" w:hAnsi="宋体"/>
                <w:color w:val="auto"/>
                <w:kern w:val="0"/>
              </w:rPr>
              <w:t>，并且每一台设备自带可接入WLC5508无线控制器的原厂许可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9</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heme="minorEastAsia" w:hAnsiTheme="minorEastAsia" w:eastAsiaTheme="minorEastAsia"/>
                <w:color w:val="auto"/>
              </w:rPr>
            </w:pPr>
            <w:r>
              <w:rPr>
                <w:rFonts w:hint="eastAsia" w:ascii="宋体" w:hAnsi="宋体"/>
                <w:color w:val="auto"/>
                <w:kern w:val="0"/>
              </w:rPr>
              <w:t>支持范围:支持新一代 Wi-Fi 客户端，如集成 802.11ac Wave 1 或 Wave 2 支持的智 能手机、平板电脑和高性能手提电脑。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10</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Theme="minorEastAsia" w:hAnsiTheme="minorEastAsia" w:eastAsiaTheme="minorEastAsia"/>
                <w:color w:val="auto"/>
              </w:rPr>
            </w:pPr>
            <w:r>
              <w:rPr>
                <w:rFonts w:hint="eastAsia" w:ascii="宋体" w:hAnsi="宋体"/>
                <w:color w:val="auto"/>
                <w:kern w:val="0"/>
              </w:rPr>
              <w:t>适用频段:2.4GHz+5GHz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b/>
                <w:bCs/>
                <w:color w:val="auto"/>
                <w:kern w:val="0"/>
                <w:sz w:val="20"/>
              </w:rPr>
              <w:t>11</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供电模式:802.3af标准POE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rPr>
            </w:pPr>
            <w:r>
              <w:rPr>
                <w:rFonts w:hint="eastAsia" w:ascii="宋体" w:hAnsi="宋体" w:eastAsia="宋体" w:cs="宋体"/>
                <w:b/>
                <w:bCs/>
                <w:color w:val="auto"/>
                <w:kern w:val="0"/>
                <w:sz w:val="20"/>
              </w:rPr>
              <w:t>★</w:t>
            </w:r>
            <w:r>
              <w:rPr>
                <w:rFonts w:hint="eastAsia" w:ascii="宋体" w:hAnsi="宋体"/>
                <w:b/>
                <w:bCs/>
                <w:color w:val="auto"/>
                <w:kern w:val="0"/>
                <w:sz w:val="20"/>
              </w:rPr>
              <w:t>12</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rPr>
            </w:pPr>
            <w:r>
              <w:rPr>
                <w:rFonts w:hint="eastAsia" w:ascii="宋体" w:hAnsi="宋体"/>
                <w:color w:val="auto"/>
                <w:kern w:val="0"/>
              </w:rPr>
              <w:t>最大发射功率:2.4 GHz ≥2</w:t>
            </w:r>
            <w:r>
              <w:rPr>
                <w:rFonts w:ascii="宋体" w:hAnsi="宋体"/>
                <w:color w:val="auto"/>
                <w:kern w:val="0"/>
              </w:rPr>
              <w:t xml:space="preserve">3 </w:t>
            </w:r>
            <w:r>
              <w:rPr>
                <w:rFonts w:hint="eastAsia" w:ascii="宋体" w:hAnsi="宋体"/>
                <w:color w:val="auto"/>
                <w:kern w:val="0"/>
              </w:rPr>
              <w:t>dBm，5 GHz ≥2</w:t>
            </w:r>
            <w:r>
              <w:rPr>
                <w:rFonts w:ascii="宋体" w:hAnsi="宋体"/>
                <w:color w:val="auto"/>
                <w:kern w:val="0"/>
              </w:rPr>
              <w:t>3</w:t>
            </w:r>
            <w:r>
              <w:rPr>
                <w:rFonts w:hint="eastAsia" w:ascii="宋体" w:hAnsi="宋体"/>
                <w:color w:val="auto"/>
                <w:kern w:val="0"/>
              </w:rPr>
              <w:t xml:space="preserve">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bCs/>
                <w:color w:val="auto"/>
                <w:kern w:val="0"/>
                <w:sz w:val="20"/>
              </w:rPr>
            </w:pPr>
            <w:r>
              <w:rPr>
                <w:rFonts w:hint="eastAsia" w:ascii="宋体" w:hAnsi="宋体"/>
                <w:b/>
                <w:bCs/>
                <w:color w:val="auto"/>
                <w:kern w:val="0"/>
                <w:sz w:val="20"/>
              </w:rPr>
              <w:t>13</w:t>
            </w:r>
          </w:p>
        </w:tc>
        <w:tc>
          <w:tcPr>
            <w:tcW w:w="7614"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olor w:val="auto"/>
                <w:kern w:val="0"/>
              </w:rPr>
            </w:pPr>
            <w:r>
              <w:rPr>
                <w:rFonts w:hint="eastAsia" w:ascii="宋体" w:hAnsi="宋体"/>
                <w:color w:val="auto"/>
                <w:kern w:val="0"/>
              </w:rPr>
              <w:t>通信收发能力：≥3空间流，≥4x4 MIMO</w:t>
            </w:r>
          </w:p>
        </w:tc>
      </w:tr>
    </w:tbl>
    <w:p>
      <w:pPr>
        <w:pStyle w:val="2"/>
        <w:ind w:left="0" w:leftChars="0" w:firstLine="0" w:firstLineChars="0"/>
      </w:pPr>
    </w:p>
    <w:p>
      <w:pPr>
        <w:snapToGrid w:val="0"/>
        <w:spacing w:line="360" w:lineRule="auto"/>
        <w:rPr>
          <w:rFonts w:ascii="宋体" w:hAnsi="宋体"/>
          <w:b/>
          <w:bCs/>
        </w:rPr>
      </w:pPr>
      <w:r>
        <w:rPr>
          <w:rFonts w:hint="eastAsia" w:ascii="宋体" w:hAnsi="宋体"/>
          <w:b/>
          <w:bCs/>
        </w:rPr>
        <w:t>三、投标报价要求</w:t>
      </w:r>
    </w:p>
    <w:p>
      <w:pPr>
        <w:numPr>
          <w:ilvl w:val="0"/>
          <w:numId w:val="3"/>
        </w:numPr>
        <w:adjustRightInd w:val="0"/>
        <w:snapToGrid w:val="0"/>
        <w:spacing w:line="360" w:lineRule="auto"/>
        <w:ind w:left="420" w:hanging="420" w:hangingChars="200"/>
        <w:rPr>
          <w:rFonts w:ascii="宋体" w:hAnsi="宋体"/>
          <w:bCs/>
        </w:rPr>
      </w:pPr>
      <w:r>
        <w:rPr>
          <w:rFonts w:hint="eastAsia" w:ascii="宋体" w:hAnsi="宋体"/>
          <w:bCs/>
        </w:rPr>
        <w:t>投标报价为到采购人的交货价。</w:t>
      </w:r>
    </w:p>
    <w:p>
      <w:pPr>
        <w:numPr>
          <w:ilvl w:val="0"/>
          <w:numId w:val="3"/>
        </w:numPr>
        <w:adjustRightInd w:val="0"/>
        <w:snapToGrid w:val="0"/>
        <w:spacing w:line="360" w:lineRule="auto"/>
        <w:ind w:left="420" w:hanging="420" w:hangingChars="200"/>
        <w:rPr>
          <w:rFonts w:ascii="宋体" w:hAnsi="宋体"/>
          <w:bCs/>
        </w:rPr>
      </w:pPr>
      <w:r>
        <w:rPr>
          <w:rFonts w:hint="eastAsia" w:ascii="宋体" w:hAnsi="宋体"/>
          <w:bCs/>
        </w:rPr>
        <w:t>投标报价为含税价。</w:t>
      </w:r>
    </w:p>
    <w:p>
      <w:pPr>
        <w:numPr>
          <w:ilvl w:val="0"/>
          <w:numId w:val="3"/>
        </w:numPr>
        <w:snapToGrid w:val="0"/>
        <w:spacing w:line="360" w:lineRule="auto"/>
        <w:ind w:left="420" w:hanging="420" w:hangingChars="200"/>
      </w:pPr>
      <w:r>
        <w:rPr>
          <w:rFonts w:hint="eastAsia" w:ascii="宋体" w:hAnsi="宋体"/>
          <w:bCs/>
        </w:rPr>
        <w:t xml:space="preserve"> 供应商须对本项目全部内容进行整体报价，任何只对其中一部分内容进行投标的都将视为无效报价。</w:t>
      </w:r>
    </w:p>
    <w:p>
      <w:pPr>
        <w:tabs>
          <w:tab w:val="left" w:pos="0"/>
        </w:tabs>
        <w:snapToGrid w:val="0"/>
        <w:spacing w:line="360" w:lineRule="auto"/>
        <w:ind w:left="-420" w:leftChars="-200"/>
      </w:pPr>
      <w:r>
        <w:t xml:space="preserve"> </w:t>
      </w:r>
    </w:p>
    <w:p>
      <w:pPr>
        <w:snapToGrid w:val="0"/>
        <w:spacing w:line="360" w:lineRule="auto"/>
        <w:rPr>
          <w:rFonts w:ascii="宋体" w:hAnsi="宋体"/>
          <w:b/>
          <w:bCs/>
        </w:rPr>
      </w:pPr>
      <w:r>
        <w:rPr>
          <w:rFonts w:hint="eastAsia" w:ascii="宋体" w:hAnsi="宋体"/>
          <w:b/>
          <w:bCs/>
        </w:rPr>
        <w:t>四、包装、装卸、运输、保管及保险</w:t>
      </w:r>
    </w:p>
    <w:p>
      <w:pPr>
        <w:numPr>
          <w:ilvl w:val="0"/>
          <w:numId w:val="4"/>
        </w:numPr>
        <w:snapToGrid w:val="0"/>
        <w:spacing w:line="360" w:lineRule="auto"/>
        <w:ind w:left="420" w:hanging="420" w:hangingChars="200"/>
        <w:rPr>
          <w:rFonts w:ascii="宋体" w:hAnsi="宋体"/>
          <w:bCs/>
        </w:rPr>
      </w:pPr>
      <w:r>
        <w:rPr>
          <w:rFonts w:hint="eastAsia" w:ascii="宋体" w:hAnsi="宋体" w:cs="Arial"/>
          <w:bCs/>
        </w:rPr>
        <w:t>成交供应商</w:t>
      </w:r>
      <w:r>
        <w:rPr>
          <w:rFonts w:hint="eastAsia" w:ascii="宋体" w:hAnsi="宋体"/>
          <w:bCs/>
        </w:rPr>
        <w:t>所供货物包装质量必须符合国家相关标准，货物的包装均应有良好的防湿、防锈、防潮、防雨、防腐的措施，货物要求有包装材料保护运至现场。凡由于包装不良造成的损失和由此产生的费用均由</w:t>
      </w:r>
      <w:r>
        <w:rPr>
          <w:rFonts w:hint="eastAsia" w:ascii="宋体" w:hAnsi="宋体" w:cs="Arial"/>
          <w:bCs/>
        </w:rPr>
        <w:t>成交供应商</w:t>
      </w:r>
      <w:r>
        <w:rPr>
          <w:rFonts w:hint="eastAsia" w:ascii="宋体" w:hAnsi="宋体"/>
          <w:bCs/>
        </w:rPr>
        <w:t>承担。</w:t>
      </w:r>
    </w:p>
    <w:p>
      <w:pPr>
        <w:numPr>
          <w:ilvl w:val="0"/>
          <w:numId w:val="4"/>
        </w:numPr>
        <w:snapToGrid w:val="0"/>
        <w:spacing w:line="360" w:lineRule="auto"/>
        <w:ind w:left="420" w:hanging="420" w:hangingChars="200"/>
        <w:rPr>
          <w:rFonts w:ascii="宋体" w:hAnsi="宋体"/>
          <w:bCs/>
        </w:rPr>
      </w:pPr>
      <w:r>
        <w:rPr>
          <w:rFonts w:hint="eastAsia" w:ascii="宋体" w:hAnsi="宋体" w:cs="Arial"/>
          <w:bCs/>
        </w:rPr>
        <w:t>成交供应商</w:t>
      </w:r>
      <w:r>
        <w:rPr>
          <w:rFonts w:hint="eastAsia" w:ascii="宋体" w:hAnsi="宋体"/>
          <w:bCs/>
        </w:rPr>
        <w:t>负责根据用户指定的安装地点,将货物材料送到现场过程中的全部运输，包括装卸车、货物现场的搬运，由此产生的费用均由</w:t>
      </w:r>
      <w:r>
        <w:rPr>
          <w:rFonts w:hint="eastAsia" w:ascii="宋体" w:hAnsi="宋体" w:cs="Arial"/>
          <w:bCs/>
        </w:rPr>
        <w:t>成交供应商</w:t>
      </w:r>
      <w:r>
        <w:rPr>
          <w:rFonts w:hint="eastAsia" w:ascii="宋体" w:hAnsi="宋体"/>
          <w:bCs/>
        </w:rPr>
        <w:t>承担。</w:t>
      </w:r>
    </w:p>
    <w:p>
      <w:pPr>
        <w:numPr>
          <w:ilvl w:val="0"/>
          <w:numId w:val="4"/>
        </w:numPr>
        <w:snapToGrid w:val="0"/>
        <w:spacing w:line="360" w:lineRule="auto"/>
        <w:ind w:left="420" w:hanging="420" w:hangingChars="200"/>
        <w:rPr>
          <w:rFonts w:ascii="宋体" w:hAnsi="宋体"/>
          <w:bCs/>
        </w:rPr>
      </w:pPr>
      <w:r>
        <w:rPr>
          <w:rFonts w:hint="eastAsia" w:ascii="宋体" w:hAnsi="宋体"/>
          <w:bCs/>
        </w:rPr>
        <w:t>如货物运输过程中因事故造成货物短缺、损坏，成交供应商应及时安排换货，以保证合同货物及时交付，换货的相关费用由成交供应商承担。</w:t>
      </w:r>
    </w:p>
    <w:p>
      <w:pPr>
        <w:numPr>
          <w:ilvl w:val="0"/>
          <w:numId w:val="4"/>
        </w:numPr>
        <w:snapToGrid w:val="0"/>
        <w:spacing w:line="360" w:lineRule="auto"/>
        <w:ind w:left="420" w:hanging="420" w:hangingChars="200"/>
        <w:rPr>
          <w:rFonts w:ascii="宋体" w:hAnsi="宋体"/>
          <w:bCs/>
        </w:rPr>
      </w:pPr>
      <w:r>
        <w:rPr>
          <w:rFonts w:hint="eastAsia" w:ascii="宋体" w:hAnsi="宋体"/>
          <w:bCs/>
        </w:rPr>
        <w:t>货物的质量保险由成交供应商负责，成交供应商负责其派出的现场服务人员人身意外保险。</w:t>
      </w:r>
    </w:p>
    <w:p>
      <w:pPr>
        <w:numPr>
          <w:ilvl w:val="0"/>
          <w:numId w:val="4"/>
        </w:numPr>
        <w:snapToGrid w:val="0"/>
        <w:spacing w:line="360" w:lineRule="auto"/>
        <w:ind w:left="420" w:hanging="420" w:hangingChars="200"/>
      </w:pPr>
      <w:r>
        <w:rPr>
          <w:rFonts w:hint="eastAsia" w:ascii="宋体" w:hAnsi="宋体"/>
          <w:bCs/>
        </w:rPr>
        <w:t>成交供应商工作人员必须遵守采购人有关规章制度和管理规定，如有违反或损害采购人利益的，采购人有拒绝违规工作人员在项目现场工作的权利。</w:t>
      </w:r>
    </w:p>
    <w:p>
      <w:pPr>
        <w:pStyle w:val="5"/>
        <w:spacing w:before="0" w:after="0" w:line="360" w:lineRule="auto"/>
        <w:rPr>
          <w:rFonts w:ascii="宋体" w:hAnsi="宋体" w:eastAsia="宋体"/>
          <w:sz w:val="21"/>
          <w:szCs w:val="21"/>
        </w:rPr>
      </w:pPr>
      <w:r>
        <w:rPr>
          <w:rFonts w:hint="eastAsia" w:ascii="宋体" w:hAnsi="宋体" w:eastAsia="宋体"/>
          <w:sz w:val="21"/>
          <w:szCs w:val="21"/>
        </w:rPr>
        <w:t>五、交货及验收</w:t>
      </w:r>
    </w:p>
    <w:p>
      <w:pPr>
        <w:numPr>
          <w:ilvl w:val="0"/>
          <w:numId w:val="5"/>
        </w:numPr>
        <w:snapToGrid w:val="0"/>
        <w:spacing w:line="360" w:lineRule="auto"/>
        <w:ind w:left="420" w:hanging="420" w:hangingChars="200"/>
        <w:rPr>
          <w:rFonts w:ascii="宋体" w:hAnsi="宋体"/>
          <w:bCs/>
        </w:rPr>
      </w:pPr>
      <w:r>
        <w:rPr>
          <w:rFonts w:hint="eastAsia" w:ascii="宋体" w:hAnsi="宋体"/>
          <w:bCs/>
        </w:rPr>
        <w:t>交货地点：中山市小榄人民医院</w:t>
      </w:r>
    </w:p>
    <w:p>
      <w:pPr>
        <w:numPr>
          <w:ilvl w:val="0"/>
          <w:numId w:val="5"/>
        </w:numPr>
        <w:snapToGrid w:val="0"/>
        <w:spacing w:line="360" w:lineRule="auto"/>
        <w:ind w:left="420" w:hanging="420" w:hangingChars="200"/>
        <w:rPr>
          <w:rFonts w:ascii="宋体" w:hAnsi="宋体"/>
          <w:bCs/>
        </w:rPr>
      </w:pPr>
      <w:r>
        <w:rPr>
          <w:rFonts w:hint="eastAsia" w:ascii="宋体" w:hAnsi="宋体"/>
          <w:bCs/>
        </w:rPr>
        <w:t>交货时间：合同签订后，在接到采购人通知之日起20个工作日完成设备的交付和验收。</w:t>
      </w:r>
    </w:p>
    <w:p>
      <w:pPr>
        <w:numPr>
          <w:ilvl w:val="0"/>
          <w:numId w:val="5"/>
        </w:numPr>
        <w:snapToGrid w:val="0"/>
        <w:spacing w:line="360" w:lineRule="auto"/>
        <w:ind w:left="420" w:hanging="420" w:hangingChars="200"/>
        <w:rPr>
          <w:rFonts w:ascii="宋体" w:hAnsi="宋体"/>
          <w:bCs/>
        </w:rPr>
      </w:pPr>
      <w:r>
        <w:rPr>
          <w:rFonts w:hint="eastAsia" w:ascii="宋体" w:hAnsi="宋体"/>
          <w:bCs/>
        </w:rPr>
        <w:t>成交供应商将货物送货至采购人指定地点后，由采购人按照采购合同、相关招投标文件要求进行核对，根据国家相关法律法规，对货物的规格参数和质量标准进行检查验收。</w:t>
      </w:r>
    </w:p>
    <w:p>
      <w:pPr>
        <w:numPr>
          <w:ilvl w:val="0"/>
          <w:numId w:val="5"/>
        </w:numPr>
        <w:snapToGrid w:val="0"/>
        <w:spacing w:line="360" w:lineRule="auto"/>
        <w:ind w:left="420" w:hanging="420" w:hangingChars="200"/>
        <w:rPr>
          <w:rFonts w:ascii="宋体" w:hAnsi="宋体"/>
          <w:bCs/>
        </w:rPr>
      </w:pPr>
      <w:r>
        <w:rPr>
          <w:rFonts w:hint="eastAsia" w:ascii="宋体" w:hAnsi="宋体"/>
          <w:bCs/>
        </w:rPr>
        <w:t>货物在验收过程中发现所交付的货物有短缺、次品、损坏或其他不符合招标文件、合同规定之情形者，采购人有权拒付该批物品的费用。</w:t>
      </w:r>
    </w:p>
    <w:p>
      <w:pPr>
        <w:numPr>
          <w:ilvl w:val="0"/>
          <w:numId w:val="5"/>
        </w:numPr>
        <w:snapToGrid w:val="0"/>
        <w:spacing w:line="360" w:lineRule="auto"/>
        <w:ind w:left="420" w:hanging="420" w:hangingChars="200"/>
        <w:rPr>
          <w:rFonts w:ascii="宋体" w:hAnsi="宋体"/>
          <w:bCs/>
        </w:rPr>
      </w:pPr>
      <w:r>
        <w:rPr>
          <w:rFonts w:hint="eastAsia" w:ascii="宋体" w:hAnsi="宋体"/>
          <w:bCs/>
        </w:rPr>
        <w:t>若成交供应商提供的产品发生知识产权纠纷的，由成交供应商执行处置与原知识产权所有者协商解决，采购人不承担与之相关的任何经济和法律责任。</w:t>
      </w:r>
    </w:p>
    <w:p>
      <w:pPr>
        <w:numPr>
          <w:ilvl w:val="0"/>
          <w:numId w:val="5"/>
        </w:numPr>
        <w:snapToGrid w:val="0"/>
        <w:spacing w:line="360" w:lineRule="auto"/>
        <w:ind w:left="420" w:hanging="420" w:hangingChars="200"/>
        <w:rPr>
          <w:rFonts w:ascii="宋体" w:hAnsi="宋体"/>
          <w:bCs/>
        </w:rPr>
      </w:pPr>
      <w:r>
        <w:rPr>
          <w:rFonts w:hint="eastAsia" w:ascii="宋体" w:hAnsi="宋体"/>
          <w:bCs/>
        </w:rPr>
        <w:t>所有货物在使用过程中发现以次充好或使用假冒伪劣产品的，成交供应商应无条件更换货物。</w:t>
      </w:r>
    </w:p>
    <w:p>
      <w:pPr>
        <w:numPr>
          <w:ilvl w:val="0"/>
          <w:numId w:val="5"/>
        </w:numPr>
        <w:snapToGrid w:val="0"/>
        <w:spacing w:line="360" w:lineRule="auto"/>
        <w:ind w:left="420" w:hanging="420" w:hangingChars="200"/>
      </w:pPr>
      <w:r>
        <w:rPr>
          <w:rFonts w:hint="eastAsia" w:ascii="宋体" w:hAnsi="宋体"/>
          <w:bCs/>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pStyle w:val="5"/>
        <w:spacing w:before="0" w:after="0" w:line="360" w:lineRule="auto"/>
        <w:rPr>
          <w:rFonts w:ascii="宋体" w:hAnsi="宋体" w:eastAsia="宋体"/>
          <w:sz w:val="21"/>
          <w:szCs w:val="21"/>
        </w:rPr>
      </w:pPr>
      <w:r>
        <w:rPr>
          <w:rFonts w:hint="eastAsia" w:ascii="宋体" w:hAnsi="宋体" w:eastAsia="宋体"/>
          <w:sz w:val="21"/>
          <w:szCs w:val="21"/>
        </w:rPr>
        <w:t>六、质保期及售后服务要求</w:t>
      </w:r>
    </w:p>
    <w:p>
      <w:pPr>
        <w:numPr>
          <w:ilvl w:val="0"/>
          <w:numId w:val="6"/>
        </w:numPr>
        <w:snapToGrid w:val="0"/>
        <w:spacing w:line="360" w:lineRule="auto"/>
        <w:ind w:left="420" w:hanging="420" w:hangingChars="200"/>
        <w:rPr>
          <w:rFonts w:ascii="宋体" w:hAnsi="宋体"/>
          <w:bCs/>
        </w:rPr>
      </w:pPr>
      <w:r>
        <w:rPr>
          <w:rFonts w:hint="eastAsia" w:ascii="宋体" w:hAnsi="宋体"/>
          <w:bCs/>
        </w:rPr>
        <w:t>在供货期内, 成交供应商在接到用户的需求通知, 响应时间为半小时，到达现场时间为2小时。</w:t>
      </w:r>
    </w:p>
    <w:p>
      <w:pPr>
        <w:numPr>
          <w:ilvl w:val="0"/>
          <w:numId w:val="6"/>
        </w:numPr>
        <w:snapToGrid w:val="0"/>
        <w:spacing w:line="360" w:lineRule="auto"/>
        <w:ind w:left="420" w:hanging="420" w:hangingChars="200"/>
      </w:pPr>
      <w:r>
        <w:rPr>
          <w:rFonts w:hint="eastAsia" w:ascii="宋体" w:hAnsi="宋体"/>
          <w:bCs/>
        </w:rPr>
        <w:t>要求质保期1年，质保期从验收合格签字之日算。如质保期内出现任何问题（不可抗力因素除外），成交供应商必须无条件接受。</w:t>
      </w:r>
    </w:p>
    <w:p>
      <w:pPr>
        <w:pStyle w:val="5"/>
        <w:spacing w:before="0" w:after="0" w:line="360" w:lineRule="auto"/>
        <w:rPr>
          <w:rFonts w:ascii="宋体" w:hAnsi="宋体" w:eastAsia="宋体"/>
          <w:sz w:val="21"/>
          <w:szCs w:val="21"/>
        </w:rPr>
      </w:pPr>
      <w:r>
        <w:rPr>
          <w:rFonts w:hint="eastAsia" w:ascii="宋体" w:hAnsi="宋体" w:eastAsia="宋体"/>
          <w:sz w:val="21"/>
          <w:szCs w:val="21"/>
        </w:rPr>
        <w:t>七、付款方式</w:t>
      </w:r>
    </w:p>
    <w:p>
      <w:pPr>
        <w:spacing w:line="440" w:lineRule="exact"/>
        <w:rPr>
          <w:rFonts w:ascii="宋体" w:hAnsi="宋体"/>
        </w:rPr>
      </w:pPr>
      <w:r>
        <w:rPr>
          <w:rFonts w:hint="eastAsia" w:ascii="宋体" w:hAnsi="宋体"/>
        </w:rPr>
        <w:t>1、本合同的每笔款项以人民币转账方式支付，合同设备到采购人指定地点交付并完成安装，验收合格后，中标单位凭：</w:t>
      </w:r>
    </w:p>
    <w:p>
      <w:pPr>
        <w:spacing w:line="440" w:lineRule="exact"/>
        <w:ind w:firstLine="420" w:firstLineChars="200"/>
        <w:rPr>
          <w:rFonts w:ascii="宋体" w:hAnsi="宋体"/>
        </w:rPr>
      </w:pPr>
      <w:r>
        <w:rPr>
          <w:rFonts w:hint="eastAsia" w:ascii="宋体" w:hAnsi="宋体"/>
        </w:rPr>
        <w:t>（1）合同；</w:t>
      </w:r>
    </w:p>
    <w:p>
      <w:pPr>
        <w:spacing w:line="440" w:lineRule="exact"/>
        <w:ind w:firstLine="420" w:firstLineChars="200"/>
        <w:rPr>
          <w:rFonts w:ascii="宋体" w:hAnsi="宋体"/>
        </w:rPr>
      </w:pPr>
      <w:r>
        <w:rPr>
          <w:rFonts w:hint="eastAsia" w:ascii="宋体" w:hAnsi="宋体"/>
        </w:rPr>
        <w:t>（2）验收调试合格报告（加盖采购人公章）；</w:t>
      </w:r>
    </w:p>
    <w:p>
      <w:pPr>
        <w:spacing w:line="440" w:lineRule="exact"/>
        <w:ind w:firstLine="420" w:firstLineChars="200"/>
        <w:rPr>
          <w:rFonts w:ascii="宋体" w:hAnsi="宋体"/>
        </w:rPr>
      </w:pPr>
      <w:r>
        <w:rPr>
          <w:rFonts w:hint="eastAsia" w:ascii="宋体" w:hAnsi="宋体"/>
        </w:rPr>
        <w:t>（3）中标单位开具的正式发票，加盖发票专用章。</w:t>
      </w:r>
    </w:p>
    <w:p>
      <w:pPr>
        <w:tabs>
          <w:tab w:val="left" w:pos="420"/>
        </w:tabs>
        <w:spacing w:line="460" w:lineRule="exact"/>
        <w:ind w:firstLine="420" w:firstLineChars="200"/>
        <w:rPr>
          <w:rFonts w:ascii="宋体" w:hAnsi="宋体" w:cs="宋体"/>
        </w:rPr>
      </w:pPr>
      <w:r>
        <w:rPr>
          <w:rFonts w:hint="eastAsia" w:ascii="宋体" w:hAnsi="宋体"/>
        </w:rPr>
        <w:t>2、具体付款方式：</w:t>
      </w:r>
      <w:r>
        <w:rPr>
          <w:rFonts w:hint="eastAsia" w:ascii="宋体" w:hAnsi="宋体" w:cs="宋体"/>
        </w:rPr>
        <w:t>成交供应商与采购人签订合同后，5个工作日内需向采购人交合同总金额的5%作为履约保证金，成交供应商完成交货，经中山市小榄人民医院信息科书面确认验收合格后，由成交供应商开具全额普通增值税发票，采购人确认发票无误后一个月内支付合同总金额的100%；5%履约保证金的退还为货物验收合格起计一年后，一次性无息退还。</w:t>
      </w:r>
    </w:p>
    <w:p>
      <w:pPr>
        <w:pStyle w:val="9"/>
        <w:spacing w:line="360" w:lineRule="auto"/>
        <w:rPr>
          <w:rFonts w:ascii="宋体" w:hAnsi="宋体"/>
          <w:b/>
          <w:bCs/>
          <w:sz w:val="21"/>
          <w:szCs w:val="21"/>
        </w:rPr>
      </w:pPr>
      <w:r>
        <w:rPr>
          <w:rFonts w:hint="eastAsia" w:ascii="宋体" w:hAnsi="宋体"/>
          <w:b/>
          <w:bCs/>
          <w:sz w:val="21"/>
          <w:szCs w:val="21"/>
        </w:rPr>
        <w:t>八、违约责任</w:t>
      </w:r>
    </w:p>
    <w:p>
      <w:pPr>
        <w:tabs>
          <w:tab w:val="left" w:pos="420"/>
        </w:tabs>
        <w:spacing w:line="460" w:lineRule="exact"/>
        <w:ind w:firstLine="420" w:firstLineChars="200"/>
        <w:rPr>
          <w:rFonts w:ascii="宋体" w:hAnsi="宋体" w:cs="宋体"/>
        </w:rPr>
      </w:pPr>
      <w:r>
        <w:rPr>
          <w:rFonts w:hint="eastAsia" w:ascii="宋体" w:hAnsi="宋体" w:cs="宋体"/>
        </w:rPr>
        <w:t>1.采购人应在合同规定时间内，按合同执行进度向成交供应商支付货款，每拖延一天成交供应商可向采购人加收合同总金额的5‰的违约金。</w:t>
      </w:r>
    </w:p>
    <w:p>
      <w:pPr>
        <w:tabs>
          <w:tab w:val="left" w:pos="420"/>
        </w:tabs>
        <w:spacing w:line="460" w:lineRule="exact"/>
        <w:ind w:firstLine="420" w:firstLineChars="200"/>
        <w:rPr>
          <w:rFonts w:ascii="宋体" w:hAnsi="宋体" w:cs="宋体"/>
        </w:rPr>
      </w:pPr>
      <w:r>
        <w:rPr>
          <w:rFonts w:hint="eastAsia" w:ascii="宋体" w:hAnsi="宋体" w:cs="宋体"/>
        </w:rPr>
        <w:t>2.成交供应商未能按时交货和提供相关服务或未能在交货和提供相关服务之日起30天内提供该项目验收相关所必须的合法有效的文件，每拖延一天，须向采购人支付合同总金额的5‰的违约金。此种情况超过3次的，采购人有权单方解除合同。</w:t>
      </w:r>
    </w:p>
    <w:p>
      <w:pPr>
        <w:tabs>
          <w:tab w:val="left" w:pos="420"/>
        </w:tabs>
        <w:spacing w:line="460" w:lineRule="exact"/>
        <w:ind w:firstLine="315" w:firstLineChars="150"/>
        <w:rPr>
          <w:rFonts w:ascii="宋体" w:hAnsi="宋体" w:cs="宋体"/>
        </w:rPr>
      </w:pPr>
      <w:r>
        <w:rPr>
          <w:rFonts w:hint="eastAsia" w:ascii="宋体" w:hAnsi="宋体" w:cs="宋体"/>
        </w:rPr>
        <w:t>3.成交供应商交付的货物或提供的服务不符合合同规定的，采购人有权拒收，成交供应商向采购人支付合同总金额的5％的违约金。此种情况超过3次的，采购人有权单方解除合同。</w:t>
      </w:r>
    </w:p>
    <w:p>
      <w:pPr>
        <w:tabs>
          <w:tab w:val="left" w:pos="420"/>
        </w:tabs>
        <w:spacing w:line="460" w:lineRule="exact"/>
        <w:ind w:firstLine="315" w:firstLineChars="150"/>
        <w:rPr>
          <w:rFonts w:ascii="宋体" w:hAnsi="宋体" w:cs="宋体"/>
        </w:rPr>
      </w:pPr>
      <w:r>
        <w:rPr>
          <w:rFonts w:hint="eastAsia" w:ascii="宋体" w:hAnsi="宋体" w:cs="宋体"/>
        </w:rPr>
        <w:t>4.采购人无正当理由拒收货物或拒绝服务的，采购人向成交供应商支付合同总金额的5％的违约金。</w:t>
      </w: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9"/>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9"/>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9"/>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24"/>
        <w:rPr>
          <w:rFonts w:hint="eastAsia" w:ascii="仿宋" w:hAnsi="仿宋" w:eastAsia="仿宋" w:cs="仿宋"/>
          <w:color w:val="000000" w:themeColor="text1"/>
          <w:sz w:val="24"/>
          <w:szCs w:val="24"/>
          <w:highlight w:val="none"/>
          <w14:textFill>
            <w14:solidFill>
              <w14:schemeClr w14:val="tx1"/>
            </w14:solidFill>
          </w14:textFill>
        </w:rPr>
      </w:pPr>
    </w:p>
    <w:p>
      <w:pPr>
        <w:pStyle w:val="24"/>
        <w:rPr>
          <w:rFonts w:hint="eastAsia" w:ascii="仿宋" w:hAnsi="仿宋" w:eastAsia="仿宋" w:cs="仿宋"/>
          <w:color w:val="000000" w:themeColor="text1"/>
          <w:sz w:val="24"/>
          <w:szCs w:val="24"/>
          <w:highlight w:val="none"/>
          <w14:textFill>
            <w14:solidFill>
              <w14:schemeClr w14:val="tx1"/>
            </w14:solidFill>
          </w14:textFill>
        </w:rPr>
      </w:pPr>
    </w:p>
    <w:p>
      <w:pPr>
        <w:pStyle w:val="10"/>
        <w:ind w:left="0" w:leftChars="0" w:firstLine="0" w:firstLineChars="0"/>
        <w:rPr>
          <w:rFonts w:hint="eastAsia" w:ascii="宋体" w:hAnsi="宋体" w:eastAsia="宋体" w:cs="宋体"/>
          <w:b/>
          <w:bCs/>
          <w:kern w:val="2"/>
          <w:sz w:val="44"/>
          <w:szCs w:val="44"/>
          <w:highlight w:val="none"/>
          <w:lang w:val="en-US" w:eastAsia="zh-CN" w:bidi="ar-SA"/>
        </w:rPr>
      </w:pPr>
    </w:p>
    <w:p>
      <w:pPr>
        <w:rPr>
          <w:rFonts w:hint="eastAsia"/>
          <w:highlight w:val="none"/>
          <w:lang w:val="en-US" w:eastAsia="zh-CN"/>
        </w:rPr>
      </w:pPr>
    </w:p>
    <w:p>
      <w:pPr>
        <w:pStyle w:val="10"/>
        <w:ind w:firstLine="1767" w:firstLineChars="400"/>
        <w:rPr>
          <w:rFonts w:hint="eastAsia" w:ascii="宋体" w:hAnsi="宋体" w:eastAsia="宋体" w:cs="宋体"/>
          <w:b/>
          <w:bCs/>
          <w:kern w:val="2"/>
          <w:sz w:val="44"/>
          <w:szCs w:val="44"/>
          <w:highlight w:val="none"/>
          <w:lang w:val="en-US" w:eastAsia="zh-CN" w:bidi="ar-SA"/>
        </w:rPr>
      </w:pPr>
    </w:p>
    <w:p>
      <w:pPr>
        <w:pStyle w:val="10"/>
        <w:ind w:firstLine="1767" w:firstLineChars="400"/>
        <w:rPr>
          <w:rFonts w:hint="eastAsia" w:ascii="宋体" w:hAnsi="宋体" w:eastAsia="宋体" w:cs="宋体"/>
          <w:b/>
          <w:bCs/>
          <w:kern w:val="2"/>
          <w:sz w:val="44"/>
          <w:szCs w:val="44"/>
          <w:highlight w:val="none"/>
          <w:lang w:val="en-US" w:eastAsia="zh-CN" w:bidi="ar-SA"/>
        </w:rPr>
      </w:pPr>
    </w:p>
    <w:p>
      <w:pPr>
        <w:pStyle w:val="10"/>
        <w:ind w:left="0" w:leftChars="0" w:firstLine="0" w:firstLineChars="0"/>
        <w:rPr>
          <w:rFonts w:hint="eastAsia" w:ascii="宋体" w:hAnsi="宋体" w:eastAsia="宋体" w:cs="宋体"/>
          <w:b/>
          <w:bCs/>
          <w:kern w:val="2"/>
          <w:sz w:val="44"/>
          <w:szCs w:val="44"/>
          <w:highlight w:val="none"/>
          <w:lang w:val="en-US" w:eastAsia="zh-CN" w:bidi="ar-SA"/>
        </w:rPr>
      </w:pPr>
    </w:p>
    <w:p>
      <w:pPr>
        <w:pStyle w:val="10"/>
        <w:ind w:left="0" w:leftChars="0" w:firstLine="0" w:firstLineChars="0"/>
        <w:rPr>
          <w:rFonts w:hint="eastAsia" w:ascii="宋体" w:hAnsi="宋体" w:eastAsia="宋体" w:cs="宋体"/>
          <w:b/>
          <w:bCs/>
          <w:kern w:val="2"/>
          <w:sz w:val="44"/>
          <w:szCs w:val="44"/>
          <w:highlight w:val="none"/>
          <w:lang w:val="en-US" w:eastAsia="zh-CN" w:bidi="ar-SA"/>
        </w:rPr>
      </w:pPr>
    </w:p>
    <w:p>
      <w:pPr>
        <w:pStyle w:val="10"/>
        <w:ind w:firstLine="1767" w:firstLineChars="400"/>
        <w:rPr>
          <w:rFonts w:hint="eastAsia" w:ascii="宋体" w:hAnsi="宋体" w:eastAsia="宋体" w:cs="宋体"/>
          <w:b/>
          <w:bCs/>
          <w:kern w:val="2"/>
          <w:sz w:val="44"/>
          <w:szCs w:val="44"/>
          <w:highlight w:val="none"/>
          <w:lang w:val="en-US" w:eastAsia="zh-CN" w:bidi="ar-SA"/>
        </w:rPr>
      </w:pPr>
    </w:p>
    <w:p>
      <w:pPr>
        <w:pStyle w:val="10"/>
        <w:ind w:firstLine="1767" w:firstLineChars="400"/>
        <w:rPr>
          <w:rFonts w:hint="eastAsia" w:ascii="仿宋" w:hAnsi="仿宋" w:eastAsia="仿宋" w:cs="仿宋"/>
          <w:b/>
          <w:bCs/>
          <w:kern w:val="2"/>
          <w:sz w:val="28"/>
          <w:szCs w:val="28"/>
          <w:highlight w:val="none"/>
          <w:lang w:val="en-US" w:eastAsia="zh-CN" w:bidi="ar-SA"/>
        </w:rPr>
      </w:pPr>
      <w:r>
        <w:rPr>
          <w:rFonts w:hint="eastAsia" w:ascii="宋体" w:hAnsi="宋体" w:eastAsia="宋体" w:cs="宋体"/>
          <w:b/>
          <w:bCs/>
          <w:kern w:val="2"/>
          <w:sz w:val="44"/>
          <w:szCs w:val="44"/>
          <w:highlight w:val="none"/>
          <w:lang w:val="en-US" w:eastAsia="zh-CN" w:bidi="ar-SA"/>
        </w:rPr>
        <w:t>第</w:t>
      </w:r>
      <w:r>
        <w:rPr>
          <w:rFonts w:hint="eastAsia" w:ascii="宋体" w:hAnsi="宋体" w:cs="宋体"/>
          <w:b/>
          <w:bCs/>
          <w:kern w:val="2"/>
          <w:sz w:val="44"/>
          <w:szCs w:val="44"/>
          <w:highlight w:val="none"/>
          <w:lang w:val="en-US" w:eastAsia="zh-CN" w:bidi="ar-SA"/>
        </w:rPr>
        <w:t>三</w:t>
      </w:r>
      <w:r>
        <w:rPr>
          <w:rFonts w:hint="eastAsia" w:ascii="宋体" w:hAnsi="宋体" w:eastAsia="宋体" w:cs="宋体"/>
          <w:b/>
          <w:bCs/>
          <w:kern w:val="2"/>
          <w:sz w:val="44"/>
          <w:szCs w:val="44"/>
          <w:highlight w:val="none"/>
          <w:lang w:val="en-US" w:eastAsia="zh-CN" w:bidi="ar-SA"/>
        </w:rPr>
        <w:t xml:space="preserve">部分 </w:t>
      </w:r>
      <w:r>
        <w:rPr>
          <w:rFonts w:hint="eastAsia" w:ascii="宋体" w:hAnsi="宋体" w:cs="宋体"/>
          <w:b/>
          <w:bCs/>
          <w:kern w:val="2"/>
          <w:sz w:val="44"/>
          <w:szCs w:val="44"/>
          <w:highlight w:val="none"/>
          <w:lang w:val="en-US" w:eastAsia="zh-CN" w:bidi="ar-SA"/>
        </w:rPr>
        <w:t xml:space="preserve"> </w:t>
      </w:r>
      <w:r>
        <w:rPr>
          <w:rFonts w:hint="eastAsia" w:ascii="宋体" w:hAnsi="宋体" w:eastAsia="宋体" w:cs="宋体"/>
          <w:b/>
          <w:bCs/>
          <w:kern w:val="2"/>
          <w:sz w:val="44"/>
          <w:szCs w:val="44"/>
          <w:highlight w:val="none"/>
          <w:lang w:val="en-US" w:eastAsia="zh-CN" w:bidi="ar-SA"/>
        </w:rPr>
        <w:t>评分标准</w:t>
      </w:r>
    </w:p>
    <w:p>
      <w:pPr>
        <w:rPr>
          <w:rFonts w:hint="eastAsia" w:ascii="仿宋" w:hAnsi="仿宋" w:eastAsia="仿宋" w:cs="仿宋"/>
          <w:b/>
          <w:bCs/>
          <w:kern w:val="2"/>
          <w:sz w:val="28"/>
          <w:szCs w:val="28"/>
          <w:highlight w:val="none"/>
          <w:lang w:val="en-US" w:eastAsia="zh-CN" w:bidi="ar-SA"/>
        </w:rPr>
      </w:pPr>
    </w:p>
    <w:p>
      <w:pPr>
        <w:pStyle w:val="9"/>
        <w:rPr>
          <w:rFonts w:hint="eastAsia" w:ascii="仿宋" w:hAnsi="仿宋" w:eastAsia="仿宋" w:cs="仿宋"/>
          <w:b/>
          <w:bCs/>
          <w:kern w:val="2"/>
          <w:sz w:val="28"/>
          <w:szCs w:val="28"/>
          <w:highlight w:val="none"/>
          <w:lang w:val="en-US" w:eastAsia="zh-CN" w:bidi="ar-SA"/>
        </w:rPr>
      </w:pPr>
    </w:p>
    <w:p>
      <w:pPr>
        <w:pStyle w:val="10"/>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pStyle w:val="24"/>
        <w:rPr>
          <w:rFonts w:hint="eastAsia" w:ascii="仿宋" w:hAnsi="仿宋" w:eastAsia="仿宋" w:cs="仿宋"/>
          <w:b/>
          <w:bCs/>
          <w:kern w:val="2"/>
          <w:sz w:val="28"/>
          <w:szCs w:val="28"/>
          <w:highlight w:val="none"/>
          <w:lang w:val="en-US" w:eastAsia="zh-CN" w:bidi="ar-SA"/>
        </w:rPr>
      </w:pPr>
    </w:p>
    <w:p>
      <w:pPr>
        <w:pStyle w:val="24"/>
        <w:rPr>
          <w:rFonts w:hint="eastAsia" w:ascii="仿宋" w:hAnsi="仿宋" w:eastAsia="仿宋" w:cs="仿宋"/>
          <w:b/>
          <w:bCs/>
          <w:kern w:val="2"/>
          <w:sz w:val="28"/>
          <w:szCs w:val="28"/>
          <w:highlight w:val="none"/>
          <w:lang w:val="en-US" w:eastAsia="zh-CN" w:bidi="ar-SA"/>
        </w:rPr>
      </w:pPr>
    </w:p>
    <w:p>
      <w:pPr>
        <w:pStyle w:val="24"/>
        <w:rPr>
          <w:rFonts w:hint="eastAsia" w:ascii="仿宋" w:hAnsi="仿宋" w:eastAsia="仿宋" w:cs="仿宋"/>
          <w:b/>
          <w:bCs/>
          <w:kern w:val="2"/>
          <w:sz w:val="28"/>
          <w:szCs w:val="28"/>
          <w:highlight w:val="none"/>
          <w:lang w:val="en-US" w:eastAsia="zh-CN" w:bidi="ar-SA"/>
        </w:rPr>
      </w:pPr>
    </w:p>
    <w:p>
      <w:pPr>
        <w:pStyle w:val="24"/>
        <w:rPr>
          <w:rFonts w:hint="eastAsia" w:ascii="仿宋" w:hAnsi="仿宋" w:eastAsia="仿宋" w:cs="仿宋"/>
          <w:b/>
          <w:bCs/>
          <w:kern w:val="2"/>
          <w:sz w:val="28"/>
          <w:szCs w:val="28"/>
          <w:highlight w:val="none"/>
          <w:lang w:val="en-US" w:eastAsia="zh-CN" w:bidi="ar-SA"/>
        </w:rPr>
      </w:pPr>
    </w:p>
    <w:p>
      <w:pPr>
        <w:pStyle w:val="24"/>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rPr>
          <w:rFonts w:hint="eastAsia" w:ascii="仿宋" w:hAnsi="仿宋" w:eastAsia="仿宋" w:cs="仿宋"/>
          <w:b/>
          <w:bCs/>
          <w:kern w:val="2"/>
          <w:sz w:val="28"/>
          <w:szCs w:val="28"/>
          <w:highlight w:val="none"/>
          <w:lang w:val="en-US" w:eastAsia="zh-CN" w:bidi="ar-SA"/>
        </w:rPr>
      </w:pPr>
    </w:p>
    <w:p>
      <w:pPr>
        <w:pStyle w:val="9"/>
        <w:jc w:val="center"/>
        <w:rPr>
          <w:rFonts w:hint="eastAsia"/>
          <w:sz w:val="28"/>
          <w:szCs w:val="24"/>
          <w:highlight w:val="none"/>
          <w:lang w:val="en-US" w:eastAsia="zh-CN"/>
        </w:rPr>
      </w:pPr>
      <w:r>
        <w:rPr>
          <w:rFonts w:hint="eastAsia" w:ascii="仿宋" w:hAnsi="仿宋" w:eastAsia="仿宋" w:cs="仿宋"/>
          <w:b/>
          <w:bCs/>
          <w:kern w:val="2"/>
          <w:sz w:val="36"/>
          <w:szCs w:val="36"/>
          <w:highlight w:val="none"/>
          <w:lang w:val="en-US" w:eastAsia="zh-CN" w:bidi="ar-SA"/>
        </w:rPr>
        <w:t>评分标准</w:t>
      </w:r>
    </w:p>
    <w:p>
      <w:pPr>
        <w:pStyle w:val="24"/>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4"/>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分值</w:t>
      </w:r>
      <w:r>
        <w:rPr>
          <w:rFonts w:hint="eastAsia" w:ascii="仿宋" w:hAnsi="仿宋" w:eastAsia="仿宋" w:cs="仿宋"/>
          <w:color w:val="auto"/>
          <w:sz w:val="24"/>
          <w:szCs w:val="24"/>
          <w:highlight w:val="none"/>
          <w:lang w:val="en-US" w:eastAsia="zh-CN"/>
        </w:rPr>
        <w:t>分配</w:t>
      </w:r>
      <w:r>
        <w:rPr>
          <w:rFonts w:hint="eastAsia" w:ascii="仿宋" w:hAnsi="仿宋" w:eastAsia="仿宋" w:cs="仿宋"/>
          <w:color w:val="auto"/>
          <w:sz w:val="24"/>
          <w:szCs w:val="24"/>
          <w:highlight w:val="none"/>
        </w:rPr>
        <w:t>：</w:t>
      </w:r>
    </w:p>
    <w:tbl>
      <w:tblPr>
        <w:tblStyle w:val="20"/>
        <w:tblpPr w:leftFromText="180" w:rightFromText="180" w:vertAnchor="text" w:horzAnchor="page" w:tblpXSpec="center" w:tblpY="312"/>
        <w:tblOverlap w:val="never"/>
        <w:tblW w:w="7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2059"/>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50" w:type="dxa"/>
            <w:noWrap w:val="0"/>
            <w:vAlign w:val="center"/>
          </w:tcPr>
          <w:p>
            <w:pPr>
              <w:widowControl w:val="0"/>
              <w:jc w:val="center"/>
              <w:rPr>
                <w:rFonts w:hint="eastAsia" w:ascii="宋体" w:hAnsi="宋体"/>
                <w:kern w:val="2"/>
                <w:highlight w:val="yellow"/>
              </w:rPr>
            </w:pPr>
            <w:r>
              <w:rPr>
                <w:rFonts w:hint="eastAsia" w:ascii="宋体" w:hAnsi="宋体"/>
                <w:kern w:val="2"/>
                <w:highlight w:val="yellow"/>
              </w:rPr>
              <w:t>技术评审</w:t>
            </w:r>
          </w:p>
        </w:tc>
        <w:tc>
          <w:tcPr>
            <w:tcW w:w="2059" w:type="dxa"/>
            <w:noWrap w:val="0"/>
            <w:vAlign w:val="center"/>
          </w:tcPr>
          <w:p>
            <w:pPr>
              <w:widowControl w:val="0"/>
              <w:jc w:val="center"/>
              <w:rPr>
                <w:rFonts w:hint="eastAsia" w:ascii="宋体" w:hAnsi="宋体"/>
                <w:kern w:val="2"/>
                <w:highlight w:val="yellow"/>
              </w:rPr>
            </w:pPr>
            <w:r>
              <w:rPr>
                <w:rFonts w:hint="eastAsia" w:ascii="宋体" w:hAnsi="宋体"/>
                <w:kern w:val="2"/>
                <w:highlight w:val="yellow"/>
              </w:rPr>
              <w:t>价格评审</w:t>
            </w:r>
          </w:p>
        </w:tc>
        <w:tc>
          <w:tcPr>
            <w:tcW w:w="2225" w:type="dxa"/>
            <w:noWrap w:val="0"/>
            <w:vAlign w:val="center"/>
          </w:tcPr>
          <w:p>
            <w:pPr>
              <w:widowControl w:val="0"/>
              <w:jc w:val="center"/>
              <w:rPr>
                <w:rFonts w:hint="eastAsia" w:ascii="宋体" w:hAnsi="宋体"/>
                <w:kern w:val="2"/>
                <w:highlight w:val="yellow"/>
              </w:rPr>
            </w:pPr>
            <w:r>
              <w:rPr>
                <w:rFonts w:hint="eastAsia" w:ascii="宋体" w:hAnsi="宋体"/>
                <w:kern w:val="2"/>
                <w:highlight w:val="yellow"/>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50" w:type="dxa"/>
            <w:noWrap w:val="0"/>
            <w:vAlign w:val="center"/>
          </w:tcPr>
          <w:p>
            <w:pPr>
              <w:widowControl w:val="0"/>
              <w:jc w:val="center"/>
              <w:rPr>
                <w:rFonts w:hint="eastAsia" w:ascii="宋体" w:hAnsi="宋体"/>
                <w:kern w:val="2"/>
                <w:highlight w:val="yellow"/>
              </w:rPr>
            </w:pPr>
            <w:r>
              <w:rPr>
                <w:rFonts w:hint="eastAsia" w:ascii="宋体" w:hAnsi="宋体"/>
                <w:kern w:val="2"/>
                <w:highlight w:val="yellow"/>
                <w:lang w:val="en-US" w:eastAsia="zh-CN"/>
              </w:rPr>
              <w:t>70</w:t>
            </w:r>
            <w:r>
              <w:rPr>
                <w:rFonts w:hint="eastAsia" w:ascii="宋体" w:hAnsi="宋体"/>
                <w:kern w:val="2"/>
                <w:highlight w:val="yellow"/>
              </w:rPr>
              <w:t>%</w:t>
            </w:r>
          </w:p>
        </w:tc>
        <w:tc>
          <w:tcPr>
            <w:tcW w:w="2059" w:type="dxa"/>
            <w:noWrap w:val="0"/>
            <w:vAlign w:val="center"/>
          </w:tcPr>
          <w:p>
            <w:pPr>
              <w:widowControl w:val="0"/>
              <w:jc w:val="center"/>
              <w:rPr>
                <w:rFonts w:hint="eastAsia" w:ascii="宋体" w:hAnsi="宋体"/>
                <w:kern w:val="2"/>
                <w:highlight w:val="yellow"/>
              </w:rPr>
            </w:pPr>
            <w:r>
              <w:rPr>
                <w:rFonts w:hint="eastAsia" w:ascii="宋体" w:hAnsi="宋体"/>
                <w:kern w:val="2"/>
                <w:highlight w:val="yellow"/>
              </w:rPr>
              <w:t>30%</w:t>
            </w:r>
          </w:p>
        </w:tc>
        <w:tc>
          <w:tcPr>
            <w:tcW w:w="2225" w:type="dxa"/>
            <w:noWrap w:val="0"/>
            <w:vAlign w:val="center"/>
          </w:tcPr>
          <w:p>
            <w:pPr>
              <w:widowControl w:val="0"/>
              <w:jc w:val="center"/>
              <w:rPr>
                <w:rFonts w:hint="eastAsia" w:ascii="宋体" w:hAnsi="宋体"/>
                <w:kern w:val="2"/>
                <w:highlight w:val="yellow"/>
              </w:rPr>
            </w:pPr>
            <w:r>
              <w:rPr>
                <w:rFonts w:hint="eastAsia" w:ascii="宋体" w:hAnsi="宋体"/>
                <w:kern w:val="2"/>
                <w:highlight w:val="yellow"/>
              </w:rPr>
              <w:t>100%</w:t>
            </w:r>
          </w:p>
        </w:tc>
      </w:tr>
    </w:tbl>
    <w:p>
      <w:pPr>
        <w:ind w:firstLine="240" w:firstLineChars="100"/>
        <w:rPr>
          <w:rFonts w:hint="eastAsia" w:ascii="仿宋" w:hAnsi="仿宋" w:eastAsia="仿宋" w:cs="仿宋"/>
          <w:color w:val="auto"/>
          <w:sz w:val="24"/>
          <w:szCs w:val="24"/>
          <w:highlight w:val="none"/>
          <w:lang w:val="en-US" w:eastAsia="zh-CN"/>
        </w:rPr>
      </w:pPr>
    </w:p>
    <w:p>
      <w:pPr>
        <w:ind w:firstLine="240" w:firstLineChars="100"/>
        <w:rPr>
          <w:rFonts w:hint="eastAsia" w:ascii="仿宋" w:hAnsi="仿宋" w:eastAsia="仿宋" w:cs="仿宋"/>
          <w:color w:val="auto"/>
          <w:sz w:val="24"/>
          <w:szCs w:val="24"/>
          <w:highlight w:val="none"/>
          <w:lang w:val="en-US" w:eastAsia="zh-CN"/>
        </w:rPr>
      </w:pPr>
    </w:p>
    <w:p>
      <w:pPr>
        <w:ind w:firstLine="240" w:firstLineChars="100"/>
        <w:rPr>
          <w:rFonts w:hint="eastAsia" w:ascii="仿宋" w:hAnsi="仿宋" w:eastAsia="仿宋" w:cs="仿宋"/>
          <w:color w:val="auto"/>
          <w:sz w:val="24"/>
          <w:szCs w:val="24"/>
          <w:highlight w:val="none"/>
          <w:lang w:val="en-US" w:eastAsia="zh-CN"/>
        </w:rPr>
      </w:pPr>
    </w:p>
    <w:p>
      <w:pPr>
        <w:ind w:firstLine="240" w:firstLineChars="100"/>
        <w:rPr>
          <w:rFonts w:hint="eastAsia" w:ascii="仿宋" w:hAnsi="仿宋" w:eastAsia="仿宋" w:cs="仿宋"/>
          <w:color w:val="auto"/>
          <w:sz w:val="24"/>
          <w:szCs w:val="24"/>
          <w:highlight w:val="none"/>
          <w:lang w:val="en-US" w:eastAsia="zh-CN"/>
        </w:rPr>
      </w:pPr>
    </w:p>
    <w:p>
      <w:pPr>
        <w:ind w:firstLine="240" w:firstLineChars="100"/>
        <w:rPr>
          <w:rFonts w:hint="eastAsia" w:ascii="仿宋" w:hAnsi="仿宋" w:eastAsia="仿宋" w:cs="仿宋"/>
          <w:color w:val="auto"/>
          <w:sz w:val="24"/>
          <w:szCs w:val="24"/>
          <w:highlight w:val="none"/>
          <w:lang w:val="en-US" w:eastAsia="zh-CN"/>
        </w:rPr>
      </w:pPr>
    </w:p>
    <w:p>
      <w:pPr>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总分=技术评审+价格评审</w:t>
      </w:r>
    </w:p>
    <w:p>
      <w:pPr>
        <w:spacing w:line="44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价格评</w:t>
      </w:r>
      <w:r>
        <w:rPr>
          <w:rFonts w:hint="eastAsia" w:ascii="仿宋" w:hAnsi="仿宋" w:eastAsia="仿宋" w:cs="仿宋"/>
          <w:color w:val="000000"/>
          <w:sz w:val="24"/>
          <w:szCs w:val="24"/>
          <w:highlight w:val="none"/>
          <w:lang w:val="en-US" w:eastAsia="zh-CN"/>
        </w:rPr>
        <w:t>审</w:t>
      </w:r>
      <w:r>
        <w:rPr>
          <w:rFonts w:hint="eastAsia" w:ascii="仿宋" w:hAnsi="仿宋" w:eastAsia="仿宋" w:cs="仿宋"/>
          <w:color w:val="000000"/>
          <w:sz w:val="24"/>
          <w:szCs w:val="24"/>
          <w:highlight w:val="none"/>
        </w:rPr>
        <w:t>：</w:t>
      </w:r>
    </w:p>
    <w:p>
      <w:pPr>
        <w:shd w:val="solid" w:color="FFFFFF" w:fill="auto"/>
        <w:autoSpaceDN w:val="0"/>
        <w:spacing w:after="225"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基准价/最后</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30</w:t>
      </w:r>
    </w:p>
    <w:p>
      <w:pPr>
        <w:shd w:val="solid" w:color="FFFFFF" w:fill="auto"/>
        <w:autoSpaceDN w:val="0"/>
        <w:spacing w:after="225" w:line="24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Cs/>
          <w:color w:val="auto"/>
          <w:sz w:val="24"/>
          <w:szCs w:val="24"/>
          <w:highlight w:val="none"/>
        </w:rPr>
        <w:t>报价得分四舍五入后，</w:t>
      </w:r>
      <w:r>
        <w:rPr>
          <w:rFonts w:hint="eastAsia" w:ascii="仿宋" w:hAnsi="仿宋" w:eastAsia="仿宋" w:cs="仿宋"/>
          <w:color w:val="auto"/>
          <w:sz w:val="24"/>
          <w:szCs w:val="24"/>
          <w:highlight w:val="none"/>
        </w:rPr>
        <w:t>小数点后保留两位有效数</w:t>
      </w:r>
    </w:p>
    <w:p>
      <w:pPr>
        <w:pStyle w:val="16"/>
        <w:spacing w:line="240" w:lineRule="auto"/>
        <w:ind w:left="0" w:leftChars="0"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依此计算出所有响应供应商的价格评分。</w:t>
      </w:r>
    </w:p>
    <w:p>
      <w:pPr>
        <w:spacing w:line="440" w:lineRule="exact"/>
        <w:rPr>
          <w:rFonts w:ascii="仿宋" w:hAnsi="仿宋" w:eastAsia="仿宋" w:cs="仿宋"/>
          <w:color w:val="000000"/>
          <w:sz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r>
        <w:rPr>
          <w:rFonts w:hint="eastAsia" w:ascii="仿宋" w:hAnsi="仿宋" w:eastAsia="仿宋" w:cs="仿宋"/>
          <w:color w:val="000000"/>
          <w:sz w:val="24"/>
          <w:highlight w:val="none"/>
          <w:lang w:val="en-US" w:eastAsia="zh-CN"/>
        </w:rPr>
        <w:t>表</w:t>
      </w:r>
      <w:r>
        <w:rPr>
          <w:rFonts w:hint="eastAsia" w:ascii="仿宋" w:hAnsi="仿宋" w:eastAsia="仿宋" w:cs="仿宋"/>
          <w:color w:val="000000"/>
          <w:sz w:val="24"/>
          <w:highlight w:val="none"/>
        </w:rPr>
        <w:t>：</w:t>
      </w:r>
    </w:p>
    <w:tbl>
      <w:tblPr>
        <w:tblStyle w:val="19"/>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117"/>
        <w:gridCol w:w="850"/>
        <w:gridCol w:w="3925"/>
        <w:gridCol w:w="758"/>
        <w:gridCol w:w="66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b/>
                <w:bCs/>
                <w:kern w:val="2"/>
              </w:rPr>
            </w:pPr>
            <w:r>
              <w:rPr>
                <w:rFonts w:hint="eastAsia" w:ascii="宋体" w:hAnsi="宋体"/>
                <w:b/>
                <w:bCs/>
                <w:kern w:val="2"/>
              </w:rPr>
              <w:t>序号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b/>
                <w:bCs/>
                <w:kern w:val="2"/>
              </w:rPr>
            </w:pPr>
            <w:r>
              <w:rPr>
                <w:rFonts w:hint="eastAsia" w:ascii="宋体" w:hAnsi="宋体"/>
                <w:b/>
                <w:bCs/>
                <w:kern w:val="2"/>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b/>
                <w:bCs/>
                <w:kern w:val="2"/>
              </w:rPr>
            </w:pPr>
            <w:r>
              <w:rPr>
                <w:rFonts w:hint="eastAsia" w:ascii="宋体" w:hAnsi="宋体"/>
                <w:b/>
                <w:bCs/>
                <w:kern w:val="2"/>
              </w:rPr>
              <w:t>分值</w:t>
            </w:r>
          </w:p>
        </w:tc>
        <w:tc>
          <w:tcPr>
            <w:tcW w:w="39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b/>
                <w:bCs/>
                <w:kern w:val="2"/>
              </w:rPr>
            </w:pPr>
            <w:r>
              <w:rPr>
                <w:rFonts w:hint="eastAsia" w:ascii="宋体" w:hAnsi="宋体"/>
                <w:b/>
                <w:bCs/>
                <w:kern w:val="2"/>
              </w:rPr>
              <w:t>评议内容及评分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b/>
                <w:bCs/>
                <w:kern w:val="2"/>
                <w:lang w:eastAsia="zh-CN"/>
              </w:rPr>
            </w:pPr>
            <w:r>
              <w:rPr>
                <w:rFonts w:hint="eastAsia" w:ascii="宋体" w:hAnsi="宋体"/>
                <w:b/>
                <w:bCs/>
                <w:kern w:val="2"/>
              </w:rPr>
              <w:t>供应商</w:t>
            </w:r>
            <w:r>
              <w:rPr>
                <w:rFonts w:hint="eastAsia" w:ascii="宋体" w:hAnsi="宋体"/>
                <w:b/>
                <w:bCs/>
                <w:kern w:val="2"/>
                <w:lang w:val="en-US" w:eastAsia="zh-CN"/>
              </w:rPr>
              <w:t>1</w:t>
            </w: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b/>
                <w:bCs/>
                <w:kern w:val="2"/>
                <w:lang w:val="en-US" w:eastAsia="zh-CN"/>
              </w:rPr>
            </w:pPr>
            <w:r>
              <w:rPr>
                <w:rFonts w:hint="eastAsia" w:ascii="宋体" w:hAnsi="宋体"/>
                <w:b/>
                <w:bCs/>
                <w:kern w:val="2"/>
              </w:rPr>
              <w:t>供应商</w:t>
            </w:r>
            <w:r>
              <w:rPr>
                <w:rFonts w:hint="eastAsia" w:ascii="宋体" w:hAnsi="宋体"/>
                <w:b/>
                <w:bCs/>
                <w:kern w:val="2"/>
                <w:lang w:val="en-US" w:eastAsia="zh-CN"/>
              </w:rPr>
              <w:t>2</w:t>
            </w: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b/>
                <w:bCs/>
                <w:kern w:val="2"/>
                <w:lang w:val="en-US" w:eastAsia="zh-CN"/>
              </w:rPr>
            </w:pPr>
            <w:r>
              <w:rPr>
                <w:rFonts w:hint="eastAsia" w:ascii="宋体" w:hAnsi="宋体"/>
                <w:b/>
                <w:bCs/>
                <w:kern w:val="2"/>
              </w:rPr>
              <w:t>供应商</w:t>
            </w:r>
            <w:r>
              <w:rPr>
                <w:rFonts w:hint="eastAsia" w:ascii="宋体" w:hAnsi="宋体"/>
                <w:b/>
                <w:bCs/>
                <w:kern w:val="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hint="eastAsia" w:ascii="宋体" w:hAnsi="宋体"/>
                <w:bCs/>
                <w:kern w:val="2"/>
              </w:rPr>
              <w:t>1</w:t>
            </w:r>
          </w:p>
        </w:tc>
        <w:tc>
          <w:tcPr>
            <w:tcW w:w="21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hint="eastAsia" w:ascii="宋体" w:hAnsi="宋体"/>
                <w:kern w:val="2"/>
              </w:rPr>
              <w:t>报价产品质量、匹配及适用性</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ascii="宋体" w:hAnsi="宋体"/>
                <w:kern w:val="2"/>
              </w:rPr>
              <w:t>25</w:t>
            </w:r>
          </w:p>
        </w:tc>
        <w:tc>
          <w:tcPr>
            <w:tcW w:w="3925" w:type="dxa"/>
            <w:tcBorders>
              <w:top w:val="single" w:color="auto" w:sz="4" w:space="0"/>
              <w:left w:val="single" w:color="auto" w:sz="4" w:space="0"/>
              <w:bottom w:val="single" w:color="auto" w:sz="4" w:space="0"/>
              <w:right w:val="single" w:color="auto" w:sz="4" w:space="0"/>
            </w:tcBorders>
            <w:vAlign w:val="center"/>
          </w:tcPr>
          <w:p>
            <w:pPr>
              <w:pStyle w:val="31"/>
              <w:autoSpaceDE/>
              <w:jc w:val="left"/>
              <w:rPr>
                <w:rFonts w:hint="eastAsia" w:cs="Times New Roman"/>
                <w:sz w:val="21"/>
                <w:szCs w:val="21"/>
              </w:rPr>
            </w:pPr>
            <w:r>
              <w:rPr>
                <w:rFonts w:hint="eastAsia" w:cs="Times New Roman"/>
                <w:sz w:val="21"/>
                <w:szCs w:val="21"/>
              </w:rPr>
              <w:t>报价产品质量非常好、匹配及适用性非常强、成熟度非常高，得</w:t>
            </w:r>
            <w:r>
              <w:rPr>
                <w:rFonts w:cs="Times New Roman"/>
                <w:sz w:val="21"/>
                <w:szCs w:val="21"/>
              </w:rPr>
              <w:t>25</w:t>
            </w:r>
            <w:r>
              <w:rPr>
                <w:rFonts w:hint="eastAsia" w:cs="Times New Roman"/>
                <w:sz w:val="21"/>
                <w:szCs w:val="21"/>
              </w:rPr>
              <w:t>分；</w:t>
            </w:r>
          </w:p>
          <w:p>
            <w:pPr>
              <w:pStyle w:val="31"/>
              <w:autoSpaceDE/>
              <w:jc w:val="left"/>
              <w:rPr>
                <w:rFonts w:hint="eastAsia" w:cs="Times New Roman"/>
                <w:sz w:val="21"/>
                <w:szCs w:val="21"/>
              </w:rPr>
            </w:pPr>
            <w:r>
              <w:rPr>
                <w:rFonts w:hint="eastAsia" w:cs="Times New Roman"/>
                <w:sz w:val="21"/>
                <w:szCs w:val="21"/>
              </w:rPr>
              <w:t>报价产品质量较好、匹配及适用性较强、成熟度较高，得</w:t>
            </w:r>
            <w:r>
              <w:rPr>
                <w:rFonts w:cs="Times New Roman"/>
                <w:sz w:val="21"/>
                <w:szCs w:val="21"/>
              </w:rPr>
              <w:t>20</w:t>
            </w:r>
            <w:r>
              <w:rPr>
                <w:rFonts w:hint="eastAsia" w:cs="Times New Roman"/>
                <w:sz w:val="21"/>
                <w:szCs w:val="21"/>
              </w:rPr>
              <w:t>分；</w:t>
            </w:r>
          </w:p>
          <w:p>
            <w:pPr>
              <w:pStyle w:val="31"/>
              <w:autoSpaceDE/>
              <w:jc w:val="left"/>
              <w:rPr>
                <w:rFonts w:hint="eastAsia" w:cs="Times New Roman"/>
                <w:sz w:val="21"/>
                <w:szCs w:val="21"/>
              </w:rPr>
            </w:pPr>
            <w:r>
              <w:rPr>
                <w:rFonts w:hint="eastAsia" w:cs="Times New Roman"/>
                <w:sz w:val="21"/>
                <w:szCs w:val="21"/>
              </w:rPr>
              <w:t>报价产品质量一般、匹配及适用性一般、成熟度一般，得</w:t>
            </w:r>
            <w:r>
              <w:rPr>
                <w:rFonts w:cs="Times New Roman"/>
                <w:sz w:val="21"/>
                <w:szCs w:val="21"/>
              </w:rPr>
              <w:t>15</w:t>
            </w:r>
            <w:r>
              <w:rPr>
                <w:rFonts w:hint="eastAsia" w:cs="Times New Roman"/>
                <w:sz w:val="21"/>
                <w:szCs w:val="21"/>
              </w:rPr>
              <w:t>分；</w:t>
            </w:r>
          </w:p>
          <w:p>
            <w:pPr>
              <w:pStyle w:val="31"/>
              <w:autoSpaceDE/>
              <w:jc w:val="left"/>
              <w:rPr>
                <w:rFonts w:hint="eastAsia" w:cs="Times New Roman"/>
              </w:rPr>
            </w:pPr>
            <w:r>
              <w:rPr>
                <w:rFonts w:hint="eastAsia" w:cs="Times New Roman"/>
                <w:sz w:val="21"/>
                <w:szCs w:val="21"/>
              </w:rPr>
              <w:t>报价产品质量差、匹配及适用性弱、成熟度低，得0分。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hint="eastAsia" w:ascii="宋体" w:hAnsi="宋体"/>
                <w:bCs/>
                <w:kern w:val="2"/>
              </w:rPr>
              <w:t>2</w:t>
            </w:r>
          </w:p>
        </w:tc>
        <w:tc>
          <w:tcPr>
            <w:tcW w:w="21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2"/>
              </w:rPr>
            </w:pPr>
            <w:r>
              <w:rPr>
                <w:rFonts w:hint="eastAsia" w:ascii="宋体" w:hAnsi="宋体"/>
                <w:kern w:val="2"/>
              </w:rPr>
              <w:t>供货（配送、上门安装）</w:t>
            </w:r>
          </w:p>
          <w:p>
            <w:pPr>
              <w:jc w:val="center"/>
              <w:rPr>
                <w:rFonts w:hint="eastAsia" w:ascii="宋体" w:hAnsi="宋体"/>
                <w:spacing w:val="4"/>
                <w:kern w:val="2"/>
              </w:rPr>
            </w:pPr>
            <w:r>
              <w:rPr>
                <w:rFonts w:hint="eastAsia" w:ascii="宋体" w:hAnsi="宋体"/>
                <w:kern w:val="2"/>
              </w:rPr>
              <w:t>服务方案</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ascii="宋体" w:hAnsi="宋体"/>
                <w:bCs/>
                <w:kern w:val="2"/>
              </w:rPr>
              <w:t>15</w:t>
            </w:r>
          </w:p>
        </w:tc>
        <w:tc>
          <w:tcPr>
            <w:tcW w:w="3925" w:type="dxa"/>
            <w:tcBorders>
              <w:top w:val="single" w:color="auto" w:sz="4" w:space="0"/>
              <w:left w:val="single" w:color="auto" w:sz="4" w:space="0"/>
              <w:bottom w:val="single" w:color="auto" w:sz="4" w:space="0"/>
              <w:right w:val="single" w:color="auto" w:sz="4" w:space="0"/>
            </w:tcBorders>
            <w:vAlign w:val="center"/>
          </w:tcPr>
          <w:p>
            <w:pPr>
              <w:pStyle w:val="31"/>
              <w:autoSpaceDE/>
              <w:jc w:val="left"/>
              <w:rPr>
                <w:rFonts w:hint="eastAsia" w:cs="Times New Roman"/>
                <w:sz w:val="21"/>
                <w:szCs w:val="21"/>
              </w:rPr>
            </w:pPr>
            <w:r>
              <w:rPr>
                <w:rFonts w:hint="eastAsia" w:cs="Times New Roman"/>
                <w:sz w:val="21"/>
                <w:szCs w:val="21"/>
              </w:rPr>
              <w:t>供货（配送、上门安装）服务便捷性和及时性非常好，得</w:t>
            </w:r>
            <w:r>
              <w:rPr>
                <w:rFonts w:cs="Times New Roman"/>
                <w:sz w:val="21"/>
                <w:szCs w:val="21"/>
              </w:rPr>
              <w:t>15</w:t>
            </w:r>
            <w:r>
              <w:rPr>
                <w:rFonts w:hint="eastAsia" w:cs="Times New Roman"/>
                <w:sz w:val="21"/>
                <w:szCs w:val="21"/>
              </w:rPr>
              <w:t>分；</w:t>
            </w:r>
          </w:p>
          <w:p>
            <w:pPr>
              <w:pStyle w:val="31"/>
              <w:autoSpaceDE/>
              <w:jc w:val="left"/>
              <w:rPr>
                <w:rFonts w:hint="eastAsia" w:cs="Times New Roman"/>
                <w:sz w:val="21"/>
                <w:szCs w:val="21"/>
              </w:rPr>
            </w:pPr>
            <w:r>
              <w:rPr>
                <w:rFonts w:hint="eastAsia" w:cs="Times New Roman"/>
                <w:sz w:val="21"/>
                <w:szCs w:val="21"/>
              </w:rPr>
              <w:t>供货（配送、上门安装）服务便捷性和及时性比较好，得</w:t>
            </w:r>
            <w:r>
              <w:rPr>
                <w:rFonts w:cs="Times New Roman"/>
                <w:sz w:val="21"/>
                <w:szCs w:val="21"/>
              </w:rPr>
              <w:t>10</w:t>
            </w:r>
            <w:r>
              <w:rPr>
                <w:rFonts w:hint="eastAsia" w:cs="Times New Roman"/>
                <w:sz w:val="21"/>
                <w:szCs w:val="21"/>
              </w:rPr>
              <w:t>分；</w:t>
            </w:r>
          </w:p>
          <w:p>
            <w:pPr>
              <w:pStyle w:val="31"/>
              <w:autoSpaceDE/>
              <w:jc w:val="left"/>
              <w:rPr>
                <w:rFonts w:hint="eastAsia" w:cs="Times New Roman"/>
                <w:sz w:val="21"/>
                <w:szCs w:val="21"/>
              </w:rPr>
            </w:pPr>
            <w:r>
              <w:rPr>
                <w:rFonts w:hint="eastAsia" w:cs="Times New Roman"/>
                <w:sz w:val="21"/>
                <w:szCs w:val="21"/>
              </w:rPr>
              <w:t>供货（配送、上门安装）服务便捷性和及时性一般，得</w:t>
            </w:r>
            <w:r>
              <w:rPr>
                <w:rFonts w:cs="Times New Roman"/>
                <w:sz w:val="21"/>
                <w:szCs w:val="21"/>
              </w:rPr>
              <w:t>5</w:t>
            </w:r>
            <w:r>
              <w:rPr>
                <w:rFonts w:hint="eastAsia" w:cs="Times New Roman"/>
                <w:sz w:val="21"/>
                <w:szCs w:val="21"/>
              </w:rPr>
              <w:t>分；</w:t>
            </w:r>
          </w:p>
          <w:p>
            <w:pPr>
              <w:pStyle w:val="31"/>
              <w:autoSpaceDE/>
              <w:jc w:val="left"/>
              <w:rPr>
                <w:rFonts w:hint="eastAsia" w:cs="Times New Roman"/>
              </w:rPr>
            </w:pPr>
            <w:r>
              <w:rPr>
                <w:rFonts w:hint="eastAsia" w:cs="Times New Roman"/>
                <w:sz w:val="21"/>
                <w:szCs w:val="21"/>
              </w:rPr>
              <w:t>供货（配送、上门安装）服务便捷性和及时性非常差，得0分。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hint="eastAsia" w:ascii="宋体" w:hAnsi="宋体"/>
                <w:bCs/>
                <w:kern w:val="2"/>
              </w:rPr>
              <w:t>3</w:t>
            </w:r>
          </w:p>
        </w:tc>
        <w:tc>
          <w:tcPr>
            <w:tcW w:w="21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pacing w:val="4"/>
                <w:kern w:val="2"/>
              </w:rPr>
            </w:pPr>
            <w:r>
              <w:rPr>
                <w:rFonts w:hint="eastAsia" w:ascii="宋体" w:hAnsi="宋体"/>
                <w:kern w:val="2"/>
              </w:rPr>
              <w:t>技术支持</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ascii="宋体" w:hAnsi="宋体"/>
                <w:kern w:val="2"/>
              </w:rPr>
              <w:t>25</w:t>
            </w:r>
          </w:p>
        </w:tc>
        <w:tc>
          <w:tcPr>
            <w:tcW w:w="392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kern w:val="2"/>
              </w:rPr>
            </w:pPr>
            <w:r>
              <w:rPr>
                <w:rFonts w:hint="eastAsia" w:ascii="宋体" w:hAnsi="宋体"/>
                <w:kern w:val="2"/>
              </w:rPr>
              <w:t>清晰、明确符合本项目服务内容（无限次上门安装调试、售后维护等服务情况），维护人员能提供2名或以上思科无线技术认证(CCIE Wireless)工程师到场和远程的维护服务、资源配置优秀，有效的保证措施，技术支持的，得</w:t>
            </w:r>
            <w:r>
              <w:rPr>
                <w:rFonts w:ascii="宋体" w:hAnsi="宋体"/>
                <w:kern w:val="2"/>
              </w:rPr>
              <w:t>25</w:t>
            </w:r>
            <w:r>
              <w:rPr>
                <w:rFonts w:hint="eastAsia" w:ascii="宋体" w:hAnsi="宋体"/>
                <w:kern w:val="2"/>
              </w:rPr>
              <w:t>分；</w:t>
            </w:r>
          </w:p>
          <w:p>
            <w:pPr>
              <w:widowControl w:val="0"/>
              <w:rPr>
                <w:rFonts w:hint="eastAsia" w:ascii="宋体" w:hAnsi="宋体"/>
                <w:kern w:val="2"/>
              </w:rPr>
            </w:pPr>
            <w:r>
              <w:rPr>
                <w:rFonts w:hint="eastAsia" w:ascii="宋体" w:hAnsi="宋体"/>
                <w:kern w:val="2"/>
              </w:rPr>
              <w:t>符合本项目服务内容（无限次上门安装调试、售后维护等服务情况），维护人员能提供</w:t>
            </w:r>
            <w:r>
              <w:rPr>
                <w:rFonts w:ascii="宋体" w:hAnsi="宋体"/>
                <w:kern w:val="2"/>
              </w:rPr>
              <w:t>2</w:t>
            </w:r>
            <w:r>
              <w:rPr>
                <w:rFonts w:hint="eastAsia" w:ascii="宋体" w:hAnsi="宋体"/>
                <w:kern w:val="2"/>
              </w:rPr>
              <w:t>名或以上思科无线技术认证(CCIE Wireless)工程师到场和远程的维护服务、资源配置良好，有良好的保证措施，技术支持的，得</w:t>
            </w:r>
            <w:r>
              <w:rPr>
                <w:rFonts w:ascii="宋体" w:hAnsi="宋体"/>
                <w:kern w:val="2"/>
              </w:rPr>
              <w:t>20</w:t>
            </w:r>
            <w:r>
              <w:rPr>
                <w:rFonts w:hint="eastAsia" w:ascii="宋体" w:hAnsi="宋体"/>
                <w:kern w:val="2"/>
              </w:rPr>
              <w:t>分；</w:t>
            </w:r>
          </w:p>
          <w:p>
            <w:pPr>
              <w:widowControl w:val="0"/>
              <w:rPr>
                <w:rFonts w:hint="eastAsia" w:ascii="宋体" w:hAnsi="宋体"/>
                <w:kern w:val="2"/>
              </w:rPr>
            </w:pPr>
            <w:r>
              <w:rPr>
                <w:rFonts w:hint="eastAsia" w:ascii="宋体" w:hAnsi="宋体"/>
                <w:kern w:val="2"/>
              </w:rPr>
              <w:t>基于本项目服务内容（无限次上门安装调试、售后维护等服务情况），维护人员能提供1名或以上思科无线技术认证(CCIE Wireless)工程师到场和远程的维护服务、资源配置基本一般，保证措施、技术支持一般的，得</w:t>
            </w:r>
            <w:r>
              <w:rPr>
                <w:rFonts w:ascii="宋体" w:hAnsi="宋体"/>
                <w:kern w:val="2"/>
              </w:rPr>
              <w:t>15</w:t>
            </w:r>
            <w:r>
              <w:rPr>
                <w:rFonts w:hint="eastAsia" w:ascii="宋体" w:hAnsi="宋体"/>
                <w:kern w:val="2"/>
              </w:rPr>
              <w:t>分；</w:t>
            </w:r>
          </w:p>
          <w:p>
            <w:pPr>
              <w:widowControl w:val="0"/>
              <w:rPr>
                <w:rFonts w:hint="eastAsia" w:ascii="宋体" w:hAnsi="宋体"/>
                <w:kern w:val="2"/>
              </w:rPr>
            </w:pPr>
            <w:r>
              <w:rPr>
                <w:rFonts w:hint="eastAsia" w:ascii="宋体" w:hAnsi="宋体"/>
                <w:kern w:val="2"/>
              </w:rPr>
              <w:t>基于本项目服务内容（无限次上门安装调试、售后维护等服务情况），维护人员未能提供思科无线技术认证(CCIE Wireless)工程师到场和远程的维护服务、资源配置差，保证措施、技术支持差的，得0分。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ascii="宋体" w:hAnsi="宋体"/>
                <w:bCs/>
                <w:kern w:val="2"/>
              </w:rPr>
              <w:t>4</w:t>
            </w:r>
          </w:p>
        </w:tc>
        <w:tc>
          <w:tcPr>
            <w:tcW w:w="21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hint="eastAsia" w:ascii="宋体" w:hAnsi="宋体"/>
                <w:kern w:val="2"/>
              </w:rPr>
              <w:t>应急服务措施、方案</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kern w:val="2"/>
              </w:rPr>
            </w:pPr>
            <w:r>
              <w:rPr>
                <w:rFonts w:ascii="宋体" w:hAnsi="宋体"/>
                <w:kern w:val="2"/>
              </w:rPr>
              <w:t>5</w:t>
            </w:r>
          </w:p>
        </w:tc>
        <w:tc>
          <w:tcPr>
            <w:tcW w:w="392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宋体" w:hAnsi="宋体"/>
                <w:kern w:val="2"/>
              </w:rPr>
            </w:pPr>
            <w:r>
              <w:rPr>
                <w:rFonts w:hint="eastAsia" w:ascii="宋体" w:hAnsi="宋体"/>
                <w:kern w:val="2"/>
              </w:rPr>
              <w:t>有详细、科学的应急服务措施、方案，得5分；</w:t>
            </w:r>
          </w:p>
          <w:p>
            <w:pPr>
              <w:widowControl w:val="0"/>
              <w:rPr>
                <w:rFonts w:hint="eastAsia" w:ascii="宋体" w:hAnsi="宋体"/>
                <w:kern w:val="2"/>
              </w:rPr>
            </w:pPr>
            <w:r>
              <w:rPr>
                <w:rFonts w:hint="eastAsia" w:ascii="宋体" w:hAnsi="宋体"/>
                <w:kern w:val="2"/>
              </w:rPr>
              <w:t>有可操作性的应急服务措施、方案，得3分；</w:t>
            </w:r>
          </w:p>
          <w:p>
            <w:pPr>
              <w:widowControl w:val="0"/>
              <w:rPr>
                <w:rFonts w:hint="eastAsia" w:ascii="宋体" w:hAnsi="宋体"/>
                <w:kern w:val="2"/>
              </w:rPr>
            </w:pPr>
            <w:r>
              <w:rPr>
                <w:rFonts w:hint="eastAsia" w:ascii="宋体" w:hAnsi="宋体"/>
                <w:kern w:val="2"/>
              </w:rPr>
              <w:t>应急服务措施、方案可操作性差，得1分；</w:t>
            </w:r>
          </w:p>
          <w:p>
            <w:pPr>
              <w:widowControl w:val="0"/>
              <w:rPr>
                <w:rFonts w:hint="eastAsia" w:ascii="宋体" w:hAnsi="宋体"/>
                <w:kern w:val="2"/>
              </w:rPr>
            </w:pPr>
            <w:r>
              <w:rPr>
                <w:rFonts w:hint="eastAsia" w:ascii="宋体" w:hAnsi="宋体"/>
                <w:kern w:val="2"/>
              </w:rPr>
              <w:t>无应急服务措施、方案，得0分。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91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kern w:val="2"/>
              </w:rPr>
            </w:pPr>
            <w:r>
              <w:rPr>
                <w:rFonts w:hint="eastAsia" w:ascii="宋体" w:hAnsi="宋体"/>
                <w:kern w:val="2"/>
              </w:rPr>
              <w:t>合计</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kern w:val="2"/>
              </w:rPr>
            </w:pPr>
            <w:r>
              <w:rPr>
                <w:rFonts w:ascii="宋体" w:hAnsi="宋体"/>
                <w:kern w:val="2"/>
              </w:rPr>
              <w:t>70</w:t>
            </w:r>
            <w:r>
              <w:rPr>
                <w:rFonts w:hint="eastAsia" w:ascii="宋体" w:hAnsi="宋体"/>
                <w:kern w:val="2"/>
              </w:rPr>
              <w:t>分</w:t>
            </w:r>
          </w:p>
        </w:tc>
        <w:tc>
          <w:tcPr>
            <w:tcW w:w="39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kern w:val="2"/>
              </w:rPr>
            </w:pPr>
            <w:r>
              <w:rPr>
                <w:rFonts w:hint="eastAsia" w:ascii="宋体" w:hAnsi="宋体"/>
                <w:kern w:val="2"/>
              </w:rPr>
              <w:t>得分总计</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kern w:val="2"/>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kern w:val="2"/>
              </w:rPr>
            </w:pPr>
          </w:p>
        </w:tc>
        <w:tc>
          <w:tcPr>
            <w:tcW w:w="7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kern w:val="2"/>
              </w:rPr>
            </w:pPr>
          </w:p>
        </w:tc>
      </w:tr>
    </w:tbl>
    <w:p>
      <w:pPr>
        <w:rPr>
          <w:rFonts w:ascii="仿宋" w:hAnsi="仿宋" w:eastAsia="仿宋" w:cs="仿宋"/>
          <w:color w:val="000000"/>
          <w:sz w:val="24"/>
          <w:highlight w:val="none"/>
          <w:lang w:val="zh-CN"/>
        </w:rPr>
      </w:pPr>
    </w:p>
    <w:p>
      <w:pPr>
        <w:pStyle w:val="24"/>
        <w:rPr>
          <w:rFonts w:hint="eastAsia" w:ascii="仿宋" w:hAnsi="仿宋" w:eastAsia="仿宋" w:cs="仿宋"/>
          <w:color w:val="000000" w:themeColor="text1"/>
          <w:sz w:val="24"/>
          <w:szCs w:val="24"/>
          <w:highlight w:val="none"/>
          <w14:textFill>
            <w14:solidFill>
              <w14:schemeClr w14:val="tx1"/>
            </w14:solidFill>
          </w14:textFill>
        </w:rPr>
      </w:pPr>
    </w:p>
    <w:p>
      <w:pPr>
        <w:pStyle w:val="24"/>
        <w:rPr>
          <w:rFonts w:hint="eastAsia" w:ascii="仿宋" w:hAnsi="仿宋" w:eastAsia="仿宋" w:cs="仿宋"/>
          <w:color w:val="000000" w:themeColor="text1"/>
          <w:sz w:val="24"/>
          <w:szCs w:val="24"/>
          <w:highlight w:val="none"/>
          <w14:textFill>
            <w14:solidFill>
              <w14:schemeClr w14:val="tx1"/>
            </w14:solidFill>
          </w14:textFill>
        </w:rPr>
      </w:pPr>
    </w:p>
    <w:p>
      <w:pPr>
        <w:pStyle w:val="24"/>
        <w:rPr>
          <w:rFonts w:hint="eastAsia" w:ascii="仿宋" w:hAnsi="仿宋" w:eastAsia="仿宋" w:cs="仿宋"/>
          <w:color w:val="000000" w:themeColor="text1"/>
          <w:sz w:val="24"/>
          <w:szCs w:val="24"/>
          <w:highlight w:val="none"/>
          <w14:textFill>
            <w14:solidFill>
              <w14:schemeClr w14:val="tx1"/>
            </w14:solidFill>
          </w14:textFill>
        </w:rPr>
      </w:pPr>
    </w:p>
    <w:p>
      <w:pPr>
        <w:pStyle w:val="4"/>
        <w:bidi w:val="0"/>
        <w:jc w:val="both"/>
        <w:rPr>
          <w:rFonts w:hint="eastAsia"/>
          <w:color w:val="auto"/>
          <w:highlight w:val="none"/>
        </w:rPr>
      </w:pPr>
    </w:p>
    <w:p>
      <w:pPr>
        <w:pStyle w:val="4"/>
        <w:bidi w:val="0"/>
        <w:jc w:val="center"/>
        <w:rPr>
          <w:rFonts w:hint="eastAsia"/>
          <w:color w:val="auto"/>
          <w:highlight w:val="none"/>
        </w:rPr>
      </w:pPr>
    </w:p>
    <w:p>
      <w:pPr>
        <w:pStyle w:val="4"/>
        <w:bidi w:val="0"/>
        <w:jc w:val="cente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4"/>
        <w:bidi w:val="0"/>
        <w:ind w:firstLine="2209" w:firstLineChars="500"/>
        <w:jc w:val="both"/>
        <w:rPr>
          <w:rFonts w:hint="eastAsia"/>
          <w:color w:val="auto"/>
          <w:highlight w:val="none"/>
          <w:lang w:val="en-US" w:eastAsia="zh-CN"/>
        </w:rPr>
      </w:pPr>
      <w:r>
        <w:rPr>
          <w:rFonts w:hint="eastAsia"/>
          <w:color w:val="auto"/>
          <w:highlight w:val="none"/>
        </w:rPr>
        <w:t>第</w:t>
      </w:r>
      <w:r>
        <w:rPr>
          <w:rFonts w:hint="eastAsia"/>
          <w:color w:val="auto"/>
          <w:highlight w:val="none"/>
          <w:lang w:val="en-US" w:eastAsia="zh-CN"/>
        </w:rPr>
        <w:t>四</w:t>
      </w:r>
      <w:r>
        <w:rPr>
          <w:rFonts w:hint="eastAsia"/>
          <w:color w:val="auto"/>
          <w:highlight w:val="none"/>
        </w:rPr>
        <w:t>部分　</w:t>
      </w:r>
      <w:r>
        <w:rPr>
          <w:rFonts w:hint="eastAsia"/>
          <w:color w:val="auto"/>
          <w:highlight w:val="none"/>
          <w:lang w:val="en-US" w:eastAsia="zh-CN"/>
        </w:rPr>
        <w:t>报价文件格式</w:t>
      </w:r>
    </w:p>
    <w:p>
      <w:pPr>
        <w:rPr>
          <w:rFonts w:hint="eastAsia"/>
          <w:highlight w:val="none"/>
        </w:rPr>
      </w:pPr>
    </w:p>
    <w:p>
      <w:pPr>
        <w:rPr>
          <w:rFonts w:hint="eastAsia"/>
          <w:sz w:val="24"/>
          <w:szCs w:val="24"/>
          <w:highlight w:val="none"/>
        </w:rPr>
      </w:pPr>
    </w:p>
    <w:p>
      <w:pPr>
        <w:pStyle w:val="9"/>
        <w:rPr>
          <w:rFonts w:hint="eastAsia"/>
          <w:sz w:val="24"/>
          <w:szCs w:val="24"/>
          <w:highlight w:val="none"/>
        </w:rPr>
      </w:pPr>
    </w:p>
    <w:p>
      <w:pPr>
        <w:pStyle w:val="10"/>
        <w:rPr>
          <w:rFonts w:hint="eastAsia"/>
          <w:sz w:val="24"/>
          <w:szCs w:val="24"/>
          <w:highlight w:val="none"/>
        </w:rPr>
      </w:pPr>
    </w:p>
    <w:p>
      <w:pPr>
        <w:rPr>
          <w:rFonts w:hint="eastAsia"/>
          <w:sz w:val="24"/>
          <w:szCs w:val="24"/>
          <w:highlight w:val="none"/>
        </w:rPr>
      </w:pPr>
    </w:p>
    <w:p>
      <w:pPr>
        <w:pStyle w:val="9"/>
        <w:rPr>
          <w:rFonts w:hint="eastAsia"/>
          <w:sz w:val="24"/>
          <w:szCs w:val="24"/>
          <w:highlight w:val="none"/>
        </w:rPr>
      </w:pPr>
    </w:p>
    <w:p>
      <w:pPr>
        <w:pStyle w:val="10"/>
        <w:rPr>
          <w:rFonts w:hint="eastAsia"/>
          <w:sz w:val="24"/>
          <w:szCs w:val="24"/>
          <w:highlight w:val="none"/>
        </w:rPr>
      </w:pPr>
    </w:p>
    <w:p>
      <w:pPr>
        <w:rPr>
          <w:rFonts w:hint="eastAsia"/>
          <w:sz w:val="24"/>
          <w:szCs w:val="24"/>
          <w:highlight w:val="none"/>
        </w:rPr>
      </w:pPr>
    </w:p>
    <w:p>
      <w:pPr>
        <w:pStyle w:val="9"/>
        <w:rPr>
          <w:rFonts w:hint="eastAsia"/>
          <w:sz w:val="24"/>
          <w:szCs w:val="24"/>
          <w:highlight w:val="none"/>
        </w:rPr>
      </w:pPr>
    </w:p>
    <w:p>
      <w:pPr>
        <w:pStyle w:val="10"/>
        <w:rPr>
          <w:rFonts w:hint="eastAsia"/>
          <w:sz w:val="24"/>
          <w:szCs w:val="24"/>
          <w:highlight w:val="none"/>
        </w:rPr>
      </w:pPr>
    </w:p>
    <w:p>
      <w:pPr>
        <w:rPr>
          <w:rFonts w:hint="eastAsia"/>
          <w:sz w:val="24"/>
          <w:szCs w:val="24"/>
          <w:highlight w:val="none"/>
        </w:rPr>
      </w:pPr>
    </w:p>
    <w:p>
      <w:pPr>
        <w:pStyle w:val="9"/>
        <w:rPr>
          <w:rFonts w:hint="eastAsia" w:eastAsia="宋体"/>
          <w:sz w:val="24"/>
          <w:szCs w:val="24"/>
          <w:highlight w:val="none"/>
          <w:lang w:eastAsia="zh-CN"/>
        </w:rPr>
      </w:pPr>
    </w:p>
    <w:p>
      <w:pPr>
        <w:pStyle w:val="10"/>
        <w:rPr>
          <w:rFonts w:hint="eastAsia"/>
          <w:highlight w:val="none"/>
          <w:lang w:eastAsia="zh-CN"/>
        </w:rPr>
      </w:pPr>
    </w:p>
    <w:p>
      <w:pPr>
        <w:pStyle w:val="10"/>
        <w:rPr>
          <w:rFonts w:hint="eastAsia"/>
          <w:sz w:val="24"/>
          <w:szCs w:val="24"/>
          <w:highlight w:val="none"/>
        </w:rPr>
      </w:pPr>
    </w:p>
    <w:p>
      <w:pPr>
        <w:rPr>
          <w:rFonts w:hint="eastAsia"/>
          <w:sz w:val="24"/>
          <w:szCs w:val="24"/>
          <w:highlight w:val="none"/>
        </w:rPr>
      </w:pPr>
    </w:p>
    <w:p>
      <w:pPr>
        <w:pStyle w:val="9"/>
        <w:rPr>
          <w:rFonts w:hint="eastAsia"/>
          <w:sz w:val="24"/>
          <w:szCs w:val="24"/>
          <w:highlight w:val="none"/>
        </w:rPr>
      </w:pPr>
    </w:p>
    <w:p>
      <w:pPr>
        <w:pStyle w:val="10"/>
        <w:rPr>
          <w:rFonts w:hint="eastAsia"/>
          <w:sz w:val="24"/>
          <w:szCs w:val="24"/>
          <w:highlight w:val="none"/>
        </w:rPr>
      </w:pPr>
    </w:p>
    <w:p>
      <w:pPr>
        <w:rPr>
          <w:rFonts w:hint="eastAsia"/>
          <w:sz w:val="24"/>
          <w:szCs w:val="24"/>
          <w:highlight w:val="none"/>
        </w:rPr>
      </w:pPr>
    </w:p>
    <w:p>
      <w:pPr>
        <w:pStyle w:val="9"/>
        <w:rPr>
          <w:rFonts w:hint="eastAsia"/>
          <w:sz w:val="24"/>
          <w:szCs w:val="24"/>
          <w:highlight w:val="none"/>
        </w:rPr>
      </w:pPr>
    </w:p>
    <w:p>
      <w:pPr>
        <w:pStyle w:val="10"/>
        <w:rPr>
          <w:rFonts w:hint="eastAsia"/>
          <w:sz w:val="24"/>
          <w:szCs w:val="24"/>
          <w:highlight w:val="none"/>
        </w:rPr>
      </w:pPr>
    </w:p>
    <w:p>
      <w:pPr>
        <w:spacing w:line="440" w:lineRule="exact"/>
        <w:jc w:val="center"/>
        <w:rPr>
          <w:rFonts w:hint="eastAsia" w:ascii="仿宋" w:hAnsi="仿宋" w:eastAsia="仿宋" w:cs="仿宋"/>
          <w:b/>
          <w:bCs/>
          <w:sz w:val="32"/>
          <w:szCs w:val="32"/>
          <w:highlight w:val="none"/>
        </w:rPr>
      </w:pPr>
    </w:p>
    <w:p>
      <w:pPr>
        <w:spacing w:line="44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报价单</w:t>
      </w:r>
    </w:p>
    <w:p>
      <w:pPr>
        <w:spacing w:line="440" w:lineRule="exact"/>
        <w:jc w:val="center"/>
        <w:rPr>
          <w:rFonts w:hint="eastAsia" w:ascii="仿宋" w:hAnsi="仿宋" w:eastAsia="仿宋" w:cs="仿宋"/>
          <w:sz w:val="24"/>
          <w:szCs w:val="24"/>
          <w:highlight w:val="none"/>
        </w:rPr>
      </w:pPr>
    </w:p>
    <w:p>
      <w:pPr>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致中山市小榄人民医院：</w:t>
      </w:r>
    </w:p>
    <w:tbl>
      <w:tblPr>
        <w:tblStyle w:val="20"/>
        <w:tblpPr w:leftFromText="180" w:rightFromText="180" w:vertAnchor="text" w:horzAnchor="page" w:tblpX="1935" w:tblpY="39"/>
        <w:tblOverlap w:val="never"/>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设备名称</w:t>
            </w:r>
          </w:p>
        </w:tc>
        <w:tc>
          <w:tcPr>
            <w:tcW w:w="4534" w:type="dxa"/>
            <w:vAlign w:val="top"/>
          </w:tcPr>
          <w:p>
            <w:pPr>
              <w:jc w:val="left"/>
              <w:rPr>
                <w:rFonts w:hint="eastAsia" w:ascii="仿宋" w:hAnsi="仿宋" w:eastAsia="仿宋" w:cs="仿宋"/>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625" w:type="dxa"/>
            <w:vAlign w:val="top"/>
          </w:tcPr>
          <w:p>
            <w:pPr>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设备型号</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厂家/品牌</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产地</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年</w:t>
            </w:r>
            <w:r>
              <w:rPr>
                <w:rFonts w:hint="eastAsia" w:ascii="仿宋" w:hAnsi="仿宋" w:eastAsia="仿宋" w:cs="仿宋"/>
                <w:sz w:val="28"/>
                <w:szCs w:val="28"/>
                <w:highlight w:val="none"/>
                <w:lang w:eastAsia="zh-CN"/>
              </w:rPr>
              <w:t>）</w:t>
            </w:r>
          </w:p>
        </w:tc>
        <w:tc>
          <w:tcPr>
            <w:tcW w:w="4534" w:type="dxa"/>
            <w:vAlign w:val="top"/>
          </w:tcPr>
          <w:p>
            <w:pPr>
              <w:jc w:val="left"/>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数量（台）</w:t>
            </w:r>
          </w:p>
        </w:tc>
        <w:tc>
          <w:tcPr>
            <w:tcW w:w="4534" w:type="dxa"/>
            <w:vAlign w:val="top"/>
          </w:tcPr>
          <w:p>
            <w:pPr>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单价（元）</w:t>
            </w:r>
          </w:p>
        </w:tc>
        <w:tc>
          <w:tcPr>
            <w:tcW w:w="4534" w:type="dxa"/>
            <w:vAlign w:val="top"/>
          </w:tcPr>
          <w:p>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25" w:type="dxa"/>
            <w:vAlign w:val="top"/>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总价（元）</w:t>
            </w:r>
          </w:p>
        </w:tc>
        <w:tc>
          <w:tcPr>
            <w:tcW w:w="4534" w:type="dxa"/>
            <w:vAlign w:val="top"/>
          </w:tcPr>
          <w:p>
            <w:pPr>
              <w:jc w:val="left"/>
              <w:rPr>
                <w:rFonts w:hint="default" w:ascii="仿宋" w:hAnsi="仿宋" w:eastAsia="仿宋" w:cs="仿宋"/>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59" w:type="dxa"/>
            <w:gridSpan w:val="2"/>
            <w:vAlign w:val="top"/>
          </w:tcPr>
          <w:p>
            <w:pPr>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备注：设备是否在广东省智慧云平台电子卖场-网上超市（是</w:t>
            </w: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否</w:t>
            </w: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w:t>
            </w:r>
            <w:r>
              <w:rPr>
                <w:rFonts w:hint="eastAsia" w:ascii="仿宋" w:hAnsi="仿宋" w:eastAsia="仿宋" w:cs="仿宋"/>
                <w:b/>
                <w:bCs/>
                <w:sz w:val="28"/>
                <w:szCs w:val="28"/>
                <w:highlight w:val="none"/>
                <w:lang w:val="en-US" w:eastAsia="zh-CN"/>
              </w:rPr>
              <w:t>如果是，请附上链接及页面截图。</w:t>
            </w:r>
          </w:p>
        </w:tc>
      </w:tr>
    </w:tbl>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合计：</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w:t>
      </w:r>
    </w:p>
    <w:p>
      <w:pPr>
        <w:jc w:val="center"/>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大写（人民币）：</w:t>
      </w:r>
      <w:r>
        <w:rPr>
          <w:rFonts w:hint="eastAsia" w:ascii="仿宋" w:hAnsi="仿宋" w:eastAsia="仿宋" w:cs="仿宋"/>
          <w:sz w:val="28"/>
          <w:szCs w:val="28"/>
          <w:highlight w:val="none"/>
          <w:u w:val="single"/>
          <w:lang w:val="en-US" w:eastAsia="zh-CN"/>
        </w:rPr>
        <w:t xml:space="preserve">               </w:t>
      </w:r>
    </w:p>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FF"/>
          <w:sz w:val="28"/>
          <w:szCs w:val="28"/>
          <w:highlight w:val="none"/>
        </w:rPr>
      </w:pPr>
      <w:r>
        <w:rPr>
          <w:rFonts w:hint="eastAsia" w:ascii="仿宋" w:hAnsi="仿宋" w:eastAsia="仿宋" w:cs="仿宋"/>
          <w:sz w:val="28"/>
          <w:szCs w:val="28"/>
          <w:highlight w:val="none"/>
        </w:rPr>
        <w:t>报价时间：</w:t>
      </w:r>
    </w:p>
    <w:p>
      <w:pPr>
        <w:pStyle w:val="24"/>
        <w:ind w:left="0" w:leftChars="0" w:firstLine="0" w:firstLineChars="0"/>
        <w:rPr>
          <w:rFonts w:hint="eastAsia" w:ascii="仿宋" w:hAnsi="仿宋" w:eastAsia="仿宋" w:cs="仿宋"/>
          <w:b/>
          <w:bCs/>
          <w:color w:val="0000FF"/>
          <w:sz w:val="28"/>
          <w:szCs w:val="28"/>
          <w:highlight w:val="none"/>
        </w:rPr>
      </w:pPr>
    </w:p>
    <w:p>
      <w:pPr>
        <w:pStyle w:val="24"/>
        <w:ind w:left="0" w:leftChars="0" w:firstLine="0" w:firstLineChars="0"/>
        <w:rPr>
          <w:rFonts w:hint="eastAsia" w:ascii="仿宋" w:hAnsi="仿宋" w:eastAsia="仿宋" w:cs="仿宋"/>
          <w:b/>
          <w:bCs/>
          <w:color w:val="0000FF"/>
          <w:sz w:val="28"/>
          <w:szCs w:val="28"/>
          <w:highlight w:val="none"/>
        </w:rPr>
      </w:pPr>
    </w:p>
    <w:p>
      <w:pPr>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参数偏离情况表</w:t>
      </w:r>
    </w:p>
    <w:p>
      <w:pPr>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填写要求：</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1、请按用户需求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要求</w:t>
      </w:r>
      <w:r>
        <w:rPr>
          <w:rFonts w:hint="eastAsia" w:ascii="仿宋" w:hAnsi="仿宋" w:eastAsia="仿宋" w:cs="仿宋"/>
          <w:b/>
          <w:bCs/>
          <w:color w:val="auto"/>
          <w:sz w:val="24"/>
          <w:szCs w:val="24"/>
          <w:highlight w:val="none"/>
        </w:rPr>
        <w:t>逐条响应</w:t>
      </w:r>
      <w:r>
        <w:rPr>
          <w:rFonts w:hint="eastAsia" w:ascii="仿宋" w:hAnsi="仿宋" w:eastAsia="仿宋" w:cs="仿宋"/>
          <w:color w:val="auto"/>
          <w:sz w:val="24"/>
          <w:szCs w:val="24"/>
          <w:highlight w:val="none"/>
        </w:rPr>
        <w:t>，正负偏离参数</w:t>
      </w:r>
      <w:r>
        <w:rPr>
          <w:rFonts w:hint="eastAsia" w:ascii="仿宋" w:hAnsi="仿宋" w:eastAsia="仿宋" w:cs="仿宋"/>
          <w:color w:val="auto"/>
          <w:sz w:val="24"/>
          <w:szCs w:val="24"/>
          <w:highlight w:val="none"/>
          <w:lang w:val="en-US" w:eastAsia="zh-CN"/>
        </w:rPr>
        <w:t>请</w:t>
      </w:r>
      <w:r>
        <w:rPr>
          <w:rFonts w:hint="eastAsia" w:ascii="仿宋" w:hAnsi="仿宋" w:eastAsia="仿宋" w:cs="仿宋"/>
          <w:color w:val="auto"/>
          <w:sz w:val="24"/>
          <w:szCs w:val="24"/>
          <w:highlight w:val="none"/>
        </w:rPr>
        <w:t>备注说明。</w:t>
      </w:r>
    </w:p>
    <w:p>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、其中带★的参数是</w:t>
      </w:r>
      <w:r>
        <w:rPr>
          <w:rFonts w:hint="eastAsia" w:ascii="仿宋" w:hAnsi="仿宋" w:eastAsia="仿宋" w:cs="仿宋"/>
          <w:b/>
          <w:bCs/>
          <w:color w:val="auto"/>
          <w:sz w:val="24"/>
          <w:szCs w:val="24"/>
          <w:highlight w:val="none"/>
        </w:rPr>
        <w:t>必须完全响应</w:t>
      </w:r>
      <w:r>
        <w:rPr>
          <w:rFonts w:hint="eastAsia" w:ascii="仿宋" w:hAnsi="仿宋" w:eastAsia="仿宋" w:cs="仿宋"/>
          <w:color w:val="auto"/>
          <w:sz w:val="24"/>
          <w:szCs w:val="24"/>
          <w:highlight w:val="none"/>
        </w:rPr>
        <w:t>的参数。</w:t>
      </w:r>
    </w:p>
    <w:p>
      <w:pPr>
        <w:spacing w:line="4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3、所投产品的</w:t>
      </w:r>
      <w:r>
        <w:rPr>
          <w:rFonts w:hint="eastAsia" w:ascii="仿宋" w:hAnsi="仿宋" w:eastAsia="仿宋" w:cs="仿宋"/>
          <w:b/>
          <w:bCs/>
          <w:color w:val="auto"/>
          <w:sz w:val="24"/>
          <w:szCs w:val="24"/>
          <w:highlight w:val="none"/>
          <w:lang w:val="en-US" w:eastAsia="zh-CN"/>
        </w:rPr>
        <w:t>参数满足率≥90%</w:t>
      </w:r>
      <w:r>
        <w:rPr>
          <w:rFonts w:hint="eastAsia" w:ascii="仿宋" w:hAnsi="仿宋" w:eastAsia="仿宋" w:cs="仿宋"/>
          <w:color w:val="auto"/>
          <w:sz w:val="24"/>
          <w:szCs w:val="24"/>
          <w:highlight w:val="none"/>
          <w:lang w:val="en-US" w:eastAsia="zh-CN"/>
        </w:rPr>
        <w:t>方视为满足需求的合格产品。</w:t>
      </w:r>
    </w:p>
    <w:p>
      <w:pPr>
        <w:spacing w:line="380" w:lineRule="exact"/>
        <w:rPr>
          <w:rFonts w:hint="eastAsia" w:ascii="仿宋" w:hAnsi="仿宋" w:eastAsia="仿宋" w:cs="仿宋"/>
          <w:color w:val="auto"/>
          <w:sz w:val="24"/>
          <w:szCs w:val="24"/>
          <w:highlight w:val="none"/>
        </w:rPr>
      </w:pPr>
    </w:p>
    <w:p>
      <w:pPr>
        <w:numPr>
          <w:ilvl w:val="0"/>
          <w:numId w:val="7"/>
        </w:numPr>
        <w:tabs>
          <w:tab w:val="left" w:pos="720"/>
        </w:tabs>
        <w:spacing w:line="3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技术要求：</w:t>
      </w:r>
      <w:r>
        <w:rPr>
          <w:rFonts w:hint="eastAsia" w:ascii="仿宋" w:hAnsi="仿宋" w:eastAsia="仿宋" w:cs="仿宋"/>
          <w:color w:val="auto"/>
          <w:sz w:val="24"/>
          <w:szCs w:val="24"/>
          <w:highlight w:val="none"/>
        </w:rPr>
        <w:t>（请按用户需求里的技术要求及配置要求逐条响应）</w:t>
      </w:r>
    </w:p>
    <w:p>
      <w:pPr>
        <w:tabs>
          <w:tab w:val="left" w:pos="720"/>
        </w:tabs>
        <w:spacing w:line="340" w:lineRule="exact"/>
        <w:jc w:val="left"/>
        <w:rPr>
          <w:rFonts w:hint="eastAsia" w:ascii="仿宋" w:hAnsi="仿宋" w:eastAsia="仿宋" w:cs="仿宋"/>
          <w:b/>
          <w:bCs/>
          <w:color w:val="auto"/>
          <w:sz w:val="24"/>
          <w:szCs w:val="24"/>
          <w:highlight w:val="none"/>
        </w:rPr>
      </w:pPr>
    </w:p>
    <w:tbl>
      <w:tblPr>
        <w:tblStyle w:val="19"/>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4909"/>
        <w:gridCol w:w="157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序号</w:t>
            </w:r>
          </w:p>
        </w:tc>
        <w:tc>
          <w:tcPr>
            <w:tcW w:w="4909"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技术参数及配置要求</w:t>
            </w:r>
          </w:p>
        </w:tc>
        <w:tc>
          <w:tcPr>
            <w:tcW w:w="1575"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正/负偏离</w:t>
            </w:r>
          </w:p>
        </w:tc>
        <w:tc>
          <w:tcPr>
            <w:tcW w:w="181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shd w:val="clear" w:color="000000" w:fill="FFFFFF"/>
            <w:noWrap/>
            <w:vAlign w:val="center"/>
          </w:tcPr>
          <w:p>
            <w:pPr>
              <w:keepNext/>
              <w:spacing w:line="440" w:lineRule="exact"/>
              <w:jc w:val="center"/>
              <w:outlineLvl w:val="0"/>
              <w:rPr>
                <w:rFonts w:hint="eastAsia" w:ascii="宋体" w:hAnsi="宋体" w:eastAsia="宋体" w:cs="Times New Roman"/>
                <w:b/>
                <w:bCs/>
                <w:color w:val="auto"/>
                <w:kern w:val="2"/>
                <w:sz w:val="21"/>
                <w:szCs w:val="24"/>
                <w:lang w:val="en-US" w:eastAsia="zh-CN" w:bidi="ar-SA"/>
              </w:rPr>
            </w:pPr>
            <w:r>
              <w:rPr>
                <w:rFonts w:hint="eastAsia" w:ascii="宋体" w:hAnsi="宋体"/>
                <w:b/>
                <w:bCs/>
                <w:color w:val="auto"/>
                <w:kern w:val="0"/>
                <w:sz w:val="20"/>
              </w:rPr>
              <w:t>1</w:t>
            </w:r>
          </w:p>
        </w:tc>
        <w:tc>
          <w:tcPr>
            <w:tcW w:w="4909" w:type="dxa"/>
            <w:shd w:val="clear" w:color="000000" w:fill="FFFFFF"/>
            <w:noWrap/>
            <w:vAlign w:val="top"/>
          </w:tcPr>
          <w:p>
            <w:pPr>
              <w:widowControl/>
              <w:spacing w:line="360" w:lineRule="auto"/>
              <w:jc w:val="left"/>
              <w:rPr>
                <w:rFonts w:hint="eastAsia" w:ascii="宋体" w:hAnsi="宋体" w:eastAsia="宋体" w:cs="Times New Roman"/>
                <w:color w:val="auto"/>
                <w:kern w:val="2"/>
                <w:sz w:val="21"/>
                <w:szCs w:val="24"/>
                <w:lang w:val="zh-CN" w:eastAsia="zh-CN" w:bidi="ar-SA"/>
              </w:rPr>
            </w:pPr>
            <w:r>
              <w:rPr>
                <w:rFonts w:hint="eastAsia" w:ascii="宋体" w:hAnsi="宋体"/>
                <w:color w:val="auto"/>
                <w:kern w:val="0"/>
              </w:rPr>
              <w:t>端口:10/100/1000以太网口</w:t>
            </w:r>
          </w:p>
        </w:tc>
        <w:tc>
          <w:tcPr>
            <w:tcW w:w="157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en-US" w:eastAsia="zh-CN" w:bidi="ar-SA"/>
              </w:rPr>
            </w:pPr>
            <w:r>
              <w:rPr>
                <w:rFonts w:hint="eastAsia" w:ascii="宋体" w:hAnsi="宋体"/>
                <w:b/>
                <w:bCs/>
                <w:color w:val="auto"/>
                <w:kern w:val="0"/>
                <w:sz w:val="20"/>
              </w:rPr>
              <w:t>2</w:t>
            </w:r>
          </w:p>
        </w:tc>
        <w:tc>
          <w:tcPr>
            <w:tcW w:w="4909" w:type="dxa"/>
            <w:shd w:val="clear" w:color="000000" w:fill="FFFFFF"/>
            <w:noWrap/>
            <w:vAlign w:val="top"/>
          </w:tcPr>
          <w:p>
            <w:pPr>
              <w:widowControl/>
              <w:spacing w:line="360" w:lineRule="auto"/>
              <w:jc w:val="left"/>
              <w:rPr>
                <w:rFonts w:hint="eastAsia" w:ascii="宋体" w:hAnsi="宋体" w:eastAsia="宋体" w:cs="Times New Roman"/>
                <w:color w:val="auto"/>
                <w:kern w:val="2"/>
                <w:sz w:val="21"/>
                <w:szCs w:val="24"/>
                <w:lang w:val="en-US" w:eastAsia="zh-CN" w:bidi="ar-SA"/>
              </w:rPr>
            </w:pPr>
            <w:r>
              <w:rPr>
                <w:rFonts w:hint="eastAsia" w:ascii="宋体" w:hAnsi="宋体"/>
                <w:color w:val="auto"/>
                <w:kern w:val="0"/>
              </w:rPr>
              <w:t>LED指示灯:</w:t>
            </w:r>
            <w:r>
              <w:rPr>
                <w:rFonts w:hint="eastAsia" w:ascii="宋体" w:hAnsi="宋体"/>
                <w:color w:val="auto"/>
                <w:kern w:val="0"/>
                <w:shd w:val="clear" w:color="auto" w:fill="FFFFFF"/>
              </w:rPr>
              <w:t>支</w:t>
            </w:r>
            <w:r>
              <w:rPr>
                <w:rFonts w:hint="eastAsia" w:ascii="宋体" w:hAnsi="宋体"/>
                <w:color w:val="auto"/>
                <w:kern w:val="0"/>
              </w:rPr>
              <w:t>持</w:t>
            </w:r>
          </w:p>
        </w:tc>
        <w:tc>
          <w:tcPr>
            <w:tcW w:w="1575"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3</w:t>
            </w:r>
          </w:p>
        </w:tc>
        <w:tc>
          <w:tcPr>
            <w:tcW w:w="4909" w:type="dxa"/>
            <w:shd w:val="clear" w:color="000000" w:fill="FFFFFF"/>
            <w:noWrap/>
            <w:vAlign w:val="top"/>
          </w:tcPr>
          <w:p>
            <w:pPr>
              <w:widowControl/>
              <w:spacing w:line="360" w:lineRule="auto"/>
              <w:jc w:val="left"/>
              <w:rPr>
                <w:rFonts w:hint="eastAsia" w:ascii="宋体" w:hAnsi="宋体" w:eastAsia="宋体" w:cs="Times New Roman"/>
                <w:color w:val="auto"/>
                <w:kern w:val="2"/>
                <w:sz w:val="21"/>
                <w:szCs w:val="24"/>
                <w:lang w:val="en-US" w:eastAsia="zh-CN" w:bidi="ar-SA"/>
              </w:rPr>
            </w:pPr>
            <w:r>
              <w:rPr>
                <w:rFonts w:hint="eastAsia" w:ascii="宋体" w:hAnsi="宋体"/>
                <w:color w:val="auto"/>
                <w:kern w:val="0"/>
              </w:rPr>
              <w:t>数据传输率:≥</w:t>
            </w:r>
            <w:r>
              <w:rPr>
                <w:rFonts w:ascii="宋体" w:hAnsi="宋体"/>
                <w:color w:val="auto"/>
                <w:kern w:val="0"/>
              </w:rPr>
              <w:t xml:space="preserve">1.3 </w:t>
            </w:r>
            <w:r>
              <w:rPr>
                <w:rFonts w:hint="eastAsia" w:ascii="宋体" w:hAnsi="宋体"/>
                <w:color w:val="auto"/>
                <w:kern w:val="0"/>
              </w:rPr>
              <w:t>Gbps</w:t>
            </w:r>
          </w:p>
        </w:tc>
        <w:tc>
          <w:tcPr>
            <w:tcW w:w="1575" w:type="dxa"/>
            <w:shd w:val="clear" w:color="000000" w:fill="FFFFFF"/>
            <w:noWrap/>
            <w:vAlign w:val="center"/>
          </w:tcPr>
          <w:p>
            <w:pPr>
              <w:widowControl/>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4</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天线:内置，集成天线</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5</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安全性能:802.11i，WPA2，WPA，802.1X，AES</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6</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使用场景:企业办公、医院无线查房</w:t>
            </w:r>
          </w:p>
        </w:tc>
        <w:tc>
          <w:tcPr>
            <w:tcW w:w="1575"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7</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网络标准:IEEE802.11a、IEEE802.11b、IEEE 802.11g、IEEE 802.11ac</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eastAsia="宋体" w:cs="宋体"/>
                <w:b/>
                <w:bCs/>
                <w:color w:val="auto"/>
                <w:kern w:val="0"/>
                <w:sz w:val="20"/>
              </w:rPr>
              <w:t>★</w:t>
            </w:r>
            <w:r>
              <w:rPr>
                <w:rFonts w:hint="eastAsia" w:ascii="宋体" w:hAnsi="宋体"/>
                <w:b/>
                <w:bCs/>
                <w:color w:val="auto"/>
                <w:kern w:val="0"/>
                <w:sz w:val="20"/>
              </w:rPr>
              <w:t>8</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兼容性:兼容思科WLC5508无线控制器，并且每一台设备自带可接入WLC5508无线控制器的原厂许可</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9</w:t>
            </w:r>
          </w:p>
        </w:tc>
        <w:tc>
          <w:tcPr>
            <w:tcW w:w="4909" w:type="dxa"/>
            <w:shd w:val="clear" w:color="000000" w:fill="FFFFFF"/>
            <w:noWrap/>
            <w:vAlign w:val="top"/>
          </w:tcPr>
          <w:p>
            <w:pPr>
              <w:widowControl/>
              <w:spacing w:line="360" w:lineRule="auto"/>
              <w:jc w:val="left"/>
              <w:rPr>
                <w:rFonts w:hint="default" w:cs="Times New Roman" w:asciiTheme="minorEastAsia" w:hAnsiTheme="minorEastAsia" w:eastAsiaTheme="minorEastAsia"/>
                <w:color w:val="auto"/>
                <w:kern w:val="2"/>
                <w:sz w:val="21"/>
                <w:szCs w:val="24"/>
                <w:lang w:val="en-US" w:eastAsia="zh-CN" w:bidi="ar-SA"/>
              </w:rPr>
            </w:pPr>
            <w:r>
              <w:rPr>
                <w:rFonts w:hint="eastAsia" w:ascii="宋体" w:hAnsi="宋体"/>
                <w:color w:val="auto"/>
                <w:kern w:val="0"/>
              </w:rPr>
              <w:t>支持范围:支持新一代 Wi-Fi 客户端，如集成 802.11ac Wave 1 或 Wave 2 支持的智 能手机、平板电脑和高性能手提电脑。</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10</w:t>
            </w:r>
          </w:p>
        </w:tc>
        <w:tc>
          <w:tcPr>
            <w:tcW w:w="4909" w:type="dxa"/>
            <w:shd w:val="clear" w:color="000000" w:fill="FFFFFF"/>
            <w:noWrap/>
            <w:vAlign w:val="top"/>
          </w:tcPr>
          <w:p>
            <w:pPr>
              <w:widowControl/>
              <w:spacing w:line="360" w:lineRule="auto"/>
              <w:jc w:val="left"/>
              <w:rPr>
                <w:rFonts w:hint="default" w:cs="Times New Roman" w:asciiTheme="minorEastAsia" w:hAnsiTheme="minorEastAsia" w:eastAsiaTheme="minorEastAsia"/>
                <w:color w:val="auto"/>
                <w:kern w:val="2"/>
                <w:sz w:val="21"/>
                <w:szCs w:val="24"/>
                <w:lang w:val="en-US" w:eastAsia="zh-CN" w:bidi="ar-SA"/>
              </w:rPr>
            </w:pPr>
            <w:r>
              <w:rPr>
                <w:rFonts w:hint="eastAsia" w:ascii="宋体" w:hAnsi="宋体"/>
                <w:color w:val="auto"/>
                <w:kern w:val="0"/>
              </w:rPr>
              <w:t>适用频段:2.4GHz+5GHz</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b/>
                <w:bCs/>
                <w:color w:val="auto"/>
                <w:kern w:val="0"/>
                <w:sz w:val="20"/>
              </w:rPr>
              <w:t>11</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供电模式:802.3af标准POE</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2"/>
                <w:sz w:val="21"/>
                <w:szCs w:val="24"/>
                <w:lang w:val="zh-CN" w:eastAsia="zh-CN" w:bidi="ar-SA"/>
              </w:rPr>
            </w:pPr>
            <w:r>
              <w:rPr>
                <w:rFonts w:hint="eastAsia" w:ascii="宋体" w:hAnsi="宋体" w:eastAsia="宋体" w:cs="宋体"/>
                <w:b/>
                <w:bCs/>
                <w:color w:val="auto"/>
                <w:kern w:val="0"/>
                <w:sz w:val="20"/>
              </w:rPr>
              <w:t>★</w:t>
            </w:r>
            <w:r>
              <w:rPr>
                <w:rFonts w:hint="eastAsia" w:ascii="宋体" w:hAnsi="宋体"/>
                <w:b/>
                <w:bCs/>
                <w:color w:val="auto"/>
                <w:kern w:val="0"/>
                <w:sz w:val="20"/>
              </w:rPr>
              <w:t>12</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2"/>
                <w:sz w:val="21"/>
                <w:szCs w:val="24"/>
                <w:lang w:val="en-US" w:eastAsia="zh-CN" w:bidi="ar-SA"/>
              </w:rPr>
            </w:pPr>
            <w:r>
              <w:rPr>
                <w:rFonts w:hint="eastAsia" w:ascii="宋体" w:hAnsi="宋体"/>
                <w:color w:val="auto"/>
                <w:kern w:val="0"/>
              </w:rPr>
              <w:t>最大发射功率:2.4 GHz ≥2</w:t>
            </w:r>
            <w:r>
              <w:rPr>
                <w:rFonts w:ascii="宋体" w:hAnsi="宋体"/>
                <w:color w:val="auto"/>
                <w:kern w:val="0"/>
              </w:rPr>
              <w:t xml:space="preserve">3 </w:t>
            </w:r>
            <w:r>
              <w:rPr>
                <w:rFonts w:hint="eastAsia" w:ascii="宋体" w:hAnsi="宋体"/>
                <w:color w:val="auto"/>
                <w:kern w:val="0"/>
              </w:rPr>
              <w:t>dBm，5 GHz ≥2</w:t>
            </w:r>
            <w:r>
              <w:rPr>
                <w:rFonts w:ascii="宋体" w:hAnsi="宋体"/>
                <w:color w:val="auto"/>
                <w:kern w:val="0"/>
              </w:rPr>
              <w:t>3</w:t>
            </w:r>
            <w:r>
              <w:rPr>
                <w:rFonts w:hint="eastAsia" w:ascii="宋体" w:hAnsi="宋体"/>
                <w:color w:val="auto"/>
                <w:kern w:val="0"/>
              </w:rPr>
              <w:t xml:space="preserve"> dBm</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spacing w:line="440" w:lineRule="exact"/>
              <w:jc w:val="center"/>
              <w:rPr>
                <w:rFonts w:hint="eastAsia" w:ascii="宋体" w:hAnsi="宋体" w:eastAsia="宋体" w:cs="Times New Roman"/>
                <w:b/>
                <w:bCs/>
                <w:color w:val="auto"/>
                <w:kern w:val="0"/>
                <w:sz w:val="20"/>
                <w:szCs w:val="24"/>
                <w:lang w:val="zh-CN" w:eastAsia="zh-CN" w:bidi="ar-SA"/>
              </w:rPr>
            </w:pPr>
            <w:r>
              <w:rPr>
                <w:rFonts w:hint="eastAsia" w:ascii="宋体" w:hAnsi="宋体"/>
                <w:b/>
                <w:bCs/>
                <w:color w:val="auto"/>
                <w:kern w:val="0"/>
                <w:sz w:val="20"/>
              </w:rPr>
              <w:t>13</w:t>
            </w:r>
          </w:p>
        </w:tc>
        <w:tc>
          <w:tcPr>
            <w:tcW w:w="4909" w:type="dxa"/>
            <w:shd w:val="clear" w:color="000000" w:fill="FFFFFF"/>
            <w:noWrap/>
            <w:vAlign w:val="top"/>
          </w:tcPr>
          <w:p>
            <w:pPr>
              <w:widowControl/>
              <w:spacing w:line="360" w:lineRule="auto"/>
              <w:jc w:val="left"/>
              <w:rPr>
                <w:rFonts w:hint="default" w:ascii="宋体" w:hAnsi="宋体" w:eastAsia="宋体" w:cs="Times New Roman"/>
                <w:color w:val="auto"/>
                <w:kern w:val="0"/>
                <w:sz w:val="21"/>
                <w:szCs w:val="24"/>
                <w:lang w:val="en-US" w:eastAsia="zh-CN" w:bidi="ar-SA"/>
              </w:rPr>
            </w:pPr>
            <w:r>
              <w:rPr>
                <w:rFonts w:hint="eastAsia" w:ascii="宋体" w:hAnsi="宋体"/>
                <w:color w:val="auto"/>
                <w:kern w:val="0"/>
              </w:rPr>
              <w:t>通信收发能力：≥3空间流，≥4x4 MIMO</w:t>
            </w:r>
          </w:p>
        </w:tc>
        <w:tc>
          <w:tcPr>
            <w:tcW w:w="1575" w:type="dxa"/>
            <w:shd w:val="clear" w:color="000000" w:fill="FFFFFF"/>
            <w:noWrap/>
            <w:vAlign w:val="center"/>
          </w:tcPr>
          <w:p>
            <w:pPr>
              <w:spacing w:line="440" w:lineRule="exact"/>
              <w:jc w:val="center"/>
              <w:rPr>
                <w:rFonts w:hint="eastAsia" w:ascii="仿宋" w:hAnsi="仿宋" w:eastAsia="仿宋" w:cs="仿宋"/>
                <w:b/>
                <w:bCs w:val="0"/>
                <w:color w:val="auto"/>
                <w:sz w:val="24"/>
                <w:szCs w:val="24"/>
                <w:highlight w:val="none"/>
              </w:rPr>
            </w:pPr>
          </w:p>
        </w:tc>
        <w:tc>
          <w:tcPr>
            <w:tcW w:w="1815" w:type="dxa"/>
            <w:shd w:val="clear" w:color="000000" w:fill="FFFFFF"/>
            <w:noWrap/>
            <w:vAlign w:val="center"/>
          </w:tcPr>
          <w:p>
            <w:pPr>
              <w:widowControl/>
              <w:spacing w:line="440" w:lineRule="exact"/>
              <w:rPr>
                <w:rFonts w:hint="eastAsia" w:ascii="仿宋" w:hAnsi="仿宋" w:eastAsia="仿宋" w:cs="仿宋"/>
                <w:b/>
                <w:bCs w:val="0"/>
                <w:color w:val="auto"/>
                <w:sz w:val="24"/>
                <w:szCs w:val="24"/>
                <w:highlight w:val="none"/>
              </w:rPr>
            </w:pPr>
          </w:p>
        </w:tc>
      </w:tr>
    </w:tbl>
    <w:p>
      <w:pPr>
        <w:spacing w:line="340" w:lineRule="exact"/>
        <w:rPr>
          <w:rFonts w:hint="eastAsia" w:ascii="仿宋" w:hAnsi="仿宋" w:eastAsia="仿宋" w:cs="仿宋"/>
          <w:color w:val="auto"/>
          <w:sz w:val="24"/>
          <w:szCs w:val="24"/>
          <w:highlight w:val="none"/>
        </w:rPr>
      </w:pPr>
    </w:p>
    <w:p>
      <w:pPr>
        <w:pStyle w:val="2"/>
        <w:rPr>
          <w:rFonts w:hint="eastAsia"/>
        </w:rPr>
      </w:pPr>
    </w:p>
    <w:p>
      <w:pPr>
        <w:numPr>
          <w:ilvl w:val="0"/>
          <w:numId w:val="7"/>
        </w:numPr>
        <w:tabs>
          <w:tab w:val="left" w:pos="720"/>
        </w:tabs>
        <w:spacing w:line="34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商务要求：</w:t>
      </w:r>
      <w:r>
        <w:rPr>
          <w:rFonts w:hint="eastAsia" w:ascii="仿宋" w:hAnsi="仿宋" w:eastAsia="仿宋" w:cs="仿宋"/>
          <w:color w:val="auto"/>
          <w:sz w:val="24"/>
          <w:szCs w:val="24"/>
          <w:highlight w:val="none"/>
        </w:rPr>
        <w:t>（请按用户需求里的商务要求逐条响应）</w:t>
      </w:r>
    </w:p>
    <w:tbl>
      <w:tblPr>
        <w:tblStyle w:val="1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43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序号</w:t>
            </w:r>
          </w:p>
        </w:tc>
        <w:tc>
          <w:tcPr>
            <w:tcW w:w="1116"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商务要求</w:t>
            </w:r>
          </w:p>
        </w:tc>
        <w:tc>
          <w:tcPr>
            <w:tcW w:w="1431" w:type="dxa"/>
            <w:shd w:val="clear" w:color="000000" w:fill="FFFFFF"/>
            <w:noWrap/>
            <w:vAlign w:val="center"/>
          </w:tcPr>
          <w:p>
            <w:pPr>
              <w:tabs>
                <w:tab w:val="left" w:pos="720"/>
              </w:tabs>
              <w:spacing w:line="44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完全响应或</w:t>
            </w:r>
          </w:p>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正/负偏离</w:t>
            </w:r>
          </w:p>
        </w:tc>
        <w:tc>
          <w:tcPr>
            <w:tcW w:w="131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w:t>
            </w:r>
          </w:p>
        </w:tc>
        <w:tc>
          <w:tcPr>
            <w:tcW w:w="1116" w:type="dxa"/>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val="zh-CN" w:eastAsia="zh-CN"/>
              </w:rPr>
            </w:pPr>
          </w:p>
        </w:tc>
        <w:tc>
          <w:tcPr>
            <w:tcW w:w="4638" w:type="dxa"/>
            <w:shd w:val="clear" w:color="000000" w:fill="FFFFFF"/>
            <w:noWrap/>
            <w:vAlign w:val="center"/>
          </w:tcPr>
          <w:p>
            <w:pPr>
              <w:numPr>
                <w:numId w:val="0"/>
              </w:numPr>
              <w:spacing w:line="360" w:lineRule="auto"/>
              <w:jc w:val="left"/>
              <w:rPr>
                <w:rFonts w:hint="eastAsia" w:ascii="仿宋" w:hAnsi="仿宋" w:eastAsia="仿宋" w:cs="仿宋"/>
                <w:b w:val="0"/>
                <w:bCs w:val="0"/>
                <w:color w:val="auto"/>
                <w:sz w:val="24"/>
                <w:szCs w:val="24"/>
                <w:highlight w:val="none"/>
                <w:lang w:val="zh-CN" w:eastAsia="zh-CN"/>
              </w:rPr>
            </w:pPr>
            <w:r>
              <w:rPr>
                <w:rFonts w:hint="eastAsia" w:ascii="宋体" w:hAnsi="宋体"/>
                <w:bCs/>
              </w:rPr>
              <w:t>★ 供应商对以上采购清单的货物报价，报价不得高于本项目采购预算价。</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p>
        </w:tc>
        <w:tc>
          <w:tcPr>
            <w:tcW w:w="1116" w:type="dxa"/>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p>
        </w:tc>
        <w:tc>
          <w:tcPr>
            <w:tcW w:w="4638" w:type="dxa"/>
            <w:shd w:val="clear" w:color="000000" w:fill="FFFFFF"/>
            <w:noWrap/>
            <w:vAlign w:val="center"/>
          </w:tcPr>
          <w:p>
            <w:pPr>
              <w:numPr>
                <w:numId w:val="0"/>
              </w:numPr>
              <w:spacing w:line="360" w:lineRule="auto"/>
              <w:jc w:val="left"/>
              <w:rPr>
                <w:rFonts w:hint="eastAsia" w:ascii="仿宋" w:hAnsi="仿宋" w:eastAsia="仿宋" w:cs="仿宋"/>
                <w:b w:val="0"/>
                <w:bCs w:val="0"/>
                <w:color w:val="auto"/>
                <w:sz w:val="24"/>
                <w:szCs w:val="24"/>
                <w:highlight w:val="none"/>
                <w:lang w:eastAsia="zh-CN"/>
              </w:rPr>
            </w:pPr>
            <w:r>
              <w:rPr>
                <w:rFonts w:hint="eastAsia" w:ascii="宋体" w:hAnsi="宋体"/>
                <w:bCs/>
              </w:rPr>
              <w:t>报价含送货、安装（包括包工包料的50条网络布线）、调试（联合无线控器调试，含50个原厂许可，确保信号无间覆盖）等及相关人工费、运输费、税费。</w:t>
            </w:r>
          </w:p>
        </w:tc>
        <w:tc>
          <w:tcPr>
            <w:tcW w:w="1431"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w:t>
            </w:r>
          </w:p>
        </w:tc>
        <w:tc>
          <w:tcPr>
            <w:tcW w:w="1116" w:type="dxa"/>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r>
              <w:rPr>
                <w:rFonts w:hint="eastAsia" w:ascii="宋体" w:hAnsi="宋体"/>
                <w:b/>
                <w:bCs/>
              </w:rPr>
              <w:t>投标报价要求</w:t>
            </w:r>
          </w:p>
        </w:tc>
        <w:tc>
          <w:tcPr>
            <w:tcW w:w="4638" w:type="dxa"/>
            <w:shd w:val="clear" w:color="000000" w:fill="FFFFFF"/>
            <w:noWrap/>
            <w:vAlign w:val="center"/>
          </w:tcPr>
          <w:p>
            <w:pPr>
              <w:numPr>
                <w:ilvl w:val="0"/>
                <w:numId w:val="8"/>
              </w:numPr>
              <w:tabs>
                <w:tab w:val="left" w:pos="0"/>
              </w:tabs>
              <w:adjustRightInd w:val="0"/>
              <w:snapToGrid w:val="0"/>
              <w:spacing w:line="360" w:lineRule="auto"/>
              <w:rPr>
                <w:rFonts w:hint="eastAsia" w:ascii="宋体" w:hAnsi="宋体"/>
                <w:bCs/>
              </w:rPr>
            </w:pPr>
            <w:r>
              <w:rPr>
                <w:rFonts w:hint="eastAsia" w:ascii="宋体" w:hAnsi="宋体"/>
                <w:bCs/>
              </w:rPr>
              <w:t>投标报价为到采购人的交货价。</w:t>
            </w:r>
          </w:p>
          <w:p>
            <w:pPr>
              <w:numPr>
                <w:ilvl w:val="0"/>
                <w:numId w:val="8"/>
              </w:numPr>
              <w:tabs>
                <w:tab w:val="left" w:pos="0"/>
              </w:tabs>
              <w:adjustRightInd w:val="0"/>
              <w:snapToGrid w:val="0"/>
              <w:spacing w:line="360" w:lineRule="auto"/>
            </w:pPr>
            <w:r>
              <w:rPr>
                <w:rFonts w:hint="eastAsia" w:ascii="宋体" w:hAnsi="宋体"/>
                <w:bCs/>
              </w:rPr>
              <w:t>投标报价为含税价。</w:t>
            </w:r>
          </w:p>
          <w:p>
            <w:pPr>
              <w:numPr>
                <w:ilvl w:val="0"/>
                <w:numId w:val="8"/>
              </w:numPr>
              <w:tabs>
                <w:tab w:val="left" w:pos="0"/>
              </w:tabs>
              <w:adjustRightInd w:val="0"/>
              <w:snapToGrid w:val="0"/>
              <w:spacing w:line="360" w:lineRule="auto"/>
              <w:rPr>
                <w:rFonts w:hint="eastAsia" w:ascii="仿宋" w:hAnsi="仿宋" w:eastAsia="仿宋" w:cs="仿宋"/>
                <w:b w:val="0"/>
                <w:bCs w:val="0"/>
                <w:color w:val="auto"/>
                <w:sz w:val="24"/>
                <w:szCs w:val="24"/>
                <w:highlight w:val="none"/>
                <w:lang w:eastAsia="zh-CN"/>
              </w:rPr>
            </w:pPr>
            <w:r>
              <w:rPr>
                <w:rFonts w:hint="eastAsia" w:ascii="宋体" w:hAnsi="宋体"/>
                <w:bCs/>
              </w:rPr>
              <w:t>供应商须对本项目全部内容进行整体报价，任何只对其中一部分内容进行投标的都将视为无效报价。</w:t>
            </w:r>
          </w:p>
        </w:tc>
        <w:tc>
          <w:tcPr>
            <w:tcW w:w="1431" w:type="dxa"/>
            <w:shd w:val="clear" w:color="000000" w:fill="FFFFFF"/>
            <w:noWrap/>
            <w:vAlign w:val="center"/>
          </w:tcPr>
          <w:p>
            <w:pPr>
              <w:widowControl/>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4</w:t>
            </w:r>
          </w:p>
        </w:tc>
        <w:tc>
          <w:tcPr>
            <w:tcW w:w="1116" w:type="dxa"/>
            <w:shd w:val="clear" w:color="000000" w:fill="FFFFFF"/>
            <w:noWrap/>
            <w:vAlign w:val="center"/>
          </w:tcPr>
          <w:p>
            <w:pPr>
              <w:spacing w:beforeLines="0" w:line="240" w:lineRule="auto"/>
              <w:rPr>
                <w:rFonts w:hint="eastAsia" w:ascii="仿宋" w:hAnsi="仿宋" w:eastAsia="仿宋" w:cs="仿宋"/>
                <w:b w:val="0"/>
                <w:bCs w:val="0"/>
                <w:color w:val="auto"/>
                <w:sz w:val="24"/>
                <w:szCs w:val="24"/>
                <w:highlight w:val="none"/>
                <w:lang w:eastAsia="zh-CN"/>
              </w:rPr>
            </w:pPr>
            <w:r>
              <w:rPr>
                <w:rFonts w:hint="eastAsia" w:ascii="宋体" w:hAnsi="宋体"/>
                <w:b/>
                <w:bCs/>
              </w:rPr>
              <w:t>包装、装卸、运输、保管及保险</w:t>
            </w:r>
          </w:p>
        </w:tc>
        <w:tc>
          <w:tcPr>
            <w:tcW w:w="4638" w:type="dxa"/>
            <w:shd w:val="clear" w:color="000000" w:fill="FFFFFF"/>
            <w:noWrap/>
            <w:vAlign w:val="center"/>
          </w:tcPr>
          <w:p>
            <w:pPr>
              <w:numPr>
                <w:ilvl w:val="0"/>
                <w:numId w:val="9"/>
              </w:numPr>
              <w:tabs>
                <w:tab w:val="left" w:pos="0"/>
              </w:tabs>
              <w:snapToGrid w:val="0"/>
              <w:spacing w:line="360" w:lineRule="auto"/>
              <w:rPr>
                <w:rFonts w:hint="eastAsia" w:ascii="宋体" w:hAnsi="宋体"/>
                <w:bCs/>
              </w:rPr>
            </w:pPr>
            <w:r>
              <w:rPr>
                <w:rFonts w:hint="eastAsia" w:ascii="宋体" w:hAnsi="宋体" w:cs="Arial"/>
                <w:bCs/>
              </w:rPr>
              <w:t>成交供应商</w:t>
            </w:r>
            <w:r>
              <w:rPr>
                <w:rFonts w:hint="eastAsia" w:ascii="宋体" w:hAnsi="宋体"/>
                <w:bCs/>
              </w:rPr>
              <w:t>所供货物包装质量必须符合国家相关标准，货物的包装均应有良好的防湿、防锈、防潮、防雨、防腐的措施，货物要求有包装材料保护运至现场。凡由于包装不良造成的损失和由此产生的费用均由</w:t>
            </w:r>
            <w:r>
              <w:rPr>
                <w:rFonts w:hint="eastAsia" w:ascii="宋体" w:hAnsi="宋体" w:cs="Arial"/>
                <w:bCs/>
              </w:rPr>
              <w:t>成交供应商</w:t>
            </w:r>
            <w:r>
              <w:rPr>
                <w:rFonts w:hint="eastAsia" w:ascii="宋体" w:hAnsi="宋体"/>
                <w:bCs/>
              </w:rPr>
              <w:t>承担。</w:t>
            </w:r>
          </w:p>
          <w:p>
            <w:pPr>
              <w:numPr>
                <w:ilvl w:val="0"/>
                <w:numId w:val="9"/>
              </w:numPr>
              <w:tabs>
                <w:tab w:val="left" w:pos="0"/>
              </w:tabs>
              <w:snapToGrid w:val="0"/>
              <w:spacing w:line="360" w:lineRule="auto"/>
              <w:rPr>
                <w:rFonts w:ascii="宋体" w:hAnsi="宋体"/>
                <w:bCs/>
              </w:rPr>
            </w:pPr>
            <w:r>
              <w:rPr>
                <w:rFonts w:hint="eastAsia" w:ascii="宋体" w:hAnsi="宋体" w:cs="Arial"/>
                <w:bCs/>
              </w:rPr>
              <w:t>成交供应商</w:t>
            </w:r>
            <w:r>
              <w:rPr>
                <w:rFonts w:hint="eastAsia" w:ascii="宋体" w:hAnsi="宋体"/>
                <w:bCs/>
              </w:rPr>
              <w:t>负责根据用户指定的安装地点,将货物材料送到现场过程中的全部运输，包括装卸车、货物现场的搬运，由此产生的费用均由</w:t>
            </w:r>
            <w:r>
              <w:rPr>
                <w:rFonts w:hint="eastAsia" w:ascii="宋体" w:hAnsi="宋体" w:cs="Arial"/>
                <w:bCs/>
              </w:rPr>
              <w:t>成交供应商</w:t>
            </w:r>
            <w:r>
              <w:rPr>
                <w:rFonts w:hint="eastAsia" w:ascii="宋体" w:hAnsi="宋体"/>
                <w:bCs/>
              </w:rPr>
              <w:t>承担。</w:t>
            </w:r>
          </w:p>
          <w:p>
            <w:pPr>
              <w:numPr>
                <w:ilvl w:val="0"/>
                <w:numId w:val="9"/>
              </w:numPr>
              <w:tabs>
                <w:tab w:val="left" w:pos="0"/>
              </w:tabs>
              <w:snapToGrid w:val="0"/>
              <w:spacing w:line="360" w:lineRule="auto"/>
              <w:rPr>
                <w:rFonts w:ascii="宋体" w:hAnsi="宋体"/>
                <w:bCs/>
              </w:rPr>
            </w:pPr>
            <w:r>
              <w:rPr>
                <w:rFonts w:hint="eastAsia" w:ascii="宋体" w:hAnsi="宋体"/>
                <w:bCs/>
              </w:rPr>
              <w:t>如货物运输过程中因事故造成货物短缺、损坏，成交供应商应及时安排换货，以保证合同货物及时交付，换货的相关费用由成交供应商承担。</w:t>
            </w:r>
          </w:p>
          <w:p>
            <w:pPr>
              <w:numPr>
                <w:ilvl w:val="0"/>
                <w:numId w:val="9"/>
              </w:numPr>
              <w:tabs>
                <w:tab w:val="left" w:pos="0"/>
              </w:tabs>
              <w:snapToGrid w:val="0"/>
              <w:spacing w:line="360" w:lineRule="auto"/>
            </w:pPr>
            <w:r>
              <w:rPr>
                <w:rFonts w:hint="eastAsia" w:ascii="宋体" w:hAnsi="宋体"/>
                <w:bCs/>
              </w:rPr>
              <w:t>货物的质量保险由成交供应商负责，成交供应商负责其派出的现场服务人员人身意外保险。</w:t>
            </w:r>
          </w:p>
          <w:p>
            <w:pPr>
              <w:numPr>
                <w:ilvl w:val="0"/>
                <w:numId w:val="9"/>
              </w:numPr>
              <w:tabs>
                <w:tab w:val="left" w:pos="0"/>
              </w:tabs>
              <w:snapToGrid w:val="0"/>
              <w:spacing w:line="360" w:lineRule="auto"/>
              <w:rPr>
                <w:rFonts w:hint="eastAsia" w:ascii="仿宋" w:hAnsi="仿宋" w:eastAsia="仿宋" w:cs="仿宋"/>
                <w:b w:val="0"/>
                <w:bCs w:val="0"/>
                <w:color w:val="auto"/>
                <w:sz w:val="24"/>
                <w:szCs w:val="24"/>
                <w:highlight w:val="none"/>
                <w:lang w:eastAsia="zh-CN"/>
              </w:rPr>
            </w:pPr>
            <w:r>
              <w:rPr>
                <w:rFonts w:hint="eastAsia" w:ascii="宋体" w:hAnsi="宋体"/>
                <w:bCs/>
              </w:rPr>
              <w:t>成交供应商工作人员必须遵守采购人有关规章制度和管理规定，如有违反或损害采购人利益的，采购人有拒绝违规工作人员在项目现场工作的权利。</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5</w:t>
            </w:r>
          </w:p>
        </w:tc>
        <w:tc>
          <w:tcPr>
            <w:tcW w:w="1116" w:type="dxa"/>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宋体" w:hAnsi="宋体" w:eastAsia="宋体"/>
                <w:b/>
                <w:bCs/>
                <w:sz w:val="21"/>
                <w:szCs w:val="21"/>
              </w:rPr>
              <w:t>交货及验收</w:t>
            </w:r>
          </w:p>
        </w:tc>
        <w:tc>
          <w:tcPr>
            <w:tcW w:w="4638" w:type="dxa"/>
            <w:shd w:val="clear" w:color="000000" w:fill="FFFFFF"/>
            <w:noWrap/>
            <w:vAlign w:val="center"/>
          </w:tcPr>
          <w:p>
            <w:pPr>
              <w:numPr>
                <w:ilvl w:val="0"/>
                <w:numId w:val="10"/>
              </w:numPr>
              <w:tabs>
                <w:tab w:val="left" w:pos="0"/>
              </w:tabs>
              <w:snapToGrid w:val="0"/>
              <w:spacing w:line="360" w:lineRule="auto"/>
              <w:rPr>
                <w:rFonts w:hint="eastAsia" w:ascii="宋体" w:hAnsi="宋体"/>
                <w:bCs/>
              </w:rPr>
            </w:pPr>
            <w:r>
              <w:rPr>
                <w:rFonts w:hint="eastAsia" w:ascii="宋体" w:hAnsi="宋体"/>
                <w:bCs/>
              </w:rPr>
              <w:t>交货地点：中山市小榄人民医院</w:t>
            </w:r>
          </w:p>
          <w:p>
            <w:pPr>
              <w:numPr>
                <w:ilvl w:val="0"/>
                <w:numId w:val="10"/>
              </w:numPr>
              <w:tabs>
                <w:tab w:val="left" w:pos="0"/>
              </w:tabs>
              <w:snapToGrid w:val="0"/>
              <w:spacing w:line="360" w:lineRule="auto"/>
              <w:rPr>
                <w:rFonts w:ascii="宋体" w:hAnsi="宋体"/>
                <w:bCs/>
              </w:rPr>
            </w:pPr>
            <w:r>
              <w:rPr>
                <w:rFonts w:hint="eastAsia" w:ascii="宋体" w:hAnsi="宋体"/>
                <w:bCs/>
              </w:rPr>
              <w:t>交货时间：合同签订后，在接到采购人通知之日起20个工作日完成设备的交付和验收。</w:t>
            </w:r>
          </w:p>
          <w:p>
            <w:pPr>
              <w:numPr>
                <w:ilvl w:val="0"/>
                <w:numId w:val="10"/>
              </w:numPr>
              <w:tabs>
                <w:tab w:val="left" w:pos="0"/>
              </w:tabs>
              <w:snapToGrid w:val="0"/>
              <w:spacing w:line="360" w:lineRule="auto"/>
              <w:rPr>
                <w:rFonts w:ascii="宋体" w:hAnsi="宋体"/>
                <w:bCs/>
              </w:rPr>
            </w:pPr>
            <w:r>
              <w:rPr>
                <w:rFonts w:hint="eastAsia" w:ascii="宋体" w:hAnsi="宋体"/>
                <w:bCs/>
              </w:rPr>
              <w:t>成交供应商将货物送货至采购人指定地点后，由采购人按照采购合同、相关招投标文件要求进行核对，根据国家相关法律法规，对货物的规格参数和质量标准进行检查验收。</w:t>
            </w:r>
          </w:p>
          <w:p>
            <w:pPr>
              <w:numPr>
                <w:ilvl w:val="0"/>
                <w:numId w:val="10"/>
              </w:numPr>
              <w:tabs>
                <w:tab w:val="left" w:pos="0"/>
              </w:tabs>
              <w:snapToGrid w:val="0"/>
              <w:spacing w:line="360" w:lineRule="auto"/>
              <w:rPr>
                <w:rFonts w:ascii="宋体" w:hAnsi="宋体"/>
                <w:bCs/>
              </w:rPr>
            </w:pPr>
            <w:r>
              <w:rPr>
                <w:rFonts w:hint="eastAsia" w:ascii="宋体" w:hAnsi="宋体"/>
                <w:bCs/>
              </w:rPr>
              <w:t>货物在验收过程中发现所交付的货物有短缺、次品、损坏或其他不符合招标文件、合同规定之情形者，采购人有权拒付该批物品的费用。</w:t>
            </w:r>
          </w:p>
          <w:p>
            <w:pPr>
              <w:numPr>
                <w:ilvl w:val="0"/>
                <w:numId w:val="10"/>
              </w:numPr>
              <w:tabs>
                <w:tab w:val="left" w:pos="0"/>
              </w:tabs>
              <w:snapToGrid w:val="0"/>
              <w:spacing w:line="360" w:lineRule="auto"/>
              <w:rPr>
                <w:rFonts w:ascii="宋体" w:hAnsi="宋体"/>
                <w:bCs/>
              </w:rPr>
            </w:pPr>
            <w:r>
              <w:rPr>
                <w:rFonts w:hint="eastAsia" w:ascii="宋体" w:hAnsi="宋体"/>
                <w:bCs/>
              </w:rPr>
              <w:t>若成交供应商提供的产品发生知识产权纠纷的，由成交供应商执行处置与原知识产权所有者协商解决，采购人不承担与之相关的任何经济和法律责任。</w:t>
            </w:r>
          </w:p>
          <w:p>
            <w:pPr>
              <w:numPr>
                <w:ilvl w:val="0"/>
                <w:numId w:val="10"/>
              </w:numPr>
              <w:tabs>
                <w:tab w:val="left" w:pos="0"/>
              </w:tabs>
              <w:snapToGrid w:val="0"/>
              <w:spacing w:line="360" w:lineRule="auto"/>
            </w:pPr>
            <w:r>
              <w:rPr>
                <w:rFonts w:hint="eastAsia" w:ascii="宋体" w:hAnsi="宋体"/>
                <w:bCs/>
              </w:rPr>
              <w:t>所有货物在使用过程中发现以次充好或使用假冒伪劣产品的，成交供应商应无条件更换货物。</w:t>
            </w:r>
          </w:p>
          <w:p>
            <w:pPr>
              <w:numPr>
                <w:ilvl w:val="0"/>
                <w:numId w:val="10"/>
              </w:numPr>
              <w:tabs>
                <w:tab w:val="left" w:pos="0"/>
              </w:tabs>
              <w:snapToGrid w:val="0"/>
              <w:spacing w:line="360" w:lineRule="auto"/>
              <w:rPr>
                <w:rFonts w:hint="eastAsia" w:ascii="仿宋" w:hAnsi="仿宋" w:eastAsia="仿宋" w:cs="仿宋"/>
                <w:bCs/>
                <w:color w:val="auto"/>
                <w:sz w:val="24"/>
                <w:szCs w:val="24"/>
                <w:highlight w:val="none"/>
              </w:rPr>
            </w:pPr>
            <w:r>
              <w:rPr>
                <w:rFonts w:hint="eastAsia" w:ascii="宋体" w:hAnsi="宋体"/>
                <w:bCs/>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6</w:t>
            </w:r>
          </w:p>
        </w:tc>
        <w:tc>
          <w:tcPr>
            <w:tcW w:w="1116" w:type="dxa"/>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宋体" w:hAnsi="宋体" w:eastAsia="宋体"/>
                <w:b/>
                <w:bCs/>
                <w:sz w:val="21"/>
                <w:szCs w:val="21"/>
              </w:rPr>
              <w:t>质保期及售后服务要求</w:t>
            </w:r>
          </w:p>
        </w:tc>
        <w:tc>
          <w:tcPr>
            <w:tcW w:w="4638" w:type="dxa"/>
            <w:shd w:val="clear" w:color="000000" w:fill="FFFFFF"/>
            <w:noWrap/>
            <w:vAlign w:val="center"/>
          </w:tcPr>
          <w:p>
            <w:pPr>
              <w:numPr>
                <w:ilvl w:val="0"/>
                <w:numId w:val="11"/>
              </w:numPr>
              <w:tabs>
                <w:tab w:val="left" w:pos="0"/>
              </w:tabs>
              <w:snapToGrid w:val="0"/>
              <w:spacing w:line="360" w:lineRule="auto"/>
              <w:rPr>
                <w:rFonts w:hint="eastAsia" w:ascii="宋体" w:hAnsi="宋体"/>
                <w:bCs/>
              </w:rPr>
            </w:pPr>
            <w:r>
              <w:rPr>
                <w:rFonts w:hint="eastAsia" w:ascii="宋体" w:hAnsi="宋体"/>
                <w:bCs/>
              </w:rPr>
              <w:t>在供货期内, 成交供应商在接到用户的需求通知, 响应时间为半小时，到达现场时间为2小时。</w:t>
            </w:r>
          </w:p>
          <w:p>
            <w:pPr>
              <w:numPr>
                <w:ilvl w:val="0"/>
                <w:numId w:val="11"/>
              </w:numPr>
              <w:tabs>
                <w:tab w:val="left" w:pos="0"/>
              </w:tabs>
              <w:snapToGrid w:val="0"/>
              <w:spacing w:line="360" w:lineRule="auto"/>
              <w:rPr>
                <w:rFonts w:hint="eastAsia" w:ascii="仿宋" w:hAnsi="仿宋" w:eastAsia="仿宋" w:cs="仿宋"/>
                <w:b w:val="0"/>
                <w:bCs w:val="0"/>
                <w:color w:val="auto"/>
                <w:sz w:val="24"/>
                <w:szCs w:val="24"/>
                <w:highlight w:val="none"/>
              </w:rPr>
            </w:pPr>
            <w:r>
              <w:rPr>
                <w:rFonts w:hint="eastAsia" w:ascii="宋体" w:hAnsi="宋体"/>
                <w:bCs/>
              </w:rPr>
              <w:t>要求质保期1年，质保期从验收合格签字之日算。如质保期内出现任何问题（不可抗力因素除外），成交供应商必须无条件接受。</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7</w:t>
            </w:r>
          </w:p>
        </w:tc>
        <w:tc>
          <w:tcPr>
            <w:tcW w:w="1116" w:type="dxa"/>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宋体" w:hAnsi="宋体" w:eastAsia="宋体"/>
                <w:b/>
                <w:bCs/>
                <w:sz w:val="21"/>
                <w:szCs w:val="21"/>
              </w:rPr>
              <w:t>付款方式</w:t>
            </w:r>
          </w:p>
        </w:tc>
        <w:tc>
          <w:tcPr>
            <w:tcW w:w="4638" w:type="dxa"/>
            <w:shd w:val="clear" w:color="000000" w:fill="FFFFFF"/>
            <w:noWrap/>
            <w:vAlign w:val="center"/>
          </w:tcPr>
          <w:p>
            <w:pPr>
              <w:spacing w:line="440" w:lineRule="exact"/>
              <w:rPr>
                <w:rFonts w:ascii="宋体" w:hAnsi="宋体"/>
              </w:rPr>
            </w:pPr>
            <w:r>
              <w:rPr>
                <w:rFonts w:hint="eastAsia" w:ascii="宋体" w:hAnsi="宋体"/>
              </w:rPr>
              <w:t>1、本合同的每笔款项以人民币转账方式支付，合同设备到采购人指定地点交付并完成安装，验收合格后，中标单位凭：</w:t>
            </w:r>
          </w:p>
          <w:p>
            <w:pPr>
              <w:spacing w:line="440" w:lineRule="exact"/>
              <w:ind w:firstLine="420" w:firstLineChars="200"/>
              <w:rPr>
                <w:rFonts w:ascii="宋体" w:hAnsi="宋体"/>
              </w:rPr>
            </w:pPr>
            <w:r>
              <w:rPr>
                <w:rFonts w:hint="eastAsia" w:ascii="宋体" w:hAnsi="宋体"/>
              </w:rPr>
              <w:t>（1）合同；</w:t>
            </w:r>
          </w:p>
          <w:p>
            <w:pPr>
              <w:spacing w:line="440" w:lineRule="exact"/>
              <w:ind w:firstLine="420" w:firstLineChars="200"/>
              <w:rPr>
                <w:rFonts w:ascii="宋体" w:hAnsi="宋体"/>
              </w:rPr>
            </w:pPr>
            <w:r>
              <w:rPr>
                <w:rFonts w:hint="eastAsia" w:ascii="宋体" w:hAnsi="宋体"/>
              </w:rPr>
              <w:t>（2）验收调试合格报告（加盖采购人公章）；</w:t>
            </w:r>
          </w:p>
          <w:p>
            <w:pPr>
              <w:spacing w:line="440" w:lineRule="exact"/>
              <w:ind w:firstLine="420" w:firstLineChars="200"/>
              <w:rPr>
                <w:rFonts w:ascii="宋体" w:hAnsi="宋体"/>
              </w:rPr>
            </w:pPr>
            <w:r>
              <w:rPr>
                <w:rFonts w:hint="eastAsia" w:ascii="宋体" w:hAnsi="宋体"/>
              </w:rPr>
              <w:t>（3）中标单位开具的正式发票，加盖发票专用章。</w:t>
            </w:r>
          </w:p>
          <w:p>
            <w:pPr>
              <w:tabs>
                <w:tab w:val="left" w:pos="420"/>
              </w:tabs>
              <w:spacing w:line="460" w:lineRule="exact"/>
              <w:ind w:firstLine="420" w:firstLineChars="200"/>
              <w:rPr>
                <w:rFonts w:hint="default" w:ascii="仿宋" w:hAnsi="仿宋" w:eastAsia="仿宋" w:cs="仿宋"/>
                <w:b w:val="0"/>
                <w:bCs w:val="0"/>
                <w:color w:val="auto"/>
                <w:sz w:val="24"/>
                <w:szCs w:val="24"/>
                <w:highlight w:val="none"/>
                <w:lang w:val="en-US" w:eastAsia="zh-CN"/>
              </w:rPr>
            </w:pPr>
            <w:r>
              <w:rPr>
                <w:rFonts w:hint="eastAsia" w:ascii="宋体" w:hAnsi="宋体"/>
              </w:rPr>
              <w:t>2、具体付款方式：</w:t>
            </w:r>
            <w:r>
              <w:rPr>
                <w:rFonts w:hint="eastAsia" w:ascii="宋体" w:hAnsi="宋体" w:cs="宋体"/>
              </w:rPr>
              <w:t>成交供应商与采购人签订合同后，5个工作日内需向采购人交合同总金额的5%作为履约保证金，成交供应商完成交货，经中山市小榄人民医院信息科书面确认验收合格后，由成交供应商开具全额普通增值税发票，采购人确认发票无误后一个月内支付合同总金额的100%；5%履约保证金的退还为货物验收合格起计一年后，一次性无息退还。</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shd w:val="clear" w:color="000000" w:fill="FFFFFF"/>
            <w:noWrap/>
            <w:vAlign w:val="center"/>
          </w:tcPr>
          <w:p>
            <w:pPr>
              <w:autoSpaceDE w:val="0"/>
              <w:autoSpaceDN w:val="0"/>
              <w:adjustRightInd w:val="0"/>
              <w:spacing w:line="440" w:lineRule="exact"/>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8</w:t>
            </w:r>
          </w:p>
        </w:tc>
        <w:tc>
          <w:tcPr>
            <w:tcW w:w="1116" w:type="dxa"/>
            <w:shd w:val="clear" w:color="000000" w:fill="FFFFFF"/>
            <w:noWrap/>
            <w:vAlign w:val="center"/>
          </w:tcPr>
          <w:p>
            <w:pPr>
              <w:snapToGrid w:val="0"/>
              <w:spacing w:line="440" w:lineRule="exact"/>
              <w:jc w:val="center"/>
              <w:rPr>
                <w:rFonts w:hint="eastAsia" w:ascii="仿宋" w:hAnsi="仿宋" w:eastAsia="仿宋" w:cs="仿宋"/>
                <w:bCs/>
                <w:color w:val="auto"/>
                <w:sz w:val="24"/>
                <w:szCs w:val="24"/>
                <w:highlight w:val="none"/>
              </w:rPr>
            </w:pPr>
            <w:r>
              <w:rPr>
                <w:rFonts w:hint="eastAsia" w:ascii="宋体" w:hAnsi="宋体"/>
                <w:b/>
                <w:bCs/>
                <w:sz w:val="21"/>
                <w:szCs w:val="21"/>
              </w:rPr>
              <w:t>违约责任</w:t>
            </w:r>
          </w:p>
        </w:tc>
        <w:tc>
          <w:tcPr>
            <w:tcW w:w="4638" w:type="dxa"/>
            <w:shd w:val="clear" w:color="000000" w:fill="FFFFFF"/>
            <w:noWrap/>
            <w:vAlign w:val="center"/>
          </w:tcPr>
          <w:p>
            <w:pPr>
              <w:numPr>
                <w:ilvl w:val="0"/>
                <w:numId w:val="12"/>
              </w:numPr>
              <w:tabs>
                <w:tab w:val="left" w:pos="420"/>
              </w:tabs>
              <w:spacing w:line="460" w:lineRule="exact"/>
              <w:rPr>
                <w:rFonts w:hint="eastAsia" w:ascii="宋体" w:hAnsi="宋体" w:cs="宋体"/>
              </w:rPr>
            </w:pPr>
            <w:r>
              <w:rPr>
                <w:rFonts w:hint="eastAsia" w:ascii="宋体" w:hAnsi="宋体" w:cs="宋体"/>
              </w:rPr>
              <w:t>采购人应在合同规定时间内，按合同执行进度向成交供应商支付货款，每拖延一天成交供应商可向采购人加收合同总金额的5‰的违约金。</w:t>
            </w:r>
          </w:p>
          <w:p>
            <w:pPr>
              <w:numPr>
                <w:ilvl w:val="0"/>
                <w:numId w:val="12"/>
              </w:numPr>
              <w:tabs>
                <w:tab w:val="left" w:pos="420"/>
              </w:tabs>
              <w:spacing w:line="460" w:lineRule="exact"/>
              <w:rPr>
                <w:rFonts w:ascii="宋体" w:hAnsi="宋体" w:cs="宋体"/>
              </w:rPr>
            </w:pPr>
            <w:r>
              <w:rPr>
                <w:rFonts w:hint="eastAsia" w:ascii="宋体" w:hAnsi="宋体" w:cs="宋体"/>
              </w:rPr>
              <w:t>成交供应商未能按时交货和提供相关服务或未能在交货和提供相关服务之日起30天内提供该项目验收相关所必须的合法有效的文件，每拖延一天，须向采购人支付合同总金额的5‰的违约金。此种情况超过3次的，采购人有权单方解除合同。</w:t>
            </w:r>
          </w:p>
          <w:p>
            <w:pPr>
              <w:numPr>
                <w:ilvl w:val="0"/>
                <w:numId w:val="12"/>
              </w:numPr>
              <w:tabs>
                <w:tab w:val="left" w:pos="420"/>
              </w:tabs>
              <w:spacing w:line="460" w:lineRule="exact"/>
              <w:rPr>
                <w:rFonts w:ascii="宋体" w:hAnsi="宋体" w:cs="宋体"/>
              </w:rPr>
            </w:pPr>
            <w:r>
              <w:rPr>
                <w:rFonts w:hint="eastAsia" w:ascii="宋体" w:hAnsi="宋体" w:cs="宋体"/>
              </w:rPr>
              <w:t>成交供应商交付的货物或提供的服务不符合合同规定的，采购人有权拒收，成交供应商向采购人支付合同总金额的5％的违约金。此种情况超过3次的，采购人有权单方解除合同。</w:t>
            </w:r>
          </w:p>
          <w:p>
            <w:pPr>
              <w:numPr>
                <w:ilvl w:val="0"/>
                <w:numId w:val="12"/>
              </w:numPr>
              <w:tabs>
                <w:tab w:val="left" w:pos="420"/>
              </w:tabs>
              <w:spacing w:line="460" w:lineRule="exact"/>
              <w:rPr>
                <w:rFonts w:hint="eastAsia" w:ascii="仿宋" w:hAnsi="仿宋" w:eastAsia="仿宋" w:cs="仿宋"/>
                <w:bCs/>
                <w:color w:val="auto"/>
                <w:sz w:val="24"/>
                <w:szCs w:val="24"/>
                <w:highlight w:val="none"/>
              </w:rPr>
            </w:pPr>
            <w:r>
              <w:rPr>
                <w:rFonts w:hint="eastAsia" w:ascii="宋体" w:hAnsi="宋体" w:cs="宋体"/>
              </w:rPr>
              <w:t>采购人无正当理由拒收货物或拒绝服务的，采购人向成交供应商支付合同总金额的5％的违约金。</w:t>
            </w:r>
          </w:p>
        </w:tc>
        <w:tc>
          <w:tcPr>
            <w:tcW w:w="1431" w:type="dxa"/>
            <w:shd w:val="clear" w:color="000000" w:fill="FFFFFF"/>
            <w:noWrap/>
            <w:vAlign w:val="center"/>
          </w:tcPr>
          <w:p>
            <w:pPr>
              <w:spacing w:line="440" w:lineRule="exact"/>
              <w:jc w:val="center"/>
              <w:rPr>
                <w:rFonts w:hint="eastAsia" w:ascii="仿宋" w:hAnsi="仿宋" w:eastAsia="仿宋" w:cs="仿宋"/>
                <w:bCs/>
                <w:color w:val="auto"/>
                <w:sz w:val="24"/>
                <w:szCs w:val="24"/>
                <w:highlight w:val="none"/>
              </w:rPr>
            </w:pPr>
          </w:p>
        </w:tc>
        <w:tc>
          <w:tcPr>
            <w:tcW w:w="1310" w:type="dxa"/>
            <w:shd w:val="clear" w:color="000000" w:fill="FFFFFF"/>
            <w:noWrap/>
            <w:vAlign w:val="center"/>
          </w:tcPr>
          <w:p>
            <w:pPr>
              <w:widowControl/>
              <w:spacing w:line="440" w:lineRule="exact"/>
              <w:rPr>
                <w:rFonts w:hint="eastAsia" w:ascii="仿宋" w:hAnsi="仿宋" w:eastAsia="仿宋" w:cs="仿宋"/>
                <w:bCs/>
                <w:color w:val="auto"/>
                <w:sz w:val="24"/>
                <w:szCs w:val="24"/>
                <w:highlight w:val="none"/>
              </w:rPr>
            </w:pPr>
          </w:p>
        </w:tc>
      </w:tr>
    </w:tbl>
    <w:p>
      <w:pPr>
        <w:rPr>
          <w:rFonts w:hint="eastAsia"/>
          <w:highlight w:val="none"/>
        </w:rPr>
      </w:pPr>
    </w:p>
    <w:p>
      <w:pPr>
        <w:spacing w:line="480" w:lineRule="exact"/>
        <w:jc w:val="center"/>
        <w:rPr>
          <w:rFonts w:hint="eastAsia" w:ascii="宋体" w:hAnsi="宋体"/>
          <w:b/>
          <w:sz w:val="28"/>
          <w:szCs w:val="28"/>
          <w:highlight w:val="none"/>
        </w:rPr>
      </w:pPr>
    </w:p>
    <w:p>
      <w:pPr>
        <w:spacing w:line="480" w:lineRule="exact"/>
        <w:jc w:val="center"/>
        <w:rPr>
          <w:rFonts w:hint="eastAsia" w:ascii="宋体" w:hAnsi="宋体"/>
          <w:b/>
          <w:sz w:val="28"/>
          <w:szCs w:val="28"/>
          <w:highlight w:val="none"/>
        </w:rPr>
      </w:pPr>
    </w:p>
    <w:p>
      <w:pPr>
        <w:pStyle w:val="10"/>
        <w:ind w:left="0" w:leftChars="0" w:firstLine="0" w:firstLineChars="0"/>
        <w:rPr>
          <w:rFonts w:hint="eastAsia" w:ascii="宋体" w:hAnsi="宋体"/>
          <w:b/>
          <w:sz w:val="28"/>
          <w:szCs w:val="28"/>
          <w:highlight w:val="none"/>
        </w:rPr>
      </w:pPr>
      <w:bookmarkStart w:id="6" w:name="_GoBack"/>
      <w:bookmarkEnd w:id="6"/>
    </w:p>
    <w:p>
      <w:pPr>
        <w:rPr>
          <w:rFonts w:hint="eastAsia"/>
          <w:highlight w:val="none"/>
        </w:rPr>
      </w:pPr>
    </w:p>
    <w:p>
      <w:pPr>
        <w:spacing w:line="480" w:lineRule="exact"/>
        <w:jc w:val="center"/>
        <w:rPr>
          <w:rFonts w:ascii="宋体" w:hAnsi="宋体"/>
          <w:b/>
          <w:sz w:val="28"/>
          <w:szCs w:val="28"/>
          <w:highlight w:val="none"/>
        </w:rPr>
      </w:pPr>
      <w:r>
        <w:rPr>
          <w:rFonts w:hint="eastAsia" w:ascii="宋体" w:hAnsi="宋体"/>
          <w:b/>
          <w:sz w:val="28"/>
          <w:szCs w:val="28"/>
          <w:highlight w:val="none"/>
        </w:rPr>
        <w:t>法定代表人证明书</w:t>
      </w:r>
    </w:p>
    <w:p>
      <w:pPr>
        <w:spacing w:line="480" w:lineRule="exact"/>
        <w:rPr>
          <w:rFonts w:ascii="宋体" w:hAnsi="宋体"/>
          <w:sz w:val="24"/>
          <w:highlight w:val="none"/>
        </w:rPr>
      </w:pPr>
    </w:p>
    <w:p>
      <w:pPr>
        <w:spacing w:line="480" w:lineRule="exact"/>
        <w:ind w:firstLine="470" w:firstLineChars="196"/>
        <w:rPr>
          <w:rFonts w:ascii="宋体" w:hAnsi="宋体"/>
          <w:sz w:val="24"/>
          <w:highlight w:val="none"/>
        </w:rPr>
      </w:pPr>
    </w:p>
    <w:p>
      <w:pPr>
        <w:spacing w:line="480" w:lineRule="exact"/>
        <w:ind w:firstLine="468" w:firstLineChars="195"/>
        <w:rPr>
          <w:rFonts w:ascii="宋体" w:hAnsi="宋体"/>
          <w:sz w:val="24"/>
          <w:highlight w:val="none"/>
        </w:rPr>
      </w:pPr>
      <w:r>
        <w:rPr>
          <w:rFonts w:hint="eastAsia" w:ascii="宋体" w:hAnsi="宋体"/>
          <w:sz w:val="24"/>
          <w:highlight w:val="none"/>
        </w:rPr>
        <w:t xml:space="preserve">姓名：      </w:t>
      </w:r>
      <w:r>
        <w:rPr>
          <w:rFonts w:hint="eastAsia" w:ascii="宋体" w:hAnsi="宋体"/>
          <w:sz w:val="24"/>
          <w:highlight w:val="none"/>
          <w:lang w:val="en-US" w:eastAsia="zh-CN"/>
        </w:rPr>
        <w:t xml:space="preserve">        </w:t>
      </w:r>
      <w:r>
        <w:rPr>
          <w:rFonts w:hint="eastAsia" w:ascii="宋体" w:hAnsi="宋体"/>
          <w:sz w:val="24"/>
          <w:highlight w:val="none"/>
        </w:rPr>
        <w:t xml:space="preserve"> 性别：       </w:t>
      </w:r>
      <w:r>
        <w:rPr>
          <w:rFonts w:hint="eastAsia" w:ascii="宋体" w:hAnsi="宋体"/>
          <w:sz w:val="24"/>
          <w:highlight w:val="none"/>
          <w:lang w:val="en-US" w:eastAsia="zh-CN"/>
        </w:rPr>
        <w:t xml:space="preserve">      </w:t>
      </w:r>
      <w:r>
        <w:rPr>
          <w:rFonts w:hint="eastAsia" w:ascii="宋体" w:hAnsi="宋体"/>
          <w:sz w:val="24"/>
          <w:highlight w:val="none"/>
        </w:rPr>
        <w:t xml:space="preserve"> 年龄： </w:t>
      </w:r>
    </w:p>
    <w:p>
      <w:pPr>
        <w:spacing w:line="480" w:lineRule="exact"/>
        <w:ind w:firstLine="468" w:firstLineChars="195"/>
        <w:rPr>
          <w:rFonts w:ascii="宋体" w:hAnsi="宋体"/>
          <w:sz w:val="24"/>
          <w:highlight w:val="none"/>
          <w:u w:val="single"/>
        </w:rPr>
      </w:pPr>
      <w:r>
        <w:rPr>
          <w:rFonts w:hint="eastAsia" w:ascii="宋体" w:hAnsi="宋体"/>
          <w:sz w:val="24"/>
          <w:highlight w:val="none"/>
        </w:rPr>
        <w:t>身份证号码：</w:t>
      </w:r>
      <w:r>
        <w:rPr>
          <w:rFonts w:hint="eastAsia" w:ascii="宋体" w:hAnsi="宋体"/>
          <w:sz w:val="24"/>
          <w:highlight w:val="none"/>
          <w:lang w:val="en-US" w:eastAsia="zh-CN"/>
        </w:rPr>
        <w:t xml:space="preserve">                           </w:t>
      </w:r>
      <w:r>
        <w:rPr>
          <w:rFonts w:hint="eastAsia" w:ascii="宋体" w:hAnsi="宋体"/>
          <w:sz w:val="24"/>
          <w:highlight w:val="none"/>
        </w:rPr>
        <w:t xml:space="preserve">  职务：</w:t>
      </w:r>
    </w:p>
    <w:p>
      <w:pPr>
        <w:spacing w:line="480" w:lineRule="exact"/>
        <w:rPr>
          <w:rFonts w:ascii="宋体" w:hAnsi="宋体"/>
          <w:sz w:val="24"/>
          <w:highlight w:val="none"/>
        </w:rPr>
      </w:pPr>
    </w:p>
    <w:p>
      <w:pPr>
        <w:spacing w:line="480" w:lineRule="exact"/>
        <w:ind w:firstLine="470" w:firstLineChars="196"/>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的法定代表人。</w:t>
      </w:r>
    </w:p>
    <w:p>
      <w:pPr>
        <w:spacing w:line="480" w:lineRule="exact"/>
        <w:rPr>
          <w:rFonts w:ascii="宋体" w:hAnsi="宋体"/>
          <w:sz w:val="24"/>
          <w:highlight w:val="none"/>
        </w:rPr>
      </w:pPr>
    </w:p>
    <w:p>
      <w:pPr>
        <w:spacing w:line="480" w:lineRule="exact"/>
        <w:ind w:firstLine="955" w:firstLineChars="398"/>
        <w:rPr>
          <w:rFonts w:ascii="宋体" w:hAnsi="宋体"/>
          <w:sz w:val="24"/>
          <w:highlight w:val="none"/>
        </w:rPr>
      </w:pPr>
      <w:r>
        <w:rPr>
          <w:rFonts w:hint="eastAsia" w:ascii="宋体" w:hAnsi="宋体"/>
          <w:sz w:val="24"/>
          <w:highlight w:val="none"/>
        </w:rPr>
        <w:t xml:space="preserve"> 特此证明！</w:t>
      </w:r>
    </w:p>
    <w:p>
      <w:pPr>
        <w:spacing w:line="480" w:lineRule="exact"/>
        <w:rPr>
          <w:rFonts w:ascii="宋体" w:hAnsi="宋体"/>
          <w:sz w:val="24"/>
          <w:highlight w:val="none"/>
        </w:rPr>
      </w:pPr>
    </w:p>
    <w:p>
      <w:pPr>
        <w:spacing w:line="480" w:lineRule="exact"/>
        <w:rPr>
          <w:rFonts w:ascii="宋体" w:hAnsi="宋体"/>
          <w:sz w:val="24"/>
          <w:highlight w:val="none"/>
        </w:rPr>
      </w:pPr>
    </w:p>
    <w:p>
      <w:pPr>
        <w:spacing w:line="480" w:lineRule="exact"/>
        <w:jc w:val="center"/>
        <w:rPr>
          <w:rFonts w:ascii="宋体" w:hAnsi="宋体"/>
          <w:sz w:val="24"/>
          <w:highlight w:val="none"/>
        </w:rPr>
      </w:pPr>
      <w:r>
        <w:rPr>
          <w:rFonts w:hint="eastAsia" w:ascii="宋体" w:hAnsi="宋体"/>
          <w:sz w:val="24"/>
          <w:highlight w:val="none"/>
        </w:rPr>
        <w:t>单位（盖章）：</w:t>
      </w:r>
    </w:p>
    <w:p>
      <w:pPr>
        <w:spacing w:line="480" w:lineRule="exact"/>
        <w:rPr>
          <w:rFonts w:ascii="宋体" w:hAnsi="宋体"/>
          <w:sz w:val="24"/>
          <w:highlight w:val="none"/>
        </w:rPr>
      </w:pPr>
      <w:r>
        <w:rPr>
          <w:rFonts w:hint="eastAsia" w:ascii="宋体" w:hAnsi="宋体"/>
          <w:sz w:val="24"/>
          <w:highlight w:val="none"/>
        </w:rPr>
        <w:t xml:space="preserve">                          日期：</w:t>
      </w: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pPr>
        <w:spacing w:line="480" w:lineRule="exact"/>
        <w:rPr>
          <w:rFonts w:hint="eastAsia" w:ascii="宋体" w:hAnsi="宋体" w:eastAsia="宋体" w:cs="宋体"/>
          <w:b w:val="0"/>
          <w:bCs w:val="0"/>
          <w:i w:val="0"/>
          <w:iCs w:val="0"/>
          <w:color w:val="auto"/>
          <w:sz w:val="21"/>
          <w:szCs w:val="21"/>
          <w:highlight w:val="none"/>
          <w:u w:val="none"/>
          <w:lang w:eastAsia="zh-CN"/>
        </w:rPr>
      </w:pPr>
      <w:r>
        <w:rPr>
          <w:rFonts w:ascii="宋体" w:hAnsi="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4"/>
        <w:rPr>
          <w:rFonts w:hint="eastAsia"/>
          <w:highlight w:val="none"/>
          <w:lang w:eastAsia="zh-CN"/>
        </w:rPr>
      </w:pPr>
    </w:p>
    <w:p>
      <w:pPr>
        <w:pStyle w:val="24"/>
        <w:rPr>
          <w:rFonts w:ascii="宋体" w:hAnsi="宋体"/>
          <w:sz w:val="24"/>
          <w:highlight w:val="none"/>
        </w:rPr>
      </w:pPr>
    </w:p>
    <w:p>
      <w:pPr>
        <w:pStyle w:val="24"/>
        <w:rPr>
          <w:rFonts w:ascii="宋体" w:hAnsi="宋体"/>
          <w:sz w:val="24"/>
          <w:highlight w:val="none"/>
        </w:rPr>
      </w:pPr>
    </w:p>
    <w:p>
      <w:pPr>
        <w:pStyle w:val="24"/>
        <w:rPr>
          <w:rFonts w:ascii="宋体" w:hAnsi="宋体"/>
          <w:sz w:val="24"/>
          <w:highlight w:val="none"/>
        </w:rPr>
      </w:pPr>
    </w:p>
    <w:p>
      <w:pPr>
        <w:pStyle w:val="24"/>
        <w:rPr>
          <w:rFonts w:ascii="宋体" w:hAnsi="宋体"/>
          <w:sz w:val="24"/>
          <w:highlight w:val="none"/>
        </w:rPr>
      </w:pPr>
    </w:p>
    <w:p>
      <w:pPr>
        <w:pStyle w:val="24"/>
        <w:rPr>
          <w:rFonts w:ascii="宋体" w:hAnsi="宋体"/>
          <w:sz w:val="24"/>
          <w:highlight w:val="none"/>
        </w:rPr>
      </w:pPr>
    </w:p>
    <w:p>
      <w:pPr>
        <w:pStyle w:val="24"/>
        <w:rPr>
          <w:rFonts w:ascii="宋体" w:hAnsi="宋体"/>
          <w:sz w:val="24"/>
          <w:highlight w:val="none"/>
        </w:rPr>
      </w:pPr>
    </w:p>
    <w:p>
      <w:pPr>
        <w:pStyle w:val="24"/>
        <w:rPr>
          <w:rFonts w:ascii="宋体" w:hAnsi="宋体"/>
          <w:sz w:val="24"/>
          <w:highlight w:val="none"/>
        </w:rPr>
      </w:pPr>
    </w:p>
    <w:p>
      <w:pPr>
        <w:pStyle w:val="10"/>
        <w:ind w:left="0" w:leftChars="0" w:firstLine="0" w:firstLineChars="0"/>
        <w:rPr>
          <w:rFonts w:hint="eastAsia"/>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9"/>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highlight w:val="none"/>
          <w:lang w:eastAsia="zh-CN"/>
        </w:rPr>
      </w:pPr>
      <w:r>
        <w:rPr>
          <w:rFonts w:hint="eastAsia" w:ascii="宋体" w:hAnsi="宋体" w:eastAsia="宋体" w:cs="宋体"/>
          <w:highlight w:val="none"/>
        </w:rPr>
        <w:t>无围标、串标行为</w:t>
      </w:r>
      <w:r>
        <w:rPr>
          <w:rFonts w:hint="eastAsia" w:ascii="宋体" w:hAnsi="宋体" w:eastAsia="宋体" w:cs="宋体"/>
          <w:highlight w:val="none"/>
          <w:lang w:eastAsia="zh-CN"/>
        </w:rPr>
        <w:t>声明函</w:t>
      </w:r>
    </w:p>
    <w:p>
      <w:pPr>
        <w:rPr>
          <w:rFonts w:hint="eastAsia" w:ascii="宋体" w:hAnsi="宋体" w:eastAsia="宋体" w:cs="宋体"/>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本公司郑重</w:t>
      </w:r>
      <w:r>
        <w:rPr>
          <w:rFonts w:hint="eastAsia" w:ascii="宋体" w:hAnsi="宋体" w:eastAsia="宋体" w:cs="宋体"/>
          <w:sz w:val="24"/>
          <w:highlight w:val="none"/>
          <w:lang w:eastAsia="zh-CN"/>
        </w:rPr>
        <w:t>声明</w:t>
      </w:r>
      <w:r>
        <w:rPr>
          <w:rFonts w:hint="eastAsia" w:ascii="宋体" w:hAnsi="宋体" w:eastAsia="宋体" w:cs="宋体"/>
          <w:sz w:val="24"/>
          <w:highlight w:val="none"/>
        </w:rPr>
        <w:t>本公司在参加本次</w:t>
      </w:r>
      <w:r>
        <w:rPr>
          <w:rFonts w:hint="eastAsia" w:ascii="宋体" w:hAnsi="宋体" w:eastAsia="宋体" w:cs="宋体"/>
          <w:sz w:val="24"/>
          <w:highlight w:val="none"/>
          <w:u w:val="none"/>
          <w:lang w:eastAsia="zh-CN"/>
        </w:rPr>
        <w:t>中山市小榄人民医院</w:t>
      </w:r>
      <w:r>
        <w:rPr>
          <w:rFonts w:hint="eastAsia" w:ascii="宋体" w:hAnsi="宋体" w:eastAsia="宋体" w:cs="宋体"/>
          <w:sz w:val="24"/>
          <w:highlight w:val="none"/>
          <w:u w:val="single"/>
          <w:lang w:eastAsia="zh-CN"/>
        </w:rPr>
        <w:t>无线AP</w:t>
      </w:r>
      <w:r>
        <w:rPr>
          <w:rFonts w:hint="eastAsia" w:ascii="宋体" w:hAnsi="宋体" w:cs="宋体"/>
          <w:sz w:val="24"/>
          <w:highlight w:val="none"/>
          <w:u w:val="none"/>
          <w:lang w:val="en-US" w:eastAsia="zh-CN"/>
        </w:rPr>
        <w:t>谈判</w:t>
      </w:r>
      <w:r>
        <w:rPr>
          <w:rFonts w:hint="eastAsia" w:ascii="宋体" w:hAnsi="宋体" w:eastAsia="宋体" w:cs="宋体"/>
          <w:sz w:val="24"/>
          <w:highlight w:val="none"/>
          <w:u w:val="none"/>
          <w:lang w:eastAsia="zh-CN"/>
        </w:rPr>
        <w:t>项目</w:t>
      </w:r>
      <w:r>
        <w:rPr>
          <w:rFonts w:hint="eastAsia" w:ascii="宋体" w:hAnsi="宋体" w:eastAsia="宋体" w:cs="宋体"/>
          <w:sz w:val="24"/>
          <w:highlight w:val="none"/>
        </w:rPr>
        <w:t>采购活动中，无以下围标、串标行为。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由同一单位或者个人编制；</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不同供应商委托同一单位或者个人办理响应事宜；</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载明的项目管理成员或者联系人员为同一人；</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异常一致或者响应报价呈规律性差异；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w:t>
      </w:r>
      <w:r>
        <w:rPr>
          <w:rFonts w:hint="eastAsia" w:ascii="宋体" w:hAnsi="宋体" w:cs="宋体"/>
          <w:sz w:val="24"/>
          <w:highlight w:val="none"/>
          <w:lang w:eastAsia="zh-CN"/>
        </w:rPr>
        <w:t>报价文件</w:t>
      </w:r>
      <w:r>
        <w:rPr>
          <w:rFonts w:hint="eastAsia" w:ascii="宋体" w:hAnsi="宋体" w:eastAsia="宋体" w:cs="宋体"/>
          <w:sz w:val="24"/>
          <w:highlight w:val="none"/>
        </w:rPr>
        <w:t>相互混装；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不同供应商的董事、监事、高管、单位负责人为同一人或者存在控股、管理关系的不同单位参加同一包组项目；</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法律法规界定的其他围标串标行为。</w:t>
      </w:r>
    </w:p>
    <w:p>
      <w:pPr>
        <w:spacing w:line="360" w:lineRule="auto"/>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特此</w:t>
      </w:r>
      <w:r>
        <w:rPr>
          <w:rFonts w:hint="eastAsia" w:ascii="宋体" w:hAnsi="宋体" w:eastAsia="宋体" w:cs="宋体"/>
          <w:sz w:val="24"/>
          <w:highlight w:val="none"/>
          <w:lang w:eastAsia="zh-CN"/>
        </w:rPr>
        <w:t>声明</w:t>
      </w:r>
      <w:r>
        <w:rPr>
          <w:rFonts w:hint="eastAsia" w:ascii="宋体" w:hAnsi="宋体" w:eastAsia="宋体" w:cs="宋体"/>
          <w:sz w:val="24"/>
          <w:highlight w:val="none"/>
        </w:rPr>
        <w:t>。</w:t>
      </w:r>
    </w:p>
    <w:p>
      <w:pPr>
        <w:spacing w:before="156" w:beforeLines="50" w:after="156" w:afterLines="50" w:line="360" w:lineRule="auto"/>
        <w:ind w:firstLine="480" w:firstLineChars="200"/>
        <w:rPr>
          <w:rFonts w:hint="eastAsia" w:ascii="宋体" w:hAnsi="宋体" w:eastAsia="宋体" w:cs="宋体"/>
          <w:sz w:val="24"/>
          <w:highlight w:val="none"/>
        </w:rPr>
      </w:pPr>
    </w:p>
    <w:p>
      <w:pPr>
        <w:spacing w:before="156" w:beforeLines="50" w:after="156" w:afterLines="50" w:line="360" w:lineRule="auto"/>
        <w:rPr>
          <w:rFonts w:hint="eastAsia" w:ascii="宋体" w:hAnsi="宋体" w:eastAsia="宋体" w:cs="宋体"/>
          <w:sz w:val="24"/>
          <w:highlight w:val="none"/>
          <w:vertAlign w:val="baseline"/>
        </w:rPr>
      </w:pPr>
      <w:r>
        <w:rPr>
          <w:rFonts w:hint="eastAsia" w:ascii="宋体" w:hAnsi="宋体" w:eastAsia="宋体" w:cs="宋体"/>
          <w:sz w:val="24"/>
          <w:highlight w:val="none"/>
        </w:rPr>
        <w:t xml:space="preserve">                    </w:t>
      </w:r>
    </w:p>
    <w:p>
      <w:pPr>
        <w:spacing w:before="156" w:beforeLines="50" w:after="156" w:afterLines="50" w:line="360" w:lineRule="auto"/>
        <w:rPr>
          <w:rFonts w:hint="eastAsia"/>
          <w:highlight w:val="none"/>
        </w:rPr>
      </w:pPr>
      <w:r>
        <w:rPr>
          <w:rFonts w:hint="eastAsia" w:ascii="宋体" w:hAnsi="宋体" w:eastAsia="宋体" w:cs="宋体"/>
          <w:sz w:val="24"/>
          <w:highlight w:val="none"/>
        </w:rPr>
        <w:t>供应商名称（加盖公章）：</w:t>
      </w:r>
    </w:p>
    <w:p>
      <w:pPr>
        <w:spacing w:before="156" w:beforeLines="5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法定代表人或其委托人签字：</w:t>
      </w:r>
    </w:p>
    <w:p>
      <w:pPr>
        <w:spacing w:before="156" w:beforeLines="50"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 xml:space="preserve"> 年 </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cs="宋体"/>
          <w:sz w:val="24"/>
          <w:highlight w:val="none"/>
          <w:lang w:val="en-US" w:eastAsia="zh-CN"/>
        </w:rPr>
        <w:t xml:space="preserve">   </w:t>
      </w:r>
      <w:r>
        <w:rPr>
          <w:rFonts w:hint="eastAsia" w:ascii="宋体" w:hAnsi="宋体" w:eastAsia="宋体" w:cs="宋体"/>
          <w:sz w:val="24"/>
          <w:highlight w:val="none"/>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4"/>
        <w:rPr>
          <w:rFonts w:hint="eastAsia" w:ascii="宋体" w:hAnsi="宋体" w:eastAsia="宋体" w:cs="宋体"/>
          <w:b w:val="0"/>
          <w:bCs/>
          <w:color w:val="auto"/>
          <w:sz w:val="24"/>
          <w:szCs w:val="24"/>
          <w:highlight w:val="none"/>
        </w:rPr>
      </w:pPr>
    </w:p>
    <w:p>
      <w:pPr>
        <w:pStyle w:val="24"/>
        <w:rPr>
          <w:rFonts w:hint="eastAsia" w:ascii="宋体" w:hAnsi="宋体" w:eastAsia="宋体" w:cs="宋体"/>
          <w:b w:val="0"/>
          <w:bCs/>
          <w:color w:val="auto"/>
          <w:sz w:val="24"/>
          <w:szCs w:val="24"/>
          <w:highlight w:val="none"/>
        </w:rPr>
      </w:pPr>
    </w:p>
    <w:p>
      <w:pPr>
        <w:pStyle w:val="24"/>
        <w:ind w:left="0" w:leftChars="0" w:firstLine="0" w:firstLineChars="0"/>
        <w:rPr>
          <w:rFonts w:hint="eastAsia" w:ascii="宋体" w:hAnsi="宋体" w:eastAsia="宋体" w:cs="宋体"/>
          <w:b w:val="0"/>
          <w:bCs/>
          <w:color w:val="auto"/>
          <w:sz w:val="24"/>
          <w:szCs w:val="24"/>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highlight w:val="none"/>
        </w:rPr>
      </w:pPr>
    </w:p>
    <w:p>
      <w:pPr>
        <w:pStyle w:val="9"/>
        <w:rPr>
          <w:rFonts w:hint="eastAsia"/>
          <w:highlight w:val="none"/>
        </w:rPr>
      </w:pPr>
    </w:p>
    <w:p>
      <w:pPr>
        <w:pStyle w:val="10"/>
        <w:rPr>
          <w:rFonts w:hint="eastAsia"/>
          <w:highlight w:val="none"/>
        </w:rPr>
      </w:pP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资料包括： </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（1）报价单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（2）偏离表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（3）法定代表人证明书及其授权委托书</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4）单位负责人为同一人或者存在直接控股、管理关系的不同报价人，不得参加同一合同项下的谈判活动，供应商在参与本次谈判活动中未有围标、串标行为。并出具《无围标、串标行为承诺书》（加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（5）厂家资质证件（包括但不限于营业执照）</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（6）各级经销商资质证件（包括但不限于营业执照等）</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）售后服务承诺函</w:t>
      </w:r>
      <w:r>
        <w:rPr>
          <w:rFonts w:hint="eastAsia" w:ascii="仿宋" w:hAnsi="仿宋" w:eastAsia="仿宋" w:cs="仿宋"/>
          <w:sz w:val="28"/>
          <w:szCs w:val="28"/>
          <w:highlight w:val="none"/>
        </w:rPr>
        <w:tab/>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）产品配置清单</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）产品彩页</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(1)以上文件均需盖公章。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(2)供应商需与法人代表（或法定代表人授权委托人）一致。</w:t>
      </w:r>
    </w:p>
    <w:p>
      <w:pPr>
        <w:rPr>
          <w:rFonts w:hint="eastAsia" w:ascii="仿宋" w:hAnsi="仿宋" w:eastAsia="仿宋" w:cs="仿宋"/>
          <w:sz w:val="24"/>
          <w:szCs w:val="24"/>
          <w:highlight w:val="none"/>
        </w:rPr>
      </w:pPr>
      <w:r>
        <w:rPr>
          <w:rFonts w:hint="eastAsia" w:ascii="仿宋" w:hAnsi="仿宋" w:eastAsia="仿宋" w:cs="仿宋"/>
          <w:sz w:val="28"/>
          <w:szCs w:val="28"/>
          <w:highlight w:val="none"/>
        </w:rPr>
        <w:t>(3)预审通过后，采购人以电子邮件方式通知供应商进入下一阶段流程。</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panose1 w:val="020B0504020202030204"/>
    <w:charset w:val="00"/>
    <w:family w:val="swiss"/>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74B0D"/>
    <w:multiLevelType w:val="singleLevel"/>
    <w:tmpl w:val="A3074B0D"/>
    <w:lvl w:ilvl="0" w:tentative="0">
      <w:start w:val="1"/>
      <w:numFmt w:val="decimal"/>
      <w:suff w:val="nothing"/>
      <w:lvlText w:val="%1、"/>
      <w:lvlJc w:val="left"/>
    </w:lvl>
  </w:abstractNum>
  <w:abstractNum w:abstractNumId="1">
    <w:nsid w:val="B3C7ADBE"/>
    <w:multiLevelType w:val="singleLevel"/>
    <w:tmpl w:val="B3C7ADBE"/>
    <w:lvl w:ilvl="0" w:tentative="0">
      <w:start w:val="1"/>
      <w:numFmt w:val="chineseCounting"/>
      <w:suff w:val="space"/>
      <w:lvlText w:val="第%1部分"/>
      <w:lvlJc w:val="left"/>
      <w:rPr>
        <w:rFonts w:hint="eastAsia"/>
      </w:rPr>
    </w:lvl>
  </w:abstractNum>
  <w:abstractNum w:abstractNumId="2">
    <w:nsid w:val="C35D8598"/>
    <w:multiLevelType w:val="singleLevel"/>
    <w:tmpl w:val="C35D8598"/>
    <w:lvl w:ilvl="0" w:tentative="0">
      <w:start w:val="1"/>
      <w:numFmt w:val="decimal"/>
      <w:suff w:val="nothing"/>
      <w:lvlText w:val="%1、"/>
      <w:lvlJc w:val="left"/>
    </w:lvl>
  </w:abstractNum>
  <w:abstractNum w:abstractNumId="3">
    <w:nsid w:val="F430CB78"/>
    <w:multiLevelType w:val="singleLevel"/>
    <w:tmpl w:val="F430CB78"/>
    <w:lvl w:ilvl="0" w:tentative="0">
      <w:start w:val="1"/>
      <w:numFmt w:val="decimal"/>
      <w:suff w:val="nothing"/>
      <w:lvlText w:val="%1、"/>
      <w:lvlJc w:val="left"/>
    </w:lvl>
  </w:abstractNum>
  <w:abstractNum w:abstractNumId="4">
    <w:nsid w:val="0AB90707"/>
    <w:multiLevelType w:val="multilevel"/>
    <w:tmpl w:val="0AB90707"/>
    <w:lvl w:ilvl="0" w:tentative="0">
      <w:start w:val="1"/>
      <w:numFmt w:val="decimal"/>
      <w:suff w:val="space"/>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D996C0B"/>
    <w:multiLevelType w:val="multilevel"/>
    <w:tmpl w:val="0D996C0B"/>
    <w:lvl w:ilvl="0" w:tentative="0">
      <w:start w:val="1"/>
      <w:numFmt w:val="decimal"/>
      <w:suff w:val="space"/>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FC949F0"/>
    <w:multiLevelType w:val="multilevel"/>
    <w:tmpl w:val="0FC949F0"/>
    <w:lvl w:ilvl="0" w:tentative="0">
      <w:start w:val="1"/>
      <w:numFmt w:val="decimal"/>
      <w:suff w:val="space"/>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CC1C2D7"/>
    <w:multiLevelType w:val="singleLevel"/>
    <w:tmpl w:val="3CC1C2D7"/>
    <w:lvl w:ilvl="0" w:tentative="0">
      <w:start w:val="1"/>
      <w:numFmt w:val="chineseCounting"/>
      <w:suff w:val="nothing"/>
      <w:lvlText w:val="%1、"/>
      <w:lvlJc w:val="left"/>
      <w:rPr>
        <w:rFonts w:hint="eastAsia"/>
      </w:rPr>
    </w:lvl>
  </w:abstractNum>
  <w:abstractNum w:abstractNumId="8">
    <w:nsid w:val="527359B6"/>
    <w:multiLevelType w:val="multilevel"/>
    <w:tmpl w:val="527359B6"/>
    <w:lvl w:ilvl="0" w:tentative="0">
      <w:start w:val="1"/>
      <w:numFmt w:val="decimal"/>
      <w:lvlText w:val="%1、"/>
      <w:lvlJc w:val="left"/>
      <w:pPr>
        <w:tabs>
          <w:tab w:val="left" w:pos="420"/>
        </w:tabs>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4875D95"/>
    <w:multiLevelType w:val="multilevel"/>
    <w:tmpl w:val="64875D95"/>
    <w:lvl w:ilvl="0" w:tentative="0">
      <w:start w:val="1"/>
      <w:numFmt w:val="decimal"/>
      <w:suff w:val="space"/>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FEF5E58"/>
    <w:multiLevelType w:val="singleLevel"/>
    <w:tmpl w:val="6FEF5E58"/>
    <w:lvl w:ilvl="0" w:tentative="0">
      <w:start w:val="1"/>
      <w:numFmt w:val="decimal"/>
      <w:lvlText w:val="%1."/>
      <w:lvlJc w:val="left"/>
      <w:pPr>
        <w:ind w:left="425" w:hanging="425"/>
      </w:pPr>
      <w:rPr>
        <w:rFonts w:hint="default"/>
      </w:rPr>
    </w:lvl>
  </w:abstractNum>
  <w:abstractNum w:abstractNumId="11">
    <w:nsid w:val="73D3BA93"/>
    <w:multiLevelType w:val="singleLevel"/>
    <w:tmpl w:val="73D3BA93"/>
    <w:lvl w:ilvl="0" w:tentative="0">
      <w:start w:val="1"/>
      <w:numFmt w:val="decimal"/>
      <w:suff w:val="nothing"/>
      <w:lvlText w:val="%1、"/>
      <w:lvlJc w:val="left"/>
    </w:lvl>
  </w:abstractNum>
  <w:abstractNum w:abstractNumId="12">
    <w:nsid w:val="7CD48178"/>
    <w:multiLevelType w:val="singleLevel"/>
    <w:tmpl w:val="7CD48178"/>
    <w:lvl w:ilvl="0" w:tentative="0">
      <w:start w:val="1"/>
      <w:numFmt w:val="decimal"/>
      <w:suff w:val="nothing"/>
      <w:lvlText w:val="%1、"/>
      <w:lvlJc w:val="left"/>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11"/>
  </w:num>
  <w:num w:numId="10">
    <w:abstractNumId w:val="0"/>
  </w:num>
  <w:num w:numId="11">
    <w:abstractNumId w:val="12"/>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1B7109F4"/>
    <w:rsid w:val="017A03BD"/>
    <w:rsid w:val="0C647663"/>
    <w:rsid w:val="0CAA4F82"/>
    <w:rsid w:val="0CBD4786"/>
    <w:rsid w:val="10EF00F3"/>
    <w:rsid w:val="12251A76"/>
    <w:rsid w:val="15672590"/>
    <w:rsid w:val="18E44580"/>
    <w:rsid w:val="18E706A9"/>
    <w:rsid w:val="1A475CB0"/>
    <w:rsid w:val="1B394FE3"/>
    <w:rsid w:val="1B3B661F"/>
    <w:rsid w:val="1B626DED"/>
    <w:rsid w:val="1B7109F4"/>
    <w:rsid w:val="1D481582"/>
    <w:rsid w:val="20DC30D9"/>
    <w:rsid w:val="26415CA9"/>
    <w:rsid w:val="2751016E"/>
    <w:rsid w:val="285B3C59"/>
    <w:rsid w:val="294338E4"/>
    <w:rsid w:val="29794717"/>
    <w:rsid w:val="2DD56DC9"/>
    <w:rsid w:val="2E323FBD"/>
    <w:rsid w:val="2F5510CD"/>
    <w:rsid w:val="33697E65"/>
    <w:rsid w:val="347418D4"/>
    <w:rsid w:val="3600792F"/>
    <w:rsid w:val="36C758BB"/>
    <w:rsid w:val="38C029F2"/>
    <w:rsid w:val="3B417724"/>
    <w:rsid w:val="3D6217FA"/>
    <w:rsid w:val="3DAC0808"/>
    <w:rsid w:val="3FF57764"/>
    <w:rsid w:val="41A91017"/>
    <w:rsid w:val="43CE77D7"/>
    <w:rsid w:val="47BF5C91"/>
    <w:rsid w:val="47EF67CA"/>
    <w:rsid w:val="4AC41010"/>
    <w:rsid w:val="4C7D50DD"/>
    <w:rsid w:val="4DD87D99"/>
    <w:rsid w:val="505712E6"/>
    <w:rsid w:val="51F91AD6"/>
    <w:rsid w:val="528E1C9F"/>
    <w:rsid w:val="53EA143C"/>
    <w:rsid w:val="575360F3"/>
    <w:rsid w:val="582C4A60"/>
    <w:rsid w:val="5FD924D3"/>
    <w:rsid w:val="61475B62"/>
    <w:rsid w:val="6499204D"/>
    <w:rsid w:val="66FB5425"/>
    <w:rsid w:val="6E832DC2"/>
    <w:rsid w:val="6FFA2883"/>
    <w:rsid w:val="708B2081"/>
    <w:rsid w:val="714552F4"/>
    <w:rsid w:val="723810AB"/>
    <w:rsid w:val="7737049B"/>
    <w:rsid w:val="77632F33"/>
    <w:rsid w:val="7BB64C58"/>
    <w:rsid w:val="7CDC2AC1"/>
    <w:rsid w:val="7D983576"/>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qFormat/>
    <w:uiPriority w:val="99"/>
    <w:pPr>
      <w:keepNext/>
      <w:keepLines/>
      <w:widowControl/>
      <w:spacing w:before="260" w:after="260" w:line="412" w:lineRule="auto"/>
      <w:jc w:val="left"/>
      <w:outlineLvl w:val="1"/>
    </w:pPr>
    <w:rPr>
      <w:rFonts w:ascii="Arial" w:hAnsi="Arial" w:eastAsia="黑体"/>
      <w:b/>
      <w:bCs/>
      <w:kern w:val="0"/>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before="100" w:beforeAutospacing="1"/>
      <w:ind w:firstLine="420" w:firstLineChars="200"/>
    </w:pPr>
    <w:rPr>
      <w:color w:val="000000"/>
    </w:rPr>
  </w:style>
  <w:style w:type="paragraph" w:styleId="3">
    <w:name w:val="Body Text Indent"/>
    <w:basedOn w:val="1"/>
    <w:semiHidden/>
    <w:unhideWhenUsed/>
    <w:qFormat/>
    <w:uiPriority w:val="99"/>
    <w:pPr>
      <w:spacing w:after="120"/>
      <w:ind w:left="420" w:leftChars="200"/>
    </w:pPr>
  </w:style>
  <w:style w:type="paragraph" w:styleId="6">
    <w:name w:val="Normal Indent"/>
    <w:basedOn w:val="1"/>
    <w:semiHidden/>
    <w:unhideWhenUsed/>
    <w:qFormat/>
    <w:uiPriority w:val="99"/>
    <w:pPr>
      <w:ind w:firstLine="420" w:firstLineChars="200"/>
    </w:pPr>
  </w:style>
  <w:style w:type="paragraph" w:styleId="8">
    <w:name w:val="annotation text"/>
    <w:basedOn w:val="1"/>
    <w:qFormat/>
    <w:uiPriority w:val="0"/>
    <w:pPr>
      <w:widowControl/>
      <w:jc w:val="left"/>
    </w:pPr>
    <w:rPr>
      <w:kern w:val="0"/>
      <w:szCs w:val="20"/>
    </w:rPr>
  </w:style>
  <w:style w:type="paragraph" w:styleId="9">
    <w:name w:val="Body Text"/>
    <w:basedOn w:val="1"/>
    <w:qFormat/>
    <w:uiPriority w:val="0"/>
    <w:pPr>
      <w:spacing w:line="360" w:lineRule="auto"/>
    </w:pPr>
    <w:rPr>
      <w:szCs w:val="20"/>
    </w:rPr>
  </w:style>
  <w:style w:type="paragraph" w:styleId="10">
    <w:name w:val="toc 5"/>
    <w:basedOn w:val="1"/>
    <w:next w:val="1"/>
    <w:qFormat/>
    <w:uiPriority w:val="0"/>
    <w:pPr>
      <w:ind w:left="840"/>
      <w:jc w:val="left"/>
    </w:pPr>
    <w:rPr>
      <w:rFonts w:ascii="Calibri" w:hAnsi="Calibri"/>
      <w:sz w:val="18"/>
      <w:szCs w:val="18"/>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5">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6">
    <w:name w:val="Body Text Indent 3"/>
    <w:basedOn w:val="1"/>
    <w:qFormat/>
    <w:uiPriority w:val="0"/>
    <w:pPr>
      <w:spacing w:after="120"/>
      <w:ind w:left="420"/>
    </w:pPr>
    <w:rPr>
      <w:sz w:val="16"/>
      <w:szCs w:val="16"/>
    </w:rPr>
  </w:style>
  <w:style w:type="paragraph" w:styleId="17">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8">
    <w:name w:val="Body Text First Indent"/>
    <w:basedOn w:val="9"/>
    <w:next w:val="1"/>
    <w:qFormat/>
    <w:uiPriority w:val="0"/>
    <w:pPr>
      <w:spacing w:after="120" w:afterLines="0" w:line="240" w:lineRule="auto"/>
      <w:ind w:firstLine="420" w:firstLineChars="100"/>
    </w:pPr>
    <w:rPr>
      <w:szCs w:val="24"/>
    </w:r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0"/>
    <w:rPr>
      <w:rFonts w:ascii="Tahoma" w:hAnsi="Tahoma" w:eastAsia="宋体"/>
      <w:b/>
      <w:bCs/>
      <w:spacing w:val="10"/>
      <w:sz w:val="24"/>
      <w:lang w:val="en-US" w:eastAsia="zh-CN" w:bidi="ar-SA"/>
    </w:rPr>
  </w:style>
  <w:style w:type="character" w:styleId="23">
    <w:name w:val="Hyperlink"/>
    <w:basedOn w:val="21"/>
    <w:qFormat/>
    <w:uiPriority w:val="99"/>
    <w:rPr>
      <w:color w:val="0000FF"/>
      <w:u w:val="single"/>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character" w:customStyle="1" w:styleId="26">
    <w:name w:val="NormalCharacter"/>
    <w:qFormat/>
    <w:uiPriority w:val="0"/>
  </w:style>
  <w:style w:type="paragraph" w:customStyle="1" w:styleId="27">
    <w:name w:val="列出段落1"/>
    <w:basedOn w:val="1"/>
    <w:qFormat/>
    <w:uiPriority w:val="99"/>
    <w:pPr>
      <w:ind w:firstLine="420" w:firstLineChars="200"/>
    </w:pPr>
    <w:rPr>
      <w:rFonts w:ascii="Calibri" w:hAnsi="Calibri"/>
    </w:rPr>
  </w:style>
  <w:style w:type="paragraph" w:customStyle="1" w:styleId="28">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Helvetica" w:cs="Helvetica"/>
      <w:color w:val="000000"/>
      <w:sz w:val="22"/>
      <w:szCs w:val="22"/>
      <w:lang w:val="en-US" w:eastAsia="zh-CN" w:bidi="ar-SA"/>
    </w:rPr>
  </w:style>
  <w:style w:type="character" w:customStyle="1" w:styleId="29">
    <w:name w:val="16"/>
    <w:basedOn w:val="21"/>
    <w:qFormat/>
    <w:uiPriority w:val="0"/>
    <w:rPr>
      <w:rFonts w:hint="eastAsia" w:ascii="宋体" w:hAnsi="宋体" w:eastAsia="宋体"/>
      <w:b/>
      <w:color w:val="000000"/>
      <w:sz w:val="18"/>
      <w:szCs w:val="18"/>
    </w:rPr>
  </w:style>
  <w:style w:type="character" w:customStyle="1" w:styleId="30">
    <w:name w:val="15"/>
    <w:basedOn w:val="21"/>
    <w:qFormat/>
    <w:uiPriority w:val="0"/>
    <w:rPr>
      <w:rFonts w:hint="eastAsia" w:ascii="宋体" w:hAnsi="宋体" w:eastAsia="宋体"/>
      <w:b/>
      <w:color w:val="000000"/>
      <w:sz w:val="18"/>
      <w:szCs w:val="18"/>
    </w:rPr>
  </w:style>
  <w:style w:type="paragraph" w:customStyle="1" w:styleId="31">
    <w:name w:val="表格"/>
    <w:basedOn w:val="1"/>
    <w:qFormat/>
    <w:uiPriority w:val="0"/>
    <w:pPr>
      <w:widowControl w:val="0"/>
      <w:autoSpaceDE w:val="0"/>
      <w:autoSpaceDN w:val="0"/>
      <w:adjustRightInd w:val="0"/>
      <w:jc w:val="center"/>
    </w:pPr>
    <w:rPr>
      <w:rFonts w:ascii="宋体" w:hAnsi="宋体" w:cs="宋体"/>
      <w:color w:val="000000"/>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8666</Words>
  <Characters>9964</Characters>
  <Lines>0</Lines>
  <Paragraphs>0</Paragraphs>
  <TotalTime>3</TotalTime>
  <ScaleCrop>false</ScaleCrop>
  <LinksUpToDate>false</LinksUpToDate>
  <CharactersWithSpaces>10682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酸小敏</cp:lastModifiedBy>
  <cp:lastPrinted>2021-11-22T10:50:00Z</cp:lastPrinted>
  <dcterms:modified xsi:type="dcterms:W3CDTF">2023-10-07T02:39:37Z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CFCEFDF45B7349B68C199B7E739FFA11</vt:lpwstr>
  </property>
</Properties>
</file>