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pStyle w:val="8"/>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7"/>
        <w:rPr>
          <w:rFonts w:hint="eastAsia" w:ascii="宋体" w:hAnsi="宋体" w:eastAsia="宋体" w:cs="宋体"/>
          <w:b/>
          <w:color w:val="auto"/>
          <w:sz w:val="36"/>
          <w:szCs w:val="36"/>
          <w:highlight w:val="none"/>
        </w:rPr>
      </w:pPr>
    </w:p>
    <w:p>
      <w:pPr>
        <w:pStyle w:val="8"/>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rPr>
        <w:t>项目名称：飞利浦Brilliance iCT设备移机、安装、调试服务</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项目编号：XLYY20230870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7"/>
        <w:rPr>
          <w:rFonts w:hint="eastAsia" w:ascii="宋体" w:hAnsi="宋体" w:eastAsia="宋体" w:cs="宋体"/>
          <w:b/>
          <w:bCs/>
          <w:color w:val="auto"/>
          <w:sz w:val="36"/>
          <w:szCs w:val="36"/>
          <w:highlight w:val="none"/>
          <w:u w:val="single"/>
        </w:rPr>
      </w:pPr>
    </w:p>
    <w:p>
      <w:pPr>
        <w:pStyle w:val="8"/>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eastAsia" w:ascii="宋体" w:hAnsi="宋体" w:eastAsia="宋体" w:cs="宋体"/>
          <w:b/>
          <w:color w:val="auto"/>
          <w:sz w:val="36"/>
          <w:szCs w:val="36"/>
          <w:highlight w:val="none"/>
          <w:lang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10</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highlight w:val="none"/>
            </w:rPr>
          </w:pPr>
        </w:p>
        <w:p>
          <w:pPr>
            <w:pStyle w:val="1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4"/>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pStyle w:val="7"/>
        <w:rPr>
          <w:rFonts w:hint="eastAsia"/>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1.项目名称：飞利浦Brilliance iCT设备移机、安装、调试服务</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2.采购方式：院内谈判（综合评审最优）</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3.采购需求：</w:t>
      </w:r>
    </w:p>
    <w:tbl>
      <w:tblPr>
        <w:tblStyle w:val="18"/>
        <w:tblpPr w:leftFromText="180" w:rightFromText="180" w:vertAnchor="text" w:horzAnchor="page" w:tblpX="1582" w:tblpY="136"/>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8"/>
        <w:gridCol w:w="2229"/>
        <w:gridCol w:w="855"/>
        <w:gridCol w:w="840"/>
        <w:gridCol w:w="1995"/>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758"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229"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855"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40"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单位</w:t>
            </w:r>
          </w:p>
        </w:tc>
        <w:tc>
          <w:tcPr>
            <w:tcW w:w="1995"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p>
        </w:tc>
        <w:tc>
          <w:tcPr>
            <w:tcW w:w="1928" w:type="dxa"/>
            <w:shd w:val="clear" w:color="auto" w:fill="F2F2F2"/>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83" w:hRule="atLeast"/>
        </w:trPr>
        <w:tc>
          <w:tcPr>
            <w:tcW w:w="758"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229"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飞利浦Brilliance iCT设备移机、安装、调试服务</w:t>
            </w:r>
          </w:p>
        </w:tc>
        <w:tc>
          <w:tcPr>
            <w:tcW w:w="855"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p>
        </w:tc>
        <w:tc>
          <w:tcPr>
            <w:tcW w:w="840"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cs="宋体"/>
                <w:color w:val="auto"/>
                <w:sz w:val="24"/>
                <w:szCs w:val="24"/>
                <w:highlight w:val="none"/>
                <w:lang w:val="en-US" w:eastAsia="zh-CN"/>
              </w:rPr>
            </w:pPr>
            <w:r>
              <w:rPr>
                <w:rFonts w:hint="eastAsia" w:cs="宋体"/>
                <w:color w:val="auto"/>
                <w:sz w:val="24"/>
                <w:szCs w:val="24"/>
                <w:highlight w:val="none"/>
                <w:lang w:val="en-US" w:eastAsia="zh-CN"/>
              </w:rPr>
              <w:t>项</w:t>
            </w:r>
          </w:p>
        </w:tc>
        <w:tc>
          <w:tcPr>
            <w:tcW w:w="1995"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288000.00</w:t>
            </w:r>
          </w:p>
        </w:tc>
        <w:tc>
          <w:tcPr>
            <w:tcW w:w="1928" w:type="dxa"/>
            <w:shd w:val="clear" w:color="auto" w:fill="FFFFFF"/>
            <w:noWrap/>
            <w:tcMar>
              <w:left w:w="105" w:type="dxa"/>
              <w:right w:w="105" w:type="dxa"/>
            </w:tcMar>
            <w:vAlign w:val="center"/>
          </w:tcPr>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采购需求详看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《采购需求书》</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二、供应商的资格要求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1.具有合法的法人资格，并在法律、财务上与项目经办人不存在关联关系；</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2.报价设备或服务须在其法定营业范围内；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3.提供有效的三证合一的营业执照、医疗器械经营许可证的副本原件；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4.单位负责人为同一人或者存在直接控股、管理关系的不同供应商；不得参加同一合同项下的谈判活动。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5.提供偏离情况响应表，必须完全满足带"★"号条款中要求。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三、递交响应文件截止时间、递交方式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递交响应文件截止时间：202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28</w:t>
      </w:r>
      <w:r>
        <w:rPr>
          <w:rFonts w:hint="eastAsia" w:ascii="宋体" w:hAnsi="宋体" w:eastAsia="宋体" w:cs="宋体"/>
          <w:color w:val="auto"/>
          <w:sz w:val="24"/>
          <w:szCs w:val="24"/>
          <w:highlight w:val="none"/>
        </w:rPr>
        <w:t>日17:00（北京时间）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响应文件递交方式（方式①和方式②缺一不可）：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①电子邮件：</w:t>
      </w:r>
      <w:r>
        <w:rPr>
          <w:rFonts w:hint="eastAsia" w:ascii="宋体" w:hAnsi="宋体" w:eastAsia="宋体" w:cs="宋体"/>
          <w:color w:val="auto"/>
          <w:sz w:val="24"/>
          <w:szCs w:val="24"/>
          <w:highlight w:val="none"/>
          <w:lang w:val="en-US" w:eastAsia="zh-CN"/>
        </w:rPr>
        <w:t>YXZB3787</w:t>
      </w:r>
      <w:r>
        <w:rPr>
          <w:rFonts w:hint="eastAsia" w:ascii="宋体" w:hAnsi="宋体" w:eastAsia="宋体" w:cs="宋体"/>
          <w:color w:val="auto"/>
          <w:sz w:val="24"/>
          <w:szCs w:val="24"/>
          <w:highlight w:val="none"/>
        </w:rPr>
        <w:t>@126.com</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②文件邮寄：</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收件人：</w:t>
      </w:r>
      <w:r>
        <w:rPr>
          <w:rFonts w:hint="eastAsia" w:ascii="宋体" w:hAnsi="宋体" w:eastAsia="宋体" w:cs="宋体"/>
          <w:color w:val="auto"/>
          <w:sz w:val="24"/>
          <w:szCs w:val="24"/>
          <w:highlight w:val="none"/>
          <w:lang w:val="en-US" w:eastAsia="zh-CN"/>
        </w:rPr>
        <w:t>吴</w:t>
      </w:r>
      <w:r>
        <w:rPr>
          <w:rFonts w:hint="eastAsia" w:ascii="宋体" w:hAnsi="宋体" w:eastAsia="宋体" w:cs="宋体"/>
          <w:color w:val="auto"/>
          <w:sz w:val="24"/>
          <w:szCs w:val="24"/>
          <w:highlight w:val="none"/>
        </w:rPr>
        <w:t>小姐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收件电话：0760-88662120-</w:t>
      </w:r>
      <w:r>
        <w:rPr>
          <w:rFonts w:hint="eastAsia" w:ascii="宋体" w:hAnsi="宋体" w:eastAsia="宋体" w:cs="宋体"/>
          <w:color w:val="auto"/>
          <w:sz w:val="24"/>
          <w:szCs w:val="24"/>
          <w:highlight w:val="none"/>
          <w:lang w:val="en-US" w:eastAsia="zh-CN"/>
        </w:rPr>
        <w:t>1616</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收件地址：中山市小榄镇菊城大道中65号（小榄人民医院采购部）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自本公告发布之日起五个工作日。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请各供应商按照以下要求提供完整的响应文件（一式</w:t>
      </w: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rPr>
        <w:t>份，一正</w:t>
      </w:r>
      <w:r>
        <w:rPr>
          <w:rFonts w:hint="eastAsia" w:cs="宋体"/>
          <w:color w:val="auto"/>
          <w:sz w:val="24"/>
          <w:szCs w:val="24"/>
          <w:highlight w:val="none"/>
          <w:lang w:val="en-US" w:eastAsia="zh-CN"/>
        </w:rPr>
        <w:t>三</w:t>
      </w:r>
      <w:r>
        <w:rPr>
          <w:rFonts w:hint="eastAsia" w:ascii="宋体" w:hAnsi="宋体" w:eastAsia="宋体" w:cs="宋体"/>
          <w:color w:val="auto"/>
          <w:sz w:val="24"/>
          <w:szCs w:val="24"/>
          <w:highlight w:val="none"/>
        </w:rPr>
        <w:t>副），供采购人进行预审核：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1.报价文件（详见</w:t>
      </w:r>
      <w:r>
        <w:rPr>
          <w:rFonts w:hint="eastAsia" w:ascii="宋体" w:hAnsi="宋体" w:eastAsia="宋体" w:cs="宋体"/>
          <w:color w:val="auto"/>
          <w:sz w:val="24"/>
          <w:szCs w:val="24"/>
          <w:highlight w:val="none"/>
          <w:lang w:val="en-US" w:eastAsia="zh-CN"/>
        </w:rPr>
        <w:t>谈判文件</w:t>
      </w:r>
      <w:r>
        <w:rPr>
          <w:rFonts w:hint="eastAsia" w:ascii="宋体" w:hAnsi="宋体" w:eastAsia="宋体" w:cs="宋体"/>
          <w:color w:val="auto"/>
          <w:sz w:val="24"/>
          <w:szCs w:val="24"/>
          <w:highlight w:val="none"/>
        </w:rPr>
        <w:t>第四部分）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以上文件均需盖公章。</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预审通过后，采购人以电子邮件方式通知供应商进入下一阶段流程。</w:t>
      </w:r>
    </w:p>
    <w:p>
      <w:pPr>
        <w:pStyle w:val="15"/>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Chars="0" w:right="0" w:rightChars="0"/>
        <w:jc w:val="left"/>
        <w:textAlignment w:val="baseline"/>
        <w:rPr>
          <w:rFonts w:hint="eastAsia" w:ascii="宋体" w:hAnsi="宋体" w:eastAsia="宋体" w:cs="宋体"/>
          <w:b/>
          <w:bCs/>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如纸质资料与电子资料存在不一致，以纸质盖章资料为准。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本项目不接受联合体响应。</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递交响应文件截止前，需提供完整的响应文件供采购人预审，资料不全或不通过者，报名无效。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八、监督部门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联系人：曾老师</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联系电话：0760-88662120-1621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址：中山市小榄镇菊城大道中65号内科大楼九楼纪委监察室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中山市小榄人民医院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rPr>
        <w:t>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10"/>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3"/>
        <w:jc w:val="center"/>
        <w:rPr>
          <w:rFonts w:ascii="宋体" w:hAnsi="宋体" w:eastAsia="宋体" w:cs="宋体"/>
          <w:sz w:val="24"/>
        </w:rPr>
      </w:pPr>
      <w:r>
        <w:rPr>
          <w:rFonts w:hint="eastAsia"/>
        </w:rPr>
        <w:t>用户需求书</w:t>
      </w:r>
    </w:p>
    <w:p>
      <w:pPr>
        <w:numPr>
          <w:numId w:val="0"/>
        </w:numPr>
        <w:spacing w:line="360" w:lineRule="auto"/>
        <w:ind w:left="360" w:leftChars="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一、</w:t>
      </w:r>
      <w:r>
        <w:rPr>
          <w:rFonts w:hint="eastAsia" w:ascii="宋体" w:hAnsi="宋体" w:eastAsia="宋体" w:cs="宋体"/>
          <w:color w:val="auto"/>
          <w:kern w:val="0"/>
          <w:sz w:val="24"/>
          <w:szCs w:val="24"/>
          <w:highlight w:val="none"/>
          <w:lang w:val="en-US" w:eastAsia="zh-CN" w:bidi="ar-SA"/>
        </w:rPr>
        <w:t>项目概况：</w:t>
      </w:r>
    </w:p>
    <w:p>
      <w:pPr>
        <w:numPr>
          <w:ilvl w:val="0"/>
          <w:numId w:val="0"/>
        </w:numPr>
        <w:spacing w:line="360" w:lineRule="auto"/>
        <w:ind w:left="360" w:leftChars="0" w:firstLine="416"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将采购人于2013年购置的飞利浦iCT从现有机房，搬迁至新建机房，其中涉及设备的拆装、搬运、安装调试、校准等工作，且确保完成上述工作后，设备能正常投入使用。</w:t>
      </w:r>
    </w:p>
    <w:p>
      <w:pPr>
        <w:numPr>
          <w:numId w:val="0"/>
        </w:numPr>
        <w:spacing w:line="360" w:lineRule="auto"/>
        <w:ind w:left="360" w:leftChars="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二、</w:t>
      </w:r>
      <w:r>
        <w:rPr>
          <w:rFonts w:hint="eastAsia" w:ascii="宋体" w:hAnsi="宋体" w:eastAsia="宋体" w:cs="宋体"/>
          <w:color w:val="auto"/>
          <w:kern w:val="0"/>
          <w:sz w:val="24"/>
          <w:szCs w:val="24"/>
          <w:highlight w:val="none"/>
          <w:lang w:val="en-US" w:eastAsia="zh-CN" w:bidi="ar-SA"/>
        </w:rPr>
        <w:t>项目内容：</w:t>
      </w:r>
    </w:p>
    <w:p>
      <w:pPr>
        <w:numPr>
          <w:ilvl w:val="0"/>
          <w:numId w:val="2"/>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服务内容：飞利浦Brilliance iCT设备移机、安装、调试服务</w:t>
      </w:r>
    </w:p>
    <w:p>
      <w:pPr>
        <w:numPr>
          <w:ilvl w:val="0"/>
          <w:numId w:val="2"/>
        </w:num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服务地点：中山市小榄人民医院</w:t>
      </w:r>
    </w:p>
    <w:p>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SA"/>
        </w:rPr>
        <w:t>三</w:t>
      </w:r>
      <w:r>
        <w:rPr>
          <w:rFonts w:hint="eastAsia" w:ascii="宋体" w:hAnsi="宋体" w:eastAsia="宋体" w:cs="宋体"/>
          <w:color w:val="auto"/>
          <w:kern w:val="0"/>
          <w:sz w:val="24"/>
          <w:szCs w:val="24"/>
          <w:highlight w:val="none"/>
          <w:lang w:val="en-US" w:eastAsia="zh-CN" w:bidi="ar-SA"/>
        </w:rPr>
        <w:t>、项目的技术要求：</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1、★提供飞利浦Brilliance iCT设备移机服务壹次，中标人移机完成后保证设备达到符合厂家标准或相应的国家质量标准的要求。</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2、▲为保障移机过程中故障备件的快速且安全的供应，投标人需在国内设有零备件保税仓库（提供相应证明材料）。</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3、▲投标人拟派的技术工程师需具备专业资质，提供本项目设备制造厂商出具的安装维修工程师的CT培训资质证书。</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备件：移机过程中如遇备件损坏，所更换的备件为标的设备零配件同一生产厂家和同一型号规格的全新零配件，备件有追踪号码，并承诺可提供零配件的相关材料，包括但不限于：若所提供零配件为国外供货，进口产品须提供报关单。保障不会对设备质量或图像产生不良影响。提供所需更换的备件供应要及时、充足。如因提供不合法不合规或来路不明的备件而引起的相关损失及法律责任由中标人自行承担，且在更换备件前需要取得采购人书面同意(投标文件中提供承诺函并加盖投标人公章)。</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由于标的设备含有球管，为保障设备核心部件，投标人需具备球管的库存证明，在投标文件中提供近一年内该球管的合法进口证明文件，包含但不限于球管的进口报关单、清晰体现该球管序列号的运货单、中国海关要求的医疗器械标签等资料。</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6、投标人具备使用、维修放射性装置资格，提供辐射安全许可证。</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7、★服务时长：在采购人发出书面通知之日起，15个日历日内完成所有工作；其中须在前4个日历日内完成移机工作，在剩余时间内完成安装、调试、校准等工作，确保设备正常投入使用。</w:t>
      </w:r>
    </w:p>
    <w:p>
      <w:pPr>
        <w:spacing w:line="360" w:lineRule="auto"/>
        <w:ind w:left="7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8、高级诊断</w:t>
      </w:r>
    </w:p>
    <w:p>
      <w:pPr>
        <w:spacing w:line="360" w:lineRule="auto"/>
        <w:ind w:left="114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必须在整个服务期内都能合法获得原厂高级故障诊断软件的诊断维修钥匙（service key），并保证不违反国家有关知识产权的法律规定，请提供证明材料并做出相应书面承诺。</w:t>
      </w:r>
    </w:p>
    <w:p>
      <w:pPr>
        <w:numPr>
          <w:numId w:val="0"/>
        </w:numPr>
        <w:spacing w:line="360" w:lineRule="auto"/>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9、</w:t>
      </w:r>
      <w:r>
        <w:rPr>
          <w:rFonts w:hint="eastAsia" w:ascii="宋体" w:hAnsi="宋体" w:eastAsia="宋体" w:cs="宋体"/>
          <w:color w:val="auto"/>
          <w:kern w:val="0"/>
          <w:sz w:val="24"/>
          <w:szCs w:val="24"/>
          <w:highlight w:val="none"/>
          <w:lang w:val="en-US" w:eastAsia="zh-CN" w:bidi="ar-SA"/>
        </w:rPr>
        <w:t>付款方式：</w:t>
      </w:r>
    </w:p>
    <w:p>
      <w:pPr>
        <w:numPr>
          <w:numId w:val="0"/>
        </w:numPr>
        <w:spacing w:line="360" w:lineRule="auto"/>
        <w:ind w:firstLine="1200" w:firstLineChars="5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服务完成完成并验收合格后，采购人凭中标人开具的发票30个工作日内支付全款。</w:t>
      </w:r>
    </w:p>
    <w:p>
      <w:pPr>
        <w:numPr>
          <w:numId w:val="0"/>
        </w:numPr>
        <w:spacing w:line="360" w:lineRule="auto"/>
        <w:ind w:firstLine="720" w:firstLineChars="3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★投标人须承诺在中标后五个工作日内获得设备厂家对本项目的授权书。</w:t>
      </w:r>
    </w:p>
    <w:p>
      <w:pPr>
        <w:spacing w:line="360" w:lineRule="auto"/>
        <w:ind w:left="718" w:leftChars="342"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1、★在服务期间所需任何费用及所有风险均由中标人承担，采购人不在额外支付任何费用。所需费用及风险如：在服务期间，设备有任何损伤、损坏等情况均由中标人负责修复；在服务期间，中标人对采购人场地有任何损坏，均由中标人负责修复；在服务期间，中标人所需，均由中标人负责等。</w:t>
      </w:r>
    </w:p>
    <w:p>
      <w:pPr>
        <w:jc w:val="left"/>
        <w:rPr>
          <w:rFonts w:ascii="宋体" w:hAnsi="宋体" w:eastAsia="宋体" w:cs="Times New Roman"/>
        </w:rPr>
      </w:pPr>
    </w:p>
    <w:p>
      <w:pPr>
        <w:jc w:val="left"/>
        <w:rPr>
          <w:rFonts w:ascii="宋体" w:hAnsi="宋体" w:eastAsia="宋体" w:cs="Times New Roman"/>
        </w:rPr>
      </w:pPr>
      <w:r>
        <w:rPr>
          <w:rFonts w:ascii="宋体" w:hAnsi="宋体" w:eastAsia="宋体" w:cs="Times New Roman"/>
        </w:rPr>
        <w:br w:type="page"/>
      </w: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8"/>
        <w:ind w:left="0" w:leftChars="0" w:firstLine="0" w:firstLineChars="0"/>
        <w:rPr>
          <w:rFonts w:hint="eastAsia" w:ascii="宋体" w:hAnsi="宋体" w:eastAsia="宋体" w:cs="宋体"/>
          <w:sz w:val="44"/>
          <w:szCs w:val="44"/>
          <w:lang w:val="en-US" w:eastAsia="zh-CN"/>
        </w:rPr>
      </w:pPr>
    </w:p>
    <w:p>
      <w:pPr>
        <w:pStyle w:val="3"/>
        <w:numPr>
          <w:ilvl w:val="0"/>
          <w:numId w:val="3"/>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分值权重：</w:t>
      </w:r>
    </w:p>
    <w:tbl>
      <w:tblPr>
        <w:tblStyle w:val="19"/>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700"/>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95"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商务技术评审</w:t>
            </w:r>
          </w:p>
        </w:tc>
        <w:tc>
          <w:tcPr>
            <w:tcW w:w="270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价格评审</w:t>
            </w:r>
          </w:p>
        </w:tc>
        <w:tc>
          <w:tcPr>
            <w:tcW w:w="251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295" w:type="dxa"/>
            <w:noWrap w:val="0"/>
            <w:vAlign w:val="center"/>
          </w:tcPr>
          <w:p>
            <w:pPr>
              <w:pStyle w:val="16"/>
              <w:ind w:firstLine="0"/>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70</w:t>
            </w:r>
            <w:r>
              <w:rPr>
                <w:rFonts w:hint="eastAsia" w:ascii="宋体" w:hAnsi="宋体" w:eastAsia="宋体" w:cs="宋体"/>
                <w:color w:val="000000"/>
                <w:sz w:val="28"/>
                <w:szCs w:val="28"/>
              </w:rPr>
              <w:t>%</w:t>
            </w:r>
          </w:p>
        </w:tc>
        <w:tc>
          <w:tcPr>
            <w:tcW w:w="270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0%</w:t>
            </w:r>
          </w:p>
        </w:tc>
        <w:tc>
          <w:tcPr>
            <w:tcW w:w="2510" w:type="dxa"/>
            <w:noWrap w:val="0"/>
            <w:vAlign w:val="center"/>
          </w:tcPr>
          <w:p>
            <w:pPr>
              <w:pStyle w:val="16"/>
              <w:ind w:firstLine="0"/>
              <w:jc w:val="center"/>
              <w:rPr>
                <w:rFonts w:hint="eastAsia" w:ascii="宋体" w:hAnsi="宋体" w:eastAsia="宋体" w:cs="宋体"/>
                <w:color w:val="000000"/>
                <w:sz w:val="28"/>
                <w:szCs w:val="28"/>
              </w:rPr>
            </w:pPr>
            <w:r>
              <w:rPr>
                <w:rFonts w:hint="eastAsia" w:ascii="宋体" w:hAnsi="宋体" w:eastAsia="宋体" w:cs="宋体"/>
                <w:color w:val="000000"/>
                <w:sz w:val="28"/>
                <w:szCs w:val="28"/>
              </w:rPr>
              <w:t>100%</w:t>
            </w:r>
          </w:p>
        </w:tc>
      </w:tr>
    </w:tbl>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keepNext w:val="0"/>
        <w:keepLines w:val="0"/>
        <w:pageBreakBefore w:val="0"/>
        <w:kinsoku/>
        <w:topLinePunct w:val="0"/>
        <w:bidi w:val="0"/>
        <w:spacing w:line="500" w:lineRule="exact"/>
        <w:textAlignment w:val="auto"/>
        <w:rPr>
          <w:rFonts w:hint="default"/>
          <w:lang w:val="en-US" w:eastAsia="zh-CN"/>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商务技术评审：</w:t>
      </w:r>
    </w:p>
    <w:tbl>
      <w:tblPr>
        <w:tblStyle w:val="18"/>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6"/>
        <w:gridCol w:w="1173"/>
        <w:gridCol w:w="736"/>
        <w:gridCol w:w="598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666"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173"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评分指标</w:t>
            </w:r>
          </w:p>
        </w:tc>
        <w:tc>
          <w:tcPr>
            <w:tcW w:w="736"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分值</w:t>
            </w:r>
          </w:p>
        </w:tc>
        <w:tc>
          <w:tcPr>
            <w:tcW w:w="5988"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评分范围</w:t>
            </w:r>
          </w:p>
        </w:tc>
        <w:tc>
          <w:tcPr>
            <w:tcW w:w="996"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供应商</w:t>
            </w:r>
          </w:p>
          <w:p>
            <w:pPr>
              <w:jc w:val="center"/>
              <w:rPr>
                <w:rFonts w:ascii="仿宋" w:hAnsi="仿宋" w:eastAsia="仿宋" w:cs="仿宋"/>
                <w:b/>
                <w:color w:val="000000"/>
                <w:sz w:val="24"/>
              </w:rPr>
            </w:pPr>
            <w:r>
              <w:rPr>
                <w:rFonts w:hint="eastAsia" w:ascii="仿宋" w:hAnsi="仿宋" w:eastAsia="仿宋" w:cs="仿宋"/>
                <w:b/>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一般条款响应程度</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根据投标人对用户需求中一般条款（非“</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”条款）的响应程度进行评分：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一般条款（非“</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”条款）负偏离在4项以内（含4项），每项扣4分；一般条款（非“</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”条款）负偏离超过4项的，得0分；完全响应得16分。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重要条款响应程度</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根据</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lang w:val="zh-CN" w:eastAsia="zh-CN"/>
                <w14:textFill>
                  <w14:solidFill>
                    <w14:schemeClr w14:val="tx1"/>
                  </w14:solidFill>
                </w14:textFill>
              </w:rPr>
              <w:t>对用户需求中重要条款（“▲”条款）的响应程度进行评分：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重要条款（“▲”条款）负偏离在</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项以内（含</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项），每项扣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val="zh-CN" w:eastAsia="zh-CN"/>
                <w14:textFill>
                  <w14:solidFill>
                    <w14:schemeClr w14:val="tx1"/>
                  </w14:solidFill>
                </w14:textFill>
              </w:rPr>
              <w:t>分；重要条款（“▲”条款）负偏离超过</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eastAsia="zh-CN"/>
                <w14:textFill>
                  <w14:solidFill>
                    <w14:schemeClr w14:val="tx1"/>
                  </w14:solidFill>
                </w14:textFill>
              </w:rPr>
              <w:t>项的，得0分；</w:t>
            </w:r>
            <w:r>
              <w:rPr>
                <w:rFonts w:hint="eastAsia" w:ascii="宋体" w:hAnsi="宋体" w:eastAsia="宋体" w:cs="宋体"/>
                <w:color w:val="000000" w:themeColor="text1"/>
                <w:sz w:val="24"/>
                <w:szCs w:val="24"/>
                <w:highlight w:val="none"/>
                <w:lang w:val="en-US" w:eastAsia="zh-CN"/>
                <w14:textFill>
                  <w14:solidFill>
                    <w14:schemeClr w14:val="tx1"/>
                  </w14:solidFill>
                </w14:textFill>
              </w:rPr>
              <w:t>完全响应得24分</w:t>
            </w:r>
            <w:r>
              <w:rPr>
                <w:rFonts w:hint="eastAsia" w:ascii="宋体" w:hAnsi="宋体" w:eastAsia="宋体" w:cs="宋体"/>
                <w:color w:val="000000" w:themeColor="text1"/>
                <w:sz w:val="24"/>
                <w:szCs w:val="24"/>
                <w:highlight w:val="none"/>
                <w:lang w:val="zh-CN" w:eastAsia="zh-CN"/>
                <w14:textFill>
                  <w14:solidFill>
                    <w14:schemeClr w14:val="tx1"/>
                  </w14:solidFill>
                </w14:textFill>
              </w:rPr>
              <w:t>。</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服务方案可行性</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1.服务方案科学，严谨，可行性高得12 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2.服务方案科学，严谨，可行性一般得6分；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3.服务方案科学，严谨，可行性差得 0分。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（备注：提供设备配置清单或体现供货能力的相关证明材料，如相关认证、技术说明书或有效检验报告等证明材料。不提供的不得分。）</w:t>
            </w:r>
          </w:p>
        </w:tc>
        <w:tc>
          <w:tcPr>
            <w:tcW w:w="996" w:type="dxa"/>
            <w:vMerge w:val="restart"/>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商务响应情况</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根据供应商的响应文件的响应程度进行评审。</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响应文件的响应符合用户需求书的商务要求，得8分；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响应文件部分响应用户需求书的商务要求，得4分；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响应文件的响应较差或无，得0分。</w:t>
            </w:r>
          </w:p>
        </w:tc>
        <w:tc>
          <w:tcPr>
            <w:tcW w:w="996" w:type="dxa"/>
            <w:vMerge w:val="continue"/>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666"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173"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项目业绩</w:t>
            </w:r>
          </w:p>
        </w:tc>
        <w:tc>
          <w:tcPr>
            <w:tcW w:w="736" w:type="dxa"/>
            <w:shd w:val="clear" w:color="000000" w:fill="auto"/>
            <w:noWrap w:val="0"/>
            <w:vAlign w:val="center"/>
          </w:tcPr>
          <w:p>
            <w:pPr>
              <w:keepNext w:val="0"/>
              <w:keepLines w:val="0"/>
              <w:pageBreakBefore w:val="0"/>
              <w:kinsoku/>
              <w:topLinePunct w:val="0"/>
              <w:bidi w:val="0"/>
              <w:spacing w:line="500" w:lineRule="exac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c>
          <w:tcPr>
            <w:tcW w:w="5988" w:type="dxa"/>
            <w:shd w:val="clear" w:color="000000" w:fill="auto"/>
            <w:noWrap w:val="0"/>
            <w:vAlign w:val="center"/>
          </w:tcPr>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2020年至今承接同类项目业绩（应同时满足以下条件： ①以投标人名义签订；② 合同标的为本项目同类设备），每提供1份得2分，本小项满分10分。</w:t>
            </w:r>
          </w:p>
          <w:p>
            <w:pPr>
              <w:keepNext w:val="0"/>
              <w:keepLines w:val="0"/>
              <w:pageBreakBefore w:val="0"/>
              <w:kinsoku/>
              <w:topLinePunct w:val="0"/>
              <w:bidi w:val="0"/>
              <w:spacing w:line="5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（注：响应文件中提供合同复印件并加盖公章，未提供或所提供资料模糊不清的不得分。）</w:t>
            </w:r>
          </w:p>
        </w:tc>
        <w:tc>
          <w:tcPr>
            <w:tcW w:w="996" w:type="dxa"/>
            <w:shd w:val="clear" w:color="000000" w:fill="auto"/>
            <w:noWrap w:val="0"/>
            <w:vAlign w:val="center"/>
          </w:tcPr>
          <w:p>
            <w:pP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839" w:type="dxa"/>
            <w:gridSpan w:val="2"/>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合计</w:t>
            </w:r>
          </w:p>
        </w:tc>
        <w:tc>
          <w:tcPr>
            <w:tcW w:w="736" w:type="dxa"/>
            <w:shd w:val="clear" w:color="000000" w:fill="auto"/>
            <w:noWrap w:val="0"/>
            <w:vAlign w:val="center"/>
          </w:tcPr>
          <w:p>
            <w:pPr>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70</w:t>
            </w:r>
          </w:p>
        </w:tc>
        <w:tc>
          <w:tcPr>
            <w:tcW w:w="5988" w:type="dxa"/>
            <w:shd w:val="clear" w:color="000000" w:fill="auto"/>
            <w:noWrap w:val="0"/>
            <w:vAlign w:val="center"/>
          </w:tcPr>
          <w:p>
            <w:pPr>
              <w:jc w:val="center"/>
              <w:rPr>
                <w:rFonts w:ascii="仿宋" w:hAnsi="仿宋" w:eastAsia="仿宋" w:cs="仿宋"/>
                <w:b/>
                <w:color w:val="000000"/>
                <w:sz w:val="24"/>
              </w:rPr>
            </w:pPr>
            <w:r>
              <w:rPr>
                <w:rFonts w:hint="eastAsia" w:ascii="仿宋" w:hAnsi="仿宋" w:eastAsia="仿宋" w:cs="仿宋"/>
                <w:b/>
                <w:color w:val="000000"/>
                <w:sz w:val="24"/>
              </w:rPr>
              <w:t>得分合计</w:t>
            </w:r>
          </w:p>
        </w:tc>
        <w:tc>
          <w:tcPr>
            <w:tcW w:w="996" w:type="dxa"/>
            <w:shd w:val="clear" w:color="000000" w:fill="auto"/>
            <w:noWrap w:val="0"/>
            <w:vAlign w:val="center"/>
          </w:tcPr>
          <w:p>
            <w:pPr>
              <w:rPr>
                <w:rFonts w:ascii="仿宋" w:hAnsi="仿宋" w:eastAsia="仿宋" w:cs="仿宋"/>
                <w:color w:val="000000"/>
                <w:sz w:val="24"/>
              </w:rPr>
            </w:pPr>
          </w:p>
        </w:tc>
      </w:tr>
    </w:tbl>
    <w:p>
      <w:pPr>
        <w:pStyle w:val="26"/>
        <w:rPr>
          <w:rFonts w:hint="eastAsia"/>
        </w:rPr>
      </w:pPr>
    </w:p>
    <w:p>
      <w:pPr>
        <w:pStyle w:val="26"/>
        <w:rPr>
          <w:rFonts w:hint="eastAsia"/>
        </w:rPr>
        <w:sectPr>
          <w:headerReference r:id="rId4" w:type="default"/>
          <w:footerReference r:id="rId5" w:type="default"/>
          <w:pgSz w:w="11907" w:h="16840"/>
          <w:pgMar w:top="1417" w:right="1134" w:bottom="1417" w:left="1134" w:header="567" w:footer="748" w:gutter="0"/>
          <w:cols w:space="0" w:num="1"/>
          <w:rtlGutter w:val="0"/>
          <w:docGrid w:linePitch="312" w:charSpace="0"/>
        </w:sectPr>
      </w:pPr>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numPr>
          <w:ilvl w:val="0"/>
          <w:numId w:val="3"/>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10"/>
        <w:jc w:val="both"/>
        <w:rPr>
          <w:rFonts w:hint="eastAsia" w:hAnsi="宋体"/>
          <w:b/>
          <w:color w:val="auto"/>
          <w:sz w:val="96"/>
          <w:szCs w:val="96"/>
          <w:lang w:val="en-US" w:eastAsia="zh-CN"/>
        </w:rPr>
      </w:pPr>
    </w:p>
    <w:p>
      <w:pPr>
        <w:pStyle w:val="10"/>
        <w:jc w:val="center"/>
        <w:rPr>
          <w:rFonts w:hint="eastAsia" w:hAnsi="宋体"/>
          <w:b/>
          <w:color w:val="auto"/>
          <w:sz w:val="96"/>
          <w:szCs w:val="96"/>
          <w:lang w:val="en-US" w:eastAsia="zh-CN"/>
        </w:rPr>
      </w:pPr>
    </w:p>
    <w:p>
      <w:pPr>
        <w:pStyle w:val="10"/>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10"/>
        <w:jc w:val="center"/>
        <w:rPr>
          <w:rFonts w:hAnsi="宋体"/>
          <w:b/>
          <w:color w:val="auto"/>
          <w:sz w:val="28"/>
          <w:szCs w:val="28"/>
        </w:rPr>
      </w:pPr>
    </w:p>
    <w:p>
      <w:pPr>
        <w:pStyle w:val="10"/>
        <w:jc w:val="both"/>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jc w:val="both"/>
        <w:rPr>
          <w:rFonts w:hAnsi="宋体"/>
          <w:b/>
          <w:color w:val="auto"/>
          <w:sz w:val="28"/>
          <w:szCs w:val="28"/>
        </w:rPr>
      </w:pPr>
    </w:p>
    <w:p>
      <w:pPr>
        <w:pStyle w:val="10"/>
        <w:jc w:val="center"/>
        <w:rPr>
          <w:rFonts w:hAnsi="宋体"/>
          <w:b/>
          <w:color w:val="auto"/>
          <w:sz w:val="28"/>
          <w:szCs w:val="28"/>
        </w:rPr>
      </w:pPr>
    </w:p>
    <w:p>
      <w:pPr>
        <w:pStyle w:val="10"/>
        <w:jc w:val="center"/>
        <w:rPr>
          <w:rFonts w:hAnsi="宋体"/>
          <w:b/>
          <w:color w:val="auto"/>
          <w:sz w:val="28"/>
          <w:szCs w:val="28"/>
        </w:rPr>
      </w:pPr>
    </w:p>
    <w:p>
      <w:pPr>
        <w:pStyle w:val="10"/>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9"/>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ind w:firstLine="843" w:firstLineChars="300"/>
        <w:rPr>
          <w:rFonts w:hAnsi="宋体"/>
          <w:b/>
          <w:color w:val="auto"/>
          <w:sz w:val="28"/>
          <w:szCs w:val="28"/>
        </w:rPr>
      </w:pPr>
    </w:p>
    <w:p>
      <w:pPr>
        <w:pStyle w:val="10"/>
        <w:spacing w:line="360" w:lineRule="auto"/>
        <w:jc w:val="center"/>
        <w:rPr>
          <w:rFonts w:hint="eastAsia" w:hAnsi="宋体"/>
          <w:b/>
          <w:color w:val="auto"/>
          <w:sz w:val="28"/>
          <w:szCs w:val="28"/>
        </w:rPr>
      </w:pPr>
      <w:r>
        <w:rPr>
          <w:rFonts w:hint="eastAsia" w:hAnsi="宋体"/>
          <w:b/>
          <w:color w:val="auto"/>
          <w:sz w:val="28"/>
          <w:szCs w:val="28"/>
        </w:rPr>
        <w:t>供应商名称：</w:t>
      </w:r>
    </w:p>
    <w:p>
      <w:pPr>
        <w:pStyle w:val="10"/>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10"/>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10"/>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23"/>
        <w:rPr>
          <w:rFonts w:hint="eastAsia"/>
          <w:lang w:val="en-US" w:eastAsia="zh-CN"/>
        </w:rPr>
      </w:pPr>
    </w:p>
    <w:p>
      <w:pPr>
        <w:pStyle w:val="23"/>
        <w:rPr>
          <w:rFonts w:hint="eastAsia"/>
          <w:lang w:val="en-US" w:eastAsia="zh-CN"/>
        </w:rPr>
      </w:pPr>
    </w:p>
    <w:p>
      <w:pPr>
        <w:numPr>
          <w:ilvl w:val="0"/>
          <w:numId w:val="0"/>
        </w:numPr>
        <w:bidi w:val="0"/>
        <w:ind w:leftChars="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auto"/>
          <w:sz w:val="24"/>
          <w:szCs w:val="24"/>
          <w:highlight w:val="none"/>
        </w:rPr>
        <w:br w:type="page"/>
      </w:r>
    </w:p>
    <w:p>
      <w:pPr>
        <w:pStyle w:val="7"/>
        <w:rPr>
          <w:rFonts w:hint="eastAsia" w:ascii="宋体" w:hAnsi="宋体" w:eastAsia="宋体" w:cs="宋体"/>
          <w:b/>
          <w:color w:val="000000" w:themeColor="text1"/>
          <w:sz w:val="24"/>
          <w:highlight w:val="none"/>
          <w14:textFill>
            <w14:solidFill>
              <w14:schemeClr w14:val="tx1"/>
            </w14:solidFill>
          </w14:textFill>
        </w:rPr>
      </w:pPr>
      <w:r>
        <w:rPr>
          <w:rFonts w:hint="eastAsia" w:ascii="Arial" w:hAnsi="Arial" w:cs="Arial"/>
          <w:b/>
          <w:bCs/>
        </w:rPr>
        <w:t>技术条款响应表</w:t>
      </w:r>
    </w:p>
    <w:tbl>
      <w:tblPr>
        <w:tblStyle w:val="19"/>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2" w:leftChars="0" w:hanging="422" w:hangingChars="200"/>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序号</w:t>
            </w:r>
          </w:p>
        </w:tc>
        <w:tc>
          <w:tcPr>
            <w:tcW w:w="5911" w:type="dxa"/>
            <w:vAlign w:val="center"/>
          </w:tcPr>
          <w:p>
            <w:pPr>
              <w:pStyle w:val="25"/>
              <w:keepNext w:val="0"/>
              <w:adjustRightInd/>
              <w:spacing w:before="120" w:beforeLines="50" w:after="120" w:afterLines="50" w:line="240" w:lineRule="auto"/>
              <w:textAlignment w:val="auto"/>
              <w:rPr>
                <w:rFonts w:hint="eastAsia" w:ascii="宋体" w:hAnsi="宋体" w:eastAsia="宋体" w:cs="宋体"/>
                <w:b/>
                <w:bCs/>
                <w:color w:val="auto"/>
                <w:kern w:val="0"/>
                <w:sz w:val="21"/>
                <w:szCs w:val="21"/>
                <w:highlight w:val="none"/>
                <w:lang w:val="zh-CN"/>
              </w:rPr>
            </w:pPr>
            <w:r>
              <w:rPr>
                <w:rFonts w:hint="eastAsia" w:ascii="宋体" w:hAnsi="宋体" w:cs="宋体"/>
                <w:b/>
                <w:bCs/>
                <w:snapToGrid/>
                <w:color w:val="auto"/>
                <w:spacing w:val="0"/>
                <w:sz w:val="21"/>
                <w:szCs w:val="21"/>
                <w:highlight w:val="none"/>
                <w:lang w:val="en-US" w:eastAsia="zh-CN"/>
              </w:rPr>
              <w:t>谈判</w:t>
            </w:r>
            <w:r>
              <w:rPr>
                <w:rFonts w:hint="eastAsia" w:ascii="宋体" w:hAnsi="宋体" w:eastAsia="宋体" w:cs="宋体"/>
                <w:b/>
                <w:bCs/>
                <w:snapToGrid/>
                <w:color w:val="auto"/>
                <w:spacing w:val="0"/>
                <w:sz w:val="21"/>
                <w:szCs w:val="21"/>
                <w:highlight w:val="none"/>
                <w:lang w:val="en-US" w:eastAsia="zh-CN"/>
              </w:rPr>
              <w:t>文件要求</w:t>
            </w:r>
          </w:p>
        </w:tc>
        <w:tc>
          <w:tcPr>
            <w:tcW w:w="1410"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报价人应答</w:t>
            </w:r>
          </w:p>
        </w:tc>
        <w:tc>
          <w:tcPr>
            <w:tcW w:w="1582"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响应或差异情况说明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rPr>
          <w:rFonts w:hint="eastAsia" w:ascii="宋体" w:hAnsi="宋体" w:eastAsia="宋体" w:cs="宋体"/>
          <w:b/>
          <w:color w:val="000000" w:themeColor="text1"/>
          <w:sz w:val="24"/>
          <w:highlight w:val="none"/>
          <w14:textFill>
            <w14:solidFill>
              <w14:schemeClr w14:val="tx1"/>
            </w14:solidFill>
          </w14:textFill>
        </w:rPr>
      </w:pPr>
    </w:p>
    <w:p>
      <w:pPr>
        <w:pStyle w:val="7"/>
        <w:rPr>
          <w:rFonts w:hint="eastAsia"/>
        </w:rPr>
      </w:pPr>
    </w:p>
    <w:p>
      <w:pPr>
        <w:pStyle w:val="7"/>
        <w:rPr>
          <w:rFonts w:hint="eastAsia" w:ascii="宋体" w:hAnsi="宋体" w:eastAsia="宋体" w:cs="宋体"/>
          <w:b/>
          <w:color w:val="000000" w:themeColor="text1"/>
          <w:sz w:val="24"/>
          <w:highlight w:val="none"/>
          <w14:textFill>
            <w14:solidFill>
              <w14:schemeClr w14:val="tx1"/>
            </w14:solidFill>
          </w14:textFill>
        </w:rPr>
      </w:pPr>
      <w:r>
        <w:rPr>
          <w:rFonts w:hint="eastAsia" w:ascii="Arial" w:hAnsi="Arial" w:cs="Arial"/>
          <w:b/>
          <w:bCs/>
          <w:lang w:val="en-US" w:eastAsia="zh-CN"/>
        </w:rPr>
        <w:t>商务</w:t>
      </w:r>
      <w:r>
        <w:rPr>
          <w:rFonts w:hint="eastAsia" w:ascii="Arial" w:hAnsi="Arial" w:cs="Arial"/>
          <w:b/>
          <w:bCs/>
        </w:rPr>
        <w:t>条款响应表</w:t>
      </w:r>
    </w:p>
    <w:p>
      <w:pPr>
        <w:pStyle w:val="7"/>
        <w:rPr>
          <w:rFonts w:hint="eastAsia"/>
        </w:rPr>
      </w:pPr>
    </w:p>
    <w:tbl>
      <w:tblPr>
        <w:tblStyle w:val="19"/>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5911"/>
        <w:gridCol w:w="141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9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2" w:leftChars="0" w:hanging="422" w:hangingChars="200"/>
              <w:jc w:val="center"/>
              <w:textAlignment w:val="auto"/>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序号</w:t>
            </w:r>
          </w:p>
        </w:tc>
        <w:tc>
          <w:tcPr>
            <w:tcW w:w="5911" w:type="dxa"/>
            <w:vAlign w:val="center"/>
          </w:tcPr>
          <w:p>
            <w:pPr>
              <w:pStyle w:val="25"/>
              <w:keepNext w:val="0"/>
              <w:adjustRightInd/>
              <w:spacing w:before="120" w:beforeLines="50" w:after="120" w:afterLines="50" w:line="240" w:lineRule="auto"/>
              <w:textAlignment w:val="auto"/>
              <w:rPr>
                <w:rFonts w:hint="eastAsia" w:ascii="宋体" w:hAnsi="宋体" w:eastAsia="宋体" w:cs="宋体"/>
                <w:b/>
                <w:bCs/>
                <w:color w:val="auto"/>
                <w:kern w:val="0"/>
                <w:sz w:val="21"/>
                <w:szCs w:val="21"/>
                <w:highlight w:val="none"/>
                <w:lang w:val="zh-CN"/>
              </w:rPr>
            </w:pPr>
            <w:r>
              <w:rPr>
                <w:rFonts w:hint="eastAsia" w:ascii="宋体" w:hAnsi="宋体" w:cs="宋体"/>
                <w:b/>
                <w:bCs/>
                <w:snapToGrid/>
                <w:color w:val="auto"/>
                <w:spacing w:val="0"/>
                <w:sz w:val="21"/>
                <w:szCs w:val="21"/>
                <w:highlight w:val="none"/>
                <w:lang w:val="en-US" w:eastAsia="zh-CN"/>
              </w:rPr>
              <w:t>谈判</w:t>
            </w:r>
            <w:r>
              <w:rPr>
                <w:rFonts w:hint="eastAsia" w:ascii="宋体" w:hAnsi="宋体" w:eastAsia="宋体" w:cs="宋体"/>
                <w:b/>
                <w:bCs/>
                <w:snapToGrid/>
                <w:color w:val="auto"/>
                <w:spacing w:val="0"/>
                <w:sz w:val="21"/>
                <w:szCs w:val="21"/>
                <w:highlight w:val="none"/>
                <w:lang w:val="en-US" w:eastAsia="zh-CN"/>
              </w:rPr>
              <w:t>文件要求</w:t>
            </w:r>
          </w:p>
        </w:tc>
        <w:tc>
          <w:tcPr>
            <w:tcW w:w="1410"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报价人应答</w:t>
            </w:r>
          </w:p>
        </w:tc>
        <w:tc>
          <w:tcPr>
            <w:tcW w:w="1582" w:type="dxa"/>
            <w:vAlign w:val="center"/>
          </w:tcPr>
          <w:p>
            <w:pPr>
              <w:spacing w:before="120" w:beforeLines="50" w:after="120" w:afterLines="50"/>
              <w:jc w:val="center"/>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szCs w:val="21"/>
                <w:highlight w:val="none"/>
              </w:rPr>
              <w:t>响应或差异情况说明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95" w:type="dxa"/>
            <w:vAlign w:val="center"/>
          </w:tcPr>
          <w:p>
            <w:pPr>
              <w:pStyle w:val="24"/>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p>
        </w:tc>
        <w:tc>
          <w:tcPr>
            <w:tcW w:w="5911" w:type="dxa"/>
            <w:vAlign w:val="top"/>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210" w:leftChars="100" w:firstLine="0" w:firstLineChars="0"/>
              <w:jc w:val="both"/>
              <w:textAlignment w:val="auto"/>
              <w:rPr>
                <w:rFonts w:hint="eastAsia" w:ascii="宋体" w:hAnsi="宋体" w:cs="宋体"/>
                <w:b w:val="0"/>
                <w:bCs w:val="0"/>
                <w:color w:val="auto"/>
                <w:kern w:val="0"/>
                <w:sz w:val="21"/>
                <w:szCs w:val="21"/>
                <w:highlight w:val="none"/>
                <w:lang w:val="zh-CN" w:eastAsia="zh-CN"/>
              </w:rPr>
            </w:pPr>
          </w:p>
        </w:tc>
        <w:tc>
          <w:tcPr>
            <w:tcW w:w="1410"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582" w:type="dxa"/>
            <w:vAlign w:val="center"/>
          </w:tcPr>
          <w:p>
            <w:pPr>
              <w:pStyle w:val="24"/>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bl>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10"/>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tbl>
      <w:tblPr>
        <w:tblStyle w:val="18"/>
        <w:tblpPr w:leftFromText="180" w:rightFromText="180" w:vertAnchor="text" w:horzAnchor="page" w:tblpXSpec="center" w:tblpY="205"/>
        <w:tblOverlap w:val="never"/>
        <w:tblW w:w="47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3787"/>
        <w:gridCol w:w="1673"/>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337" w:type="dxa"/>
            <w:vAlign w:val="center"/>
          </w:tcPr>
          <w:p>
            <w:pPr>
              <w:adjustRightInd w:val="0"/>
              <w:snapToGrid w:val="0"/>
              <w:jc w:val="center"/>
              <w:rPr>
                <w:rFonts w:hint="default" w:ascii="宋体" w:hAnsi="宋体" w:eastAsia="宋体" w:cs="宋体"/>
                <w:b/>
                <w:bCs/>
                <w:color w:val="auto"/>
                <w:sz w:val="26"/>
                <w:szCs w:val="26"/>
                <w:lang w:val="en-US" w:eastAsia="zh-CN"/>
              </w:rPr>
            </w:pPr>
            <w:r>
              <w:rPr>
                <w:rFonts w:hint="eastAsia" w:ascii="宋体" w:hAnsi="宋体" w:eastAsia="宋体" w:cs="宋体"/>
                <w:b/>
                <w:color w:val="auto"/>
                <w:szCs w:val="21"/>
                <w:highlight w:val="none"/>
              </w:rPr>
              <w:t>序号</w:t>
            </w:r>
          </w:p>
        </w:tc>
        <w:tc>
          <w:tcPr>
            <w:tcW w:w="3787" w:type="dxa"/>
            <w:vAlign w:val="center"/>
          </w:tcPr>
          <w:p>
            <w:pPr>
              <w:pStyle w:val="25"/>
              <w:keepNext w:val="0"/>
              <w:spacing w:before="0" w:after="0" w:line="240" w:lineRule="auto"/>
              <w:rPr>
                <w:rFonts w:hint="eastAsia" w:ascii="宋体" w:hAnsi="宋体" w:eastAsia="宋体" w:cs="宋体"/>
                <w:b/>
                <w:bCs/>
                <w:color w:val="auto"/>
                <w:sz w:val="26"/>
                <w:szCs w:val="26"/>
              </w:rPr>
            </w:pPr>
            <w:r>
              <w:rPr>
                <w:rFonts w:hint="eastAsia" w:ascii="宋体" w:hAnsi="宋体" w:eastAsia="宋体" w:cs="宋体"/>
                <w:b/>
                <w:color w:val="auto"/>
                <w:spacing w:val="0"/>
                <w:kern w:val="2"/>
                <w:sz w:val="21"/>
                <w:szCs w:val="21"/>
                <w:highlight w:val="none"/>
              </w:rPr>
              <w:t>项目名称</w:t>
            </w:r>
          </w:p>
        </w:tc>
        <w:tc>
          <w:tcPr>
            <w:tcW w:w="1673" w:type="dxa"/>
            <w:vAlign w:val="center"/>
          </w:tcPr>
          <w:p>
            <w:pPr>
              <w:adjustRightInd w:val="0"/>
              <w:snapToGrid w:val="0"/>
              <w:jc w:val="center"/>
              <w:rPr>
                <w:rFonts w:hint="eastAsia" w:ascii="宋体" w:hAnsi="宋体" w:eastAsia="宋体" w:cs="宋体"/>
                <w:b/>
                <w:bCs/>
                <w:color w:val="auto"/>
                <w:sz w:val="26"/>
                <w:szCs w:val="26"/>
              </w:rPr>
            </w:pPr>
            <w:r>
              <w:rPr>
                <w:rFonts w:hint="eastAsia" w:ascii="宋体" w:hAnsi="宋体" w:eastAsia="宋体" w:cs="宋体"/>
                <w:b/>
                <w:color w:val="auto"/>
                <w:szCs w:val="21"/>
                <w:highlight w:val="none"/>
              </w:rPr>
              <w:t>报价</w:t>
            </w:r>
          </w:p>
        </w:tc>
        <w:tc>
          <w:tcPr>
            <w:tcW w:w="2061" w:type="dxa"/>
            <w:vAlign w:val="center"/>
          </w:tcPr>
          <w:p>
            <w:pPr>
              <w:adjustRightInd w:val="0"/>
              <w:snapToGrid w:val="0"/>
              <w:jc w:val="center"/>
              <w:rPr>
                <w:rFonts w:hint="eastAsia" w:ascii="宋体" w:hAnsi="宋体" w:eastAsia="宋体" w:cs="宋体"/>
                <w:b/>
                <w:bCs/>
                <w:color w:val="auto"/>
                <w:sz w:val="26"/>
                <w:szCs w:val="26"/>
              </w:rPr>
            </w:pPr>
            <w:r>
              <w:rPr>
                <w:rFonts w:hint="eastAsia" w:ascii="宋体" w:hAnsi="宋体" w:eastAsia="宋体" w:cs="宋体"/>
                <w:b/>
                <w:color w:val="auto"/>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7" w:type="dxa"/>
            <w:vAlign w:val="center"/>
          </w:tcPr>
          <w:p>
            <w:pPr>
              <w:spacing w:line="560" w:lineRule="exact"/>
              <w:jc w:val="center"/>
              <w:rPr>
                <w:rFonts w:hint="eastAsia" w:ascii="宋体" w:hAnsi="宋体" w:eastAsia="宋体" w:cs="宋体"/>
                <w:b/>
                <w:color w:val="auto"/>
                <w:sz w:val="26"/>
                <w:szCs w:val="26"/>
              </w:rPr>
            </w:pPr>
          </w:p>
        </w:tc>
        <w:tc>
          <w:tcPr>
            <w:tcW w:w="3787" w:type="dxa"/>
            <w:vAlign w:val="center"/>
          </w:tcPr>
          <w:p>
            <w:pPr>
              <w:spacing w:line="560" w:lineRule="exact"/>
              <w:jc w:val="center"/>
              <w:rPr>
                <w:rFonts w:hint="eastAsia" w:ascii="宋体" w:hAnsi="宋体" w:eastAsia="宋体" w:cs="宋体"/>
                <w:color w:val="auto"/>
                <w:sz w:val="26"/>
                <w:szCs w:val="26"/>
              </w:rPr>
            </w:pPr>
          </w:p>
        </w:tc>
        <w:tc>
          <w:tcPr>
            <w:tcW w:w="1673" w:type="dxa"/>
            <w:vAlign w:val="center"/>
          </w:tcPr>
          <w:p>
            <w:pPr>
              <w:spacing w:line="560" w:lineRule="exact"/>
              <w:jc w:val="center"/>
              <w:rPr>
                <w:rFonts w:hint="eastAsia" w:ascii="宋体" w:hAnsi="宋体" w:eastAsia="宋体" w:cs="宋体"/>
                <w:color w:val="auto"/>
                <w:sz w:val="26"/>
                <w:szCs w:val="26"/>
              </w:rPr>
            </w:pPr>
          </w:p>
        </w:tc>
        <w:tc>
          <w:tcPr>
            <w:tcW w:w="2061" w:type="dxa"/>
            <w:vAlign w:val="center"/>
          </w:tcPr>
          <w:p>
            <w:pPr>
              <w:spacing w:line="560" w:lineRule="exact"/>
              <w:jc w:val="center"/>
              <w:rPr>
                <w:rFonts w:hint="eastAsia" w:ascii="宋体" w:hAnsi="宋体" w:eastAsia="宋体" w:cs="宋体"/>
                <w:color w:val="auto"/>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337" w:type="dxa"/>
            <w:vAlign w:val="center"/>
          </w:tcPr>
          <w:p>
            <w:pPr>
              <w:adjustRightInd w:val="0"/>
              <w:snapToGrid w:val="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rPr>
              <w:t>报价总价</w:t>
            </w:r>
          </w:p>
        </w:tc>
        <w:tc>
          <w:tcPr>
            <w:tcW w:w="7521" w:type="dxa"/>
            <w:gridSpan w:val="3"/>
            <w:vAlign w:val="center"/>
          </w:tcPr>
          <w:p>
            <w:pPr>
              <w:spacing w:line="560" w:lineRule="exact"/>
              <w:jc w:val="center"/>
              <w:rPr>
                <w:rFonts w:hint="eastAsia" w:ascii="宋体" w:hAnsi="宋体" w:eastAsia="宋体" w:cs="宋体"/>
                <w:color w:val="auto"/>
                <w:sz w:val="26"/>
                <w:szCs w:val="26"/>
              </w:rPr>
            </w:pPr>
            <w:r>
              <w:rPr>
                <w:rFonts w:hint="eastAsia" w:ascii="宋体" w:hAnsi="宋体" w:eastAsia="宋体" w:cs="宋体"/>
                <w:b/>
                <w:bCs/>
                <w:color w:val="auto"/>
                <w:szCs w:val="21"/>
                <w:highlight w:val="none"/>
              </w:rPr>
              <w:t>大写：                          （小写：￥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元）</w:t>
            </w:r>
          </w:p>
        </w:tc>
      </w:tr>
    </w:tbl>
    <w:p>
      <w:pPr>
        <w:pStyle w:val="7"/>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7"/>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7"/>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lang w:val="en-US" w:eastAsia="zh-CN"/>
        </w:rPr>
        <w:t>报价时间：    年   月   日</w:t>
      </w:r>
      <w:r>
        <w:rPr>
          <w:rFonts w:hint="eastAsia" w:ascii="宋体" w:hAnsi="宋体" w:eastAsia="宋体" w:cs="宋体"/>
          <w:color w:val="FF0000"/>
          <w:sz w:val="24"/>
          <w:szCs w:val="24"/>
          <w:highlight w:val="none"/>
        </w:rPr>
        <w:br w:type="page"/>
      </w:r>
    </w:p>
    <w:p>
      <w:pPr>
        <w:pStyle w:val="10"/>
        <w:keepNext w:val="0"/>
        <w:keepLines w:val="0"/>
        <w:pageBreakBefore w:val="0"/>
        <w:widowControl w:val="0"/>
        <w:numPr>
          <w:ilvl w:val="0"/>
          <w:numId w:val="4"/>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10"/>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7"/>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6"/>
        <w:tabs>
          <w:tab w:val="center" w:pos="4450"/>
          <w:tab w:val="left" w:pos="6396"/>
        </w:tabs>
        <w:jc w:val="center"/>
        <w:rPr>
          <w:rFonts w:hint="eastAsia" w:ascii="宋体" w:hAnsi="宋体" w:eastAsia="宋体" w:cs="宋体"/>
        </w:rPr>
      </w:pPr>
    </w:p>
    <w:p>
      <w:pPr>
        <w:pStyle w:val="6"/>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bookmarkStart w:id="15" w:name="_GoBack"/>
      <w:bookmarkEnd w:id="15"/>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23"/>
        <w:rPr>
          <w:rFonts w:hint="eastAsia" w:ascii="宋体" w:hAnsi="宋体" w:eastAsia="宋体" w:cs="宋体"/>
          <w:b w:val="0"/>
          <w:bCs/>
          <w:color w:val="auto"/>
          <w:sz w:val="24"/>
          <w:szCs w:val="24"/>
          <w:highlight w:val="none"/>
        </w:rPr>
      </w:pPr>
    </w:p>
    <w:p>
      <w:pPr>
        <w:pStyle w:val="23"/>
        <w:rPr>
          <w:rFonts w:hint="eastAsia" w:ascii="宋体" w:hAnsi="宋体" w:eastAsia="宋体" w:cs="宋体"/>
          <w:b w:val="0"/>
          <w:bCs/>
          <w:color w:val="auto"/>
          <w:sz w:val="24"/>
          <w:szCs w:val="24"/>
          <w:highlight w:val="none"/>
        </w:rPr>
      </w:pPr>
    </w:p>
    <w:p>
      <w:pPr>
        <w:pStyle w:val="23"/>
        <w:ind w:left="0" w:leftChars="0" w:firstLine="0" w:firstLineChars="0"/>
        <w:rPr>
          <w:rFonts w:hint="eastAsia" w:ascii="宋体" w:hAnsi="宋体" w:eastAsia="宋体" w:cs="宋体"/>
          <w:b w:val="0"/>
          <w:bCs/>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0"/>
        </w:numPr>
        <w:ind w:leftChars="0"/>
        <w:rPr>
          <w:rFonts w:hint="eastAsia" w:ascii="宋体" w:hAnsi="宋体" w:eastAsia="宋体" w:cs="宋体"/>
          <w:color w:val="auto"/>
          <w:sz w:val="24"/>
          <w:szCs w:val="24"/>
          <w:highlight w:val="none"/>
        </w:rPr>
        <w:sectPr>
          <w:pgSz w:w="11907" w:h="16840"/>
          <w:pgMar w:top="1418" w:right="1418" w:bottom="1418" w:left="1418" w:header="567" w:footer="748" w:gutter="0"/>
          <w:cols w:space="720" w:num="1"/>
          <w:docGrid w:linePitch="312" w:charSpace="0"/>
        </w:sectPr>
      </w:pP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bookmarkStart w:id="6" w:name="_Toc28061"/>
      <w:bookmarkStart w:id="7" w:name="_Toc254949770"/>
      <w:bookmarkStart w:id="8" w:name="_Toc79052261"/>
      <w:bookmarkStart w:id="9" w:name="_Toc28958658"/>
      <w:bookmarkStart w:id="10" w:name="_Toc55999941"/>
      <w:bookmarkStart w:id="11" w:name="_Toc62034106"/>
      <w:bookmarkStart w:id="12" w:name="_Toc401823225"/>
      <w:bookmarkStart w:id="13" w:name="_Toc278621010"/>
      <w:bookmarkStart w:id="14" w:name="_Toc282854490"/>
      <w:r>
        <w:rPr>
          <w:rFonts w:hint="eastAsia" w:ascii="宋体" w:hAnsi="宋体" w:eastAsia="宋体" w:cs="宋体"/>
          <w:b w:val="0"/>
          <w:bCs/>
          <w:color w:val="auto"/>
          <w:sz w:val="24"/>
          <w:szCs w:val="24"/>
          <w:highlight w:val="none"/>
          <w:lang w:val="en-US" w:eastAsia="zh-CN"/>
        </w:rPr>
        <w:t>厂家资质证件（包括但不限于营业执照、医疗器械生产许可证等）</w: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服务商资质证件（包括但不限于营业执照、医疗器械经营许可证、备案等</w: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售后服务承诺函</w:t>
      </w:r>
    </w:p>
    <w:bookmarkEnd w:id="6"/>
    <w:bookmarkEnd w:id="7"/>
    <w:bookmarkEnd w:id="8"/>
    <w:bookmarkEnd w:id="9"/>
    <w:bookmarkEnd w:id="10"/>
    <w:bookmarkEnd w:id="11"/>
    <w:bookmarkEnd w:id="12"/>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项目实施（服务）方案（自拟）</w:t>
      </w:r>
    </w:p>
    <w:bookmarkEnd w:id="13"/>
    <w:bookmarkEnd w:id="14"/>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近三年同类项目业绩（自拟）</w:t>
      </w:r>
    </w:p>
    <w:p>
      <w:pPr>
        <w:pStyle w:val="10"/>
        <w:keepNext w:val="0"/>
        <w:keepLines w:val="0"/>
        <w:pageBreakBefore w:val="0"/>
        <w:widowControl w:val="0"/>
        <w:numPr>
          <w:ilvl w:val="0"/>
          <w:numId w:val="4"/>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其他</w:t>
      </w:r>
      <w:r>
        <w:rPr>
          <w:rFonts w:hint="eastAsia" w:ascii="宋体" w:hAnsi="宋体" w:eastAsia="宋体" w:cs="宋体"/>
          <w:color w:val="auto"/>
          <w:kern w:val="0"/>
          <w:sz w:val="24"/>
          <w:szCs w:val="24"/>
          <w:highlight w:val="none"/>
          <w:lang w:val="en-US" w:eastAsia="zh-CN" w:bidi="ar-SA"/>
        </w:rPr>
        <w:t>相应证明材料</w:t>
      </w:r>
    </w:p>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roman"/>
    <w:pitch w:val="default"/>
    <w:sig w:usb0="00000003" w:usb1="082E0000" w:usb2="00000016" w:usb3="00000000" w:csb0="00100001" w:csb1="00000000"/>
  </w:font>
  <w:font w:name="华文宋体">
    <w:panose1 w:val="02010600040101010101"/>
    <w:charset w:val="86"/>
    <w:family w:val="auto"/>
    <w:pitch w:val="default"/>
    <w:sig w:usb0="00000287" w:usb1="080F0000" w:usb2="00000000" w:usb3="00000000" w:csb0="0004009F" w:csb1="DFD70000"/>
  </w:font>
  <w:font w:name="'宋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47</w:t>
    </w:r>
    <w:r>
      <w:fldChar w:fldCharType="end"/>
    </w:r>
  </w:p>
  <w:p>
    <w:pPr>
      <w:pStyle w:val="11"/>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1DDA0179"/>
    <w:multiLevelType w:val="singleLevel"/>
    <w:tmpl w:val="1DDA0179"/>
    <w:lvl w:ilvl="0" w:tentative="0">
      <w:start w:val="6"/>
      <w:numFmt w:val="chineseCounting"/>
      <w:suff w:val="nothing"/>
      <w:lvlText w:val="%1、"/>
      <w:lvlJc w:val="left"/>
      <w:rPr>
        <w:rFonts w:hint="eastAsia"/>
      </w:rPr>
    </w:lvl>
  </w:abstractNum>
  <w:abstractNum w:abstractNumId="2">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3">
    <w:nsid w:val="2992112B"/>
    <w:multiLevelType w:val="multilevel"/>
    <w:tmpl w:val="2992112B"/>
    <w:lvl w:ilvl="0" w:tentative="0">
      <w:start w:val="1"/>
      <w:numFmt w:val="decimal"/>
      <w:lvlText w:val="%1、"/>
      <w:lvlJc w:val="left"/>
      <w:pPr>
        <w:ind w:left="1140" w:hanging="360"/>
      </w:pPr>
      <w:rPr>
        <w:rFonts w:hint="default"/>
      </w:r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4">
    <w:nsid w:val="6FEF5E58"/>
    <w:multiLevelType w:val="singleLevel"/>
    <w:tmpl w:val="6FEF5E58"/>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3F32450"/>
    <w:rsid w:val="06AA18EE"/>
    <w:rsid w:val="0824491C"/>
    <w:rsid w:val="13F32450"/>
    <w:rsid w:val="174F240F"/>
    <w:rsid w:val="19BD0BCC"/>
    <w:rsid w:val="1A7850C9"/>
    <w:rsid w:val="21946261"/>
    <w:rsid w:val="26E9186E"/>
    <w:rsid w:val="2F5F117C"/>
    <w:rsid w:val="2FDE7907"/>
    <w:rsid w:val="37C70014"/>
    <w:rsid w:val="44FC3A76"/>
    <w:rsid w:val="4FF31247"/>
    <w:rsid w:val="57A12EDD"/>
    <w:rsid w:val="62951A17"/>
    <w:rsid w:val="73CD0149"/>
    <w:rsid w:val="73E47796"/>
    <w:rsid w:val="75487EFE"/>
    <w:rsid w:val="78866507"/>
    <w:rsid w:val="79587DE9"/>
    <w:rsid w:val="79675089"/>
    <w:rsid w:val="7FA66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5"/>
    <w:qFormat/>
    <w:uiPriority w:val="0"/>
    <w:pPr>
      <w:keepNext/>
      <w:keepLines/>
      <w:widowControl/>
      <w:spacing w:before="260" w:after="260" w:line="413"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before="120" w:beforeLines="0" w:after="120" w:afterLines="0" w:line="360" w:lineRule="auto"/>
      <w:ind w:firstLine="582" w:firstLineChars="200"/>
    </w:pPr>
    <w:rPr>
      <w:rFonts w:eastAsia="仿宋_GB2312" w:cs="宋体"/>
      <w:kern w:val="10"/>
      <w:sz w:val="28"/>
      <w:szCs w:val="28"/>
    </w:rPr>
  </w:style>
  <w:style w:type="paragraph" w:styleId="5">
    <w:name w:val="Normal Indent"/>
    <w:basedOn w:val="1"/>
    <w:qFormat/>
    <w:uiPriority w:val="0"/>
    <w:pPr>
      <w:spacing w:line="360" w:lineRule="auto"/>
      <w:ind w:firstLine="420"/>
    </w:pPr>
    <w:rPr>
      <w:rFonts w:ascii="宋体"/>
    </w:rPr>
  </w:style>
  <w:style w:type="paragraph" w:styleId="7">
    <w:name w:val="Body Text"/>
    <w:basedOn w:val="1"/>
    <w:next w:val="8"/>
    <w:qFormat/>
    <w:uiPriority w:val="0"/>
    <w:pPr>
      <w:spacing w:line="360" w:lineRule="auto"/>
    </w:pPr>
    <w:rPr>
      <w:szCs w:val="20"/>
    </w:rPr>
  </w:style>
  <w:style w:type="paragraph" w:styleId="8">
    <w:name w:val="toc 5"/>
    <w:basedOn w:val="1"/>
    <w:next w:val="1"/>
    <w:qFormat/>
    <w:uiPriority w:val="0"/>
    <w:pPr>
      <w:ind w:left="840"/>
      <w:jc w:val="left"/>
    </w:pPr>
    <w:rPr>
      <w:rFonts w:ascii="Calibri" w:hAnsi="Calibri"/>
      <w:sz w:val="18"/>
      <w:szCs w:val="18"/>
    </w:rPr>
  </w:style>
  <w:style w:type="paragraph" w:styleId="9">
    <w:name w:val="Body Text Indent"/>
    <w:basedOn w:val="1"/>
    <w:qFormat/>
    <w:uiPriority w:val="0"/>
    <w:pPr>
      <w:ind w:firstLine="830" w:firstLineChars="352"/>
    </w:pPr>
    <w:rPr>
      <w:rFonts w:ascii="仿宋_GB2312" w:eastAsia="仿宋_GB2312"/>
      <w:sz w:val="32"/>
      <w:szCs w:val="2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4">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6">
    <w:name w:val="Body Text First Indent"/>
    <w:basedOn w:val="7"/>
    <w:next w:val="1"/>
    <w:qFormat/>
    <w:uiPriority w:val="0"/>
    <w:pPr>
      <w:spacing w:after="120" w:afterLines="0" w:line="240" w:lineRule="auto"/>
      <w:ind w:firstLine="420" w:firstLineChars="100"/>
    </w:pPr>
    <w:rPr>
      <w:szCs w:val="24"/>
    </w:rPr>
  </w:style>
  <w:style w:type="paragraph" w:styleId="17">
    <w:name w:val="Body Text First Indent 2"/>
    <w:basedOn w:val="9"/>
    <w:unhideWhenUsed/>
    <w:qFormat/>
    <w:uiPriority w:val="99"/>
    <w:pPr>
      <w:spacing w:before="100" w:beforeAutospacing="1"/>
      <w:ind w:firstLine="420" w:firstLineChars="200"/>
    </w:pPr>
    <w:rPr>
      <w:color w:val="000000"/>
    </w:rPr>
  </w:style>
  <w:style w:type="table" w:styleId="19">
    <w:name w:val="Table Grid"/>
    <w:basedOn w:val="1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0"/>
    <w:rPr>
      <w:rFonts w:ascii="Tahoma" w:hAnsi="Tahoma" w:eastAsia="宋体"/>
      <w:b/>
      <w:bCs/>
      <w:spacing w:val="10"/>
      <w:sz w:val="24"/>
      <w:lang w:val="en-US" w:eastAsia="zh-CN" w:bidi="ar-SA"/>
    </w:rPr>
  </w:style>
  <w:style w:type="character" w:styleId="22">
    <w:name w:val="page number"/>
    <w:basedOn w:val="20"/>
    <w:qFormat/>
    <w:uiPriority w:val="0"/>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6">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6339</Words>
  <Characters>6627</Characters>
  <Lines>0</Lines>
  <Paragraphs>0</Paragraphs>
  <TotalTime>5</TotalTime>
  <ScaleCrop>false</ScaleCrop>
  <LinksUpToDate>false</LinksUpToDate>
  <CharactersWithSpaces>6875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2022-10-13T03:27:00Z</dcterms:created>
  <dc:creator>Rebecca</dc:creator>
  <cp:lastModifiedBy>Rebecca</cp:lastModifiedBy>
  <dcterms:modified xsi:type="dcterms:W3CDTF">2023-09-21T09:20:21Z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E7BA3A01E01D4BD9B118B4C534D56E56</vt:lpwstr>
  </property>
</Properties>
</file>