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振动频率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≤13Hz，控制精度±15%，可连续调节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振动压力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≤5kPa，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至少分10级可调；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最大</w:t>
      </w:r>
      <w:r>
        <w:rPr>
          <w:rFonts w:hint="eastAsia" w:ascii="仿宋" w:hAnsi="仿宋" w:eastAsia="仿宋" w:cs="仿宋"/>
          <w:sz w:val="24"/>
          <w:szCs w:val="24"/>
        </w:rPr>
        <w:t>定时时间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≥60min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以1min为调节单位</w:t>
      </w:r>
      <w:r>
        <w:rPr>
          <w:rFonts w:hint="eastAsia" w:ascii="仿宋" w:hAnsi="仿宋" w:eastAsia="仿宋" w:cs="仿宋"/>
          <w:sz w:val="24"/>
          <w:szCs w:val="24"/>
        </w:rPr>
        <w:t>，长按可以连续调节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振动压力控制精度：输出值与设置值的误差不超过±0.2</w:t>
      </w:r>
      <w:r>
        <w:rPr>
          <w:rFonts w:hint="eastAsia" w:ascii="仿宋" w:hAnsi="仿宋" w:eastAsia="仿宋" w:cs="仿宋"/>
          <w:sz w:val="24"/>
          <w:szCs w:val="24"/>
        </w:rPr>
        <w:t>kPa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具有中文操作界面，显示屏幕≥4英寸；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具有手持开关，可紧急制动；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背心的设计应避免对胃脘部的振荡而导致损伤；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背心内衬可拆卸清洗消毒；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整机使用年限≥10年；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整机质保≥3年；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配置要求：背心大码中码各2套（含内衬），如有内衬则额外配内衬大码中码各2套，胸带1套，链接气管1套，台车1台。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D71D72"/>
    <w:multiLevelType w:val="singleLevel"/>
    <w:tmpl w:val="49D71D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434A5A43"/>
    <w:rsid w:val="434A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2023-09-13T01:32:00Z</dcterms:created>
  <dc:creator>酸小敏</dc:creator>
  <cp:lastModifiedBy>酸小敏</cp:lastModifiedBy>
  <dcterms:modified xsi:type="dcterms:W3CDTF">2023-09-13T01:32:41Z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D90593DD55494E11B85587751D36E4CC_11</vt:lpwstr>
  </property>
</Properties>
</file>