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kern w:val="28"/>
          <w:sz w:val="44"/>
          <w:szCs w:val="36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采购需求书</w:t>
      </w:r>
      <w:bookmarkStart w:id="0" w:name="_GoBack"/>
      <w:bookmarkEnd w:id="0"/>
    </w:p>
    <w:tbl>
      <w:tblPr>
        <w:tblStyle w:val="7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申请科室</w:t>
            </w:r>
          </w:p>
        </w:tc>
        <w:tc>
          <w:tcPr>
            <w:tcW w:w="713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713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医用恒温箱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预算金额</w:t>
            </w:r>
          </w:p>
        </w:tc>
        <w:tc>
          <w:tcPr>
            <w:tcW w:w="713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数量</w:t>
            </w:r>
          </w:p>
        </w:tc>
        <w:tc>
          <w:tcPr>
            <w:tcW w:w="713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highlight w:val="none"/>
              </w:rPr>
              <w:t>采购要求</w:t>
            </w:r>
          </w:p>
        </w:tc>
        <w:tc>
          <w:tcPr>
            <w:tcW w:w="71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用途：提供温度适中的溶液，为术中冲洗液加热并保温。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设备参数要求：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容积≥100升。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温度控制方式：PT100。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▲温度控制范围：0~100℃。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温度波动（℃）： ±1（@37）。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温度均匀性（℃）： ±2（@37）。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▲工作室尺寸≥518*400*599（mm）。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外形尺寸≥598*690*1229（mm）。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显示界面：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7.0寸触摸屏。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▲电加热钢化玻璃门。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可一屏查询运行历史记录,显示屏可中英文切换。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▲可定值和分段运行，定时范围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999h59min。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▲三级操作界面权限（管理员、实验员、操作员），防止无关人员操作导致试验中断或设备故障。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配带互联 PC 接口，可进行远程操作监控、同时可选手机 APP 控制程序。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配带微电脑温度控制系统（采用 PT100 精准控温）。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标配紫外线杀菌。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内胆均为304镜面不锈钢制作。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▲安全保护：配置漏电流、过电压保护器、具有超温报警、增加温控开关、耐高温。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配置要求：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医用恒温箱主机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隔板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3块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玻璃门钥匙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保险管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电源线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维保要求：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中标供应商须提供设备原厂质保（设备原厂质量保修范围和保修期）至少为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1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合同设备交付时中标供应商应提供合同设备真实有效的生产日期，且保证合同设备的生产日期距交付时的时间差国产设备不超过3个月，进口设备不超过12个月。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E7DF9"/>
    <w:multiLevelType w:val="singleLevel"/>
    <w:tmpl w:val="9B7E7DF9"/>
    <w:lvl w:ilvl="0" w:tentative="0">
      <w:start w:val="4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20A0DEA4"/>
    <w:multiLevelType w:val="singleLevel"/>
    <w:tmpl w:val="20A0DE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D1B0664"/>
    <w:multiLevelType w:val="singleLevel"/>
    <w:tmpl w:val="2D1B066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68CF8F3E"/>
    <w:multiLevelType w:val="singleLevel"/>
    <w:tmpl w:val="68CF8F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00000000"/>
    <w:rsid w:val="05C96416"/>
    <w:rsid w:val="0BFE6C9A"/>
    <w:rsid w:val="406C1789"/>
    <w:rsid w:val="45344D85"/>
    <w:rsid w:val="4B783F5F"/>
    <w:rsid w:val="6AA638F9"/>
    <w:rsid w:val="6B4B6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  <w:szCs w:val="24"/>
    </w:rPr>
  </w:style>
  <w:style w:type="character" w:customStyle="1" w:styleId="12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737</Words>
  <Characters>855</Characters>
  <Lines>7</Lines>
  <Paragraphs>2</Paragraphs>
  <TotalTime>17</TotalTime>
  <ScaleCrop>false</ScaleCrop>
  <LinksUpToDate>false</LinksUpToDate>
  <CharactersWithSpaces>921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2023-09-11T02:14:00Z</dcterms:modified>
  <dc:title>小榄人民医院采购需求书（B类）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CCC4749749994A44B2F8CE697C852BD2_13</vt:lpwstr>
  </property>
</Properties>
</file>