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4"/>
        <w:rPr>
          <w:rFonts w:hint="eastAsia" w:ascii="宋体" w:hAnsi="宋体" w:eastAsia="宋体" w:cs="宋体"/>
          <w:b/>
          <w:color w:val="auto"/>
          <w:sz w:val="36"/>
          <w:szCs w:val="36"/>
          <w:highlight w:val="none"/>
        </w:rPr>
      </w:pPr>
    </w:p>
    <w:p>
      <w:pPr>
        <w:pStyle w:val="5"/>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4"/>
        <w:rPr>
          <w:rFonts w:hint="eastAsia" w:ascii="宋体" w:hAnsi="宋体" w:eastAsia="宋体" w:cs="宋体"/>
          <w:b/>
          <w:color w:val="auto"/>
          <w:sz w:val="36"/>
          <w:szCs w:val="36"/>
          <w:highlight w:val="none"/>
        </w:rPr>
      </w:pPr>
    </w:p>
    <w:p>
      <w:pPr>
        <w:pStyle w:val="5"/>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心脏标志物检测仪采购项目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项目编号：XLYY20230812</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4"/>
        <w:rPr>
          <w:rFonts w:hint="eastAsia" w:ascii="宋体" w:hAnsi="宋体" w:eastAsia="宋体" w:cs="宋体"/>
          <w:b/>
          <w:bCs/>
          <w:color w:val="auto"/>
          <w:sz w:val="36"/>
          <w:szCs w:val="36"/>
          <w:highlight w:val="none"/>
          <w:u w:val="single"/>
        </w:rPr>
      </w:pPr>
    </w:p>
    <w:p>
      <w:pPr>
        <w:pStyle w:val="5"/>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8</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rPr>
      </w:pPr>
    </w:p>
    <w:p>
      <w:pPr>
        <w:spacing w:line="360" w:lineRule="auto"/>
        <w:jc w:val="center"/>
        <w:rPr>
          <w:rFonts w:hint="eastAsia" w:ascii="宋体" w:hAnsi="宋体" w:eastAsia="宋体" w:cs="宋体"/>
          <w:color w:val="auto"/>
          <w:sz w:val="24"/>
          <w:szCs w:val="24"/>
          <w:highlight w:val="none"/>
        </w:rPr>
      </w:pPr>
    </w:p>
    <w:p>
      <w:pPr>
        <w:pStyle w:val="2"/>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1.项目名称：心脏标志物检测仪采购项目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心脏标志物检测仪</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58000.00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份，一正</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预审通过后，采购人以电子邮件方式通知供应商进入下一阶段流程。</w:t>
      </w:r>
    </w:p>
    <w:p>
      <w:pPr>
        <w:pStyle w:val="1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Chars="0" w:right="0" w:rightChars="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2"/>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2"/>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负责相关费用，采购人将不再支付任何费用。</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应该符合《医疗器械经营质量管理规范》和《医疗器械监督管理条例》规定，并结合本项目特性提供有效的医疗器械产品注册/备案证明材料和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的经营许可/备案证明材料。</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本文的“质保期”是指</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标的物经约定的验收机构完成验收之日起算，截止</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人承诺的期限。</w:t>
      </w:r>
    </w:p>
    <w:p>
      <w:pPr>
        <w:numPr>
          <w:numId w:val="0"/>
        </w:numPr>
        <w:spacing w:line="440" w:lineRule="exact"/>
        <w:ind w:leftChars="0"/>
        <w:rPr>
          <w:rFonts w:hint="eastAsia" w:ascii="宋体" w:hAnsi="宋体" w:eastAsia="宋体" w:cs="宋体"/>
          <w:color w:val="000000" w:themeColor="text1"/>
          <w:sz w:val="24"/>
          <w14:textFill>
            <w14:solidFill>
              <w14:schemeClr w14:val="tx1"/>
            </w14:solidFill>
          </w14:textFill>
        </w:rPr>
      </w:pPr>
    </w:p>
    <w:p>
      <w:pPr>
        <w:numPr>
          <w:ilvl w:val="0"/>
          <w:numId w:val="2"/>
        </w:num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基本要求</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检测方法：全自动干式荧光免疫定量技术</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▲检测项目：单个或者多个项目组合上机，并能开展NT-proBNP,D-DIMER,TNT等检测项目。</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检测样品：TNT、NT-proBNP等项目检测试剂可满足全血、血清、血浆三种不同样本类型的检测；D-DIMER检测试剂可满足全血/血浆不同样本类型的检测。</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▲TNT的检测范围需囊括检测区间10-10000pg/mL；N-端脑利钠肽前体的检测范围需囊括检测区间10–30000 pg/mL；D-DIMER的检测范围需囊括检测区间50.00ng/mL –20000.00ng/ mL。</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检测速度：同时检测4种不同的项目，支持原始管、阳普管、子弹头进样；检测速度100测试/小时；TNT首个标本检测时间12分钟。</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检测通道：4通道设计，耗材填充量100T/次，支持不停样上机及更换耗材</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精密度：检测灵敏度pg/ml，检测试剂的批内要求在CV≤10%。</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校准质控：有内置质控管理系统，附带精准温控功能（温控误差≤5%），具有原厂的有注册证的质控品</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样本条码识别：有自动识别功能，激光条码扫描器</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升级模式：可通过SD卡升级，保持版本更新，所需费用由成交单位负责。</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传输方式：RS-232串行通讯端口、4个USB端口、LAN端口、Wi-Fi；蓝牙</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信息化管理：仪器可存储10000个结果，可以用SD卡拓展，可连LIS/HIS系统</w:t>
      </w:r>
    </w:p>
    <w:p>
      <w:pPr>
        <w:pStyle w:val="19"/>
        <w:numPr>
          <w:ilvl w:val="0"/>
          <w:numId w:val="4"/>
        </w:numPr>
        <w:spacing w:line="360" w:lineRule="auto"/>
        <w:ind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操作单元：触摸彩屏操作面板≥10英寸，具有内置热敏打印机，可通过软件连接外置电脑打印机</w:t>
      </w:r>
    </w:p>
    <w:p>
      <w:pPr>
        <w:pStyle w:val="19"/>
        <w:numPr>
          <w:ilvl w:val="0"/>
          <w:numId w:val="4"/>
        </w:numPr>
        <w:spacing w:line="360" w:lineRule="auto"/>
        <w:ind w:firstLine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维护保养：原厂家具备派遣专业的技术人员提供试剂的调试、操作人员培训、维修等服务</w:t>
      </w:r>
    </w:p>
    <w:p>
      <w:pPr>
        <w:pStyle w:val="19"/>
        <w:numPr>
          <w:ilvl w:val="0"/>
          <w:numId w:val="4"/>
        </w:numPr>
        <w:spacing w:line="360" w:lineRule="auto"/>
        <w:ind w:firstLine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质保要求：≥3年</w:t>
      </w:r>
    </w:p>
    <w:p>
      <w:pPr>
        <w:pStyle w:val="19"/>
        <w:numPr>
          <w:ilvl w:val="0"/>
          <w:numId w:val="4"/>
        </w:numPr>
        <w:spacing w:line="360" w:lineRule="auto"/>
        <w:ind w:firstLine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★所有耗材必须在广东省药品电子交易平台交易并且不高于平台的限价。</w:t>
      </w:r>
    </w:p>
    <w:p>
      <w:pPr>
        <w:pStyle w:val="19"/>
        <w:numPr>
          <w:ilvl w:val="0"/>
          <w:numId w:val="4"/>
        </w:numPr>
        <w:spacing w:line="360" w:lineRule="auto"/>
        <w:ind w:firstLine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default" w:ascii="宋体" w:hAnsi="宋体" w:eastAsia="宋体" w:cs="宋体"/>
          <w:color w:val="000000" w:themeColor="text1"/>
          <w:kern w:val="2"/>
          <w:sz w:val="24"/>
          <w:szCs w:val="24"/>
          <w:lang w:val="en-US" w:eastAsia="zh-CN" w:bidi="ar-SA"/>
          <w14:textFill>
            <w14:solidFill>
              <w14:schemeClr w14:val="tx1"/>
            </w14:solidFill>
          </w14:textFill>
        </w:rPr>
        <w:t>所投设备的配套耗材必须有正规国家医保耗材码</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pPr>
        <w:pStyle w:val="19"/>
        <w:numPr>
          <w:ilvl w:val="0"/>
          <w:numId w:val="4"/>
        </w:numPr>
        <w:spacing w:line="360" w:lineRule="auto"/>
        <w:ind w:firstLine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所投设备的配套耗材</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须</w:t>
      </w:r>
      <w:r>
        <w:rPr>
          <w:rFonts w:hint="default" w:ascii="宋体" w:hAnsi="宋体" w:eastAsia="宋体" w:cs="宋体"/>
          <w:color w:val="000000" w:themeColor="text1"/>
          <w:kern w:val="2"/>
          <w:sz w:val="24"/>
          <w:szCs w:val="24"/>
          <w:lang w:val="en-US" w:eastAsia="zh-CN" w:bidi="ar-SA"/>
          <w14:textFill>
            <w14:solidFill>
              <w14:schemeClr w14:val="tx1"/>
            </w14:solidFill>
          </w14:textFill>
        </w:rPr>
        <w:t>纳入广东省和中山市的医保目录库。</w:t>
      </w:r>
    </w:p>
    <w:p>
      <w:pPr>
        <w:pStyle w:val="4"/>
        <w:rPr>
          <w:rFonts w:hint="eastAsia"/>
        </w:rPr>
      </w:pPr>
    </w:p>
    <w:p>
      <w:pPr>
        <w:numPr>
          <w:ilvl w:val="0"/>
          <w:numId w:val="2"/>
        </w:numPr>
        <w:spacing w:line="440" w:lineRule="exac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付款方式</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（2）验收调试合格报告（加盖采购人公章）；</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开具的正式发票（加盖发票专用章）。</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★3.2具体付款方式：本合同分三期支付，第一期：乙方按合同协议时间提供货物，并经协议规定的验收人员书面确认验收合格后，开具全额发票，甲方确认无误后一个月内支付合同总金额的</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5%的款项。第</w:t>
      </w:r>
      <w:r>
        <w:rPr>
          <w:rFonts w:hint="eastAsia" w:ascii="宋体" w:hAnsi="宋体" w:cs="宋体"/>
          <w:color w:val="000000" w:themeColor="text1"/>
          <w:sz w:val="24"/>
          <w:lang w:val="en-US" w:eastAsia="zh-CN"/>
          <w14:textFill>
            <w14:solidFill>
              <w14:schemeClr w14:val="tx1"/>
            </w14:solidFill>
          </w14:textFill>
        </w:rPr>
        <w:t>二</w:t>
      </w:r>
      <w:r>
        <w:rPr>
          <w:rFonts w:hint="eastAsia" w:ascii="宋体" w:hAnsi="宋体" w:eastAsia="宋体" w:cs="宋体"/>
          <w:color w:val="000000" w:themeColor="text1"/>
          <w:sz w:val="24"/>
          <w14:textFill>
            <w14:solidFill>
              <w14:schemeClr w14:val="tx1"/>
            </w14:solidFill>
          </w14:textFill>
        </w:rPr>
        <w:t>期：合同总金额的5%的款项在质保期后无息支付。</w:t>
      </w:r>
    </w:p>
    <w:p>
      <w:pPr>
        <w:pStyle w:val="5"/>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4"/>
        <w:rPr>
          <w:rFonts w:hint="eastAsia" w:ascii="宋体" w:hAnsi="宋体" w:eastAsia="宋体" w:cs="宋体"/>
          <w:b/>
          <w:color w:val="auto"/>
          <w:sz w:val="24"/>
          <w:szCs w:val="24"/>
          <w:highlight w:val="none"/>
          <w:lang w:val="zh-CN"/>
        </w:rPr>
      </w:pPr>
    </w:p>
    <w:p>
      <w:pPr>
        <w:pStyle w:val="5"/>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4"/>
        <w:rPr>
          <w:rFonts w:hint="eastAsia" w:ascii="宋体" w:hAnsi="宋体" w:eastAsia="宋体" w:cs="宋体"/>
          <w:b/>
          <w:color w:val="auto"/>
          <w:sz w:val="24"/>
          <w:szCs w:val="24"/>
          <w:highlight w:val="none"/>
          <w:lang w:val="zh-CN"/>
        </w:rPr>
      </w:pPr>
    </w:p>
    <w:p>
      <w:pPr>
        <w:pStyle w:val="5"/>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4"/>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5"/>
        <w:ind w:left="0" w:leftChars="0" w:firstLine="0" w:firstLineChars="0"/>
        <w:rPr>
          <w:rFonts w:hint="eastAsia" w:ascii="宋体" w:hAnsi="宋体" w:eastAsia="宋体" w:cs="宋体"/>
          <w:sz w:val="44"/>
          <w:szCs w:val="44"/>
          <w:lang w:val="en-US" w:eastAsia="zh-CN"/>
        </w:rPr>
      </w:pPr>
    </w:p>
    <w:p>
      <w:pPr>
        <w:pStyle w:val="2"/>
        <w:numPr>
          <w:ilvl w:val="0"/>
          <w:numId w:val="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5"/>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商务评审</w:t>
            </w:r>
          </w:p>
        </w:tc>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技术评审</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价格评审</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15%</w:t>
            </w:r>
          </w:p>
        </w:tc>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55%</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30%</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100%</w:t>
            </w:r>
          </w:p>
        </w:tc>
      </w:tr>
    </w:tbl>
    <w:p>
      <w:pPr>
        <w:pStyle w:val="4"/>
        <w:rPr>
          <w:rFonts w:hint="eastAsia"/>
        </w:rPr>
      </w:pPr>
    </w:p>
    <w:p>
      <w:pPr>
        <w:pStyle w:val="19"/>
        <w:rPr>
          <w:rFonts w:hint="eastAsia"/>
          <w:lang w:val="en-US" w:eastAsia="zh-CN"/>
        </w:rPr>
      </w:pPr>
    </w:p>
    <w:p>
      <w:pPr>
        <w:spacing w:line="440" w:lineRule="exact"/>
        <w:rPr>
          <w:rFonts w:ascii="仿宋" w:hAnsi="仿宋" w:eastAsia="仿宋" w:cs="仿宋"/>
          <w:color w:val="000000"/>
          <w:sz w:val="24"/>
        </w:rPr>
      </w:pPr>
      <w:r>
        <w:rPr>
          <w:rFonts w:hint="eastAsia" w:ascii="仿宋" w:hAnsi="仿宋" w:eastAsia="仿宋" w:cs="仿宋"/>
          <w:color w:val="000000"/>
          <w:sz w:val="24"/>
        </w:rPr>
        <w:t>商务评审：</w:t>
      </w:r>
    </w:p>
    <w:p>
      <w:pPr>
        <w:pStyle w:val="19"/>
        <w:rPr>
          <w:rFonts w:hint="eastAsia"/>
          <w:shd w:val="clear" w:color="FFFFFF" w:fill="D9D9D9"/>
          <w:lang w:val="en-US" w:eastAsia="zh-CN"/>
        </w:rPr>
      </w:pPr>
    </w:p>
    <w:tbl>
      <w:tblPr>
        <w:tblStyle w:val="14"/>
        <w:tblpPr w:leftFromText="180" w:rightFromText="180" w:vertAnchor="page" w:horzAnchor="page" w:tblpX="924" w:tblpY="4787"/>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9"/>
        <w:gridCol w:w="1521"/>
        <w:gridCol w:w="1155"/>
        <w:gridCol w:w="552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5" w:hRule="atLeast"/>
          <w:jc w:val="center"/>
        </w:trPr>
        <w:tc>
          <w:tcPr>
            <w:tcW w:w="73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themeColor="text1"/>
                <w:sz w:val="24"/>
                <w14:textFill>
                  <w14:solidFill>
                    <w14:schemeClr w14:val="tx1"/>
                  </w14:solidFill>
                </w14:textFill>
              </w:rPr>
              <w:t>序号</w:t>
            </w:r>
          </w:p>
        </w:tc>
        <w:tc>
          <w:tcPr>
            <w:tcW w:w="1521"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themeColor="text1"/>
                <w:sz w:val="24"/>
                <w14:textFill>
                  <w14:solidFill>
                    <w14:schemeClr w14:val="tx1"/>
                  </w14:solidFill>
                </w14:textFill>
              </w:rPr>
              <w:t>评审指标</w:t>
            </w:r>
          </w:p>
        </w:tc>
        <w:tc>
          <w:tcPr>
            <w:tcW w:w="1155"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themeColor="text1"/>
                <w:sz w:val="24"/>
                <w14:textFill>
                  <w14:solidFill>
                    <w14:schemeClr w14:val="tx1"/>
                  </w14:solidFill>
                </w14:textFill>
              </w:rPr>
              <w:t>分值</w:t>
            </w:r>
          </w:p>
        </w:tc>
        <w:tc>
          <w:tcPr>
            <w:tcW w:w="552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themeColor="text1"/>
                <w:sz w:val="24"/>
                <w14:textFill>
                  <w14:solidFill>
                    <w14:schemeClr w14:val="tx1"/>
                  </w14:solidFill>
                </w14:textFill>
              </w:rPr>
              <w:t>评分范围</w:t>
            </w:r>
          </w:p>
        </w:tc>
        <w:tc>
          <w:tcPr>
            <w:tcW w:w="1354" w:type="dxa"/>
            <w:shd w:val="clear" w:color="000000" w:fill="D9D9D9"/>
            <w:vAlign w:val="center"/>
          </w:tcPr>
          <w:p>
            <w:pPr>
              <w:wordWrap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供应商</w:t>
            </w:r>
          </w:p>
          <w:p>
            <w:pPr>
              <w:wordWrap w:val="0"/>
              <w:jc w:val="center"/>
              <w:rPr>
                <w:rFonts w:hint="default" w:ascii="宋体" w:hAnsi="宋体" w:eastAsia="宋体" w:cs="宋体"/>
                <w:b/>
                <w:color w:val="FF0000"/>
                <w:sz w:val="21"/>
                <w:szCs w:val="21"/>
                <w:shd w:val="clear" w:color="FFFFFF" w:fill="D9D9D9"/>
                <w:lang w:val="en-US" w:eastAsia="zh-CN"/>
              </w:rPr>
            </w:pPr>
            <w:r>
              <w:rPr>
                <w:rFonts w:hint="eastAsia" w:ascii="仿宋" w:hAnsi="仿宋" w:eastAsia="仿宋" w:cs="仿宋"/>
                <w:b/>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1</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商务响应情况</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5</w:t>
            </w:r>
          </w:p>
        </w:tc>
        <w:tc>
          <w:tcPr>
            <w:tcW w:w="5529" w:type="dxa"/>
            <w:shd w:val="clear" w:color="000000" w:fill="FFFFFF"/>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根据供应商的投标文件的响应程度进行评审。</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投标文件的响应符合用户需求书的商务要求，得5分；</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投标文件部分响应用户需求书的商务要求，得2分；</w:t>
            </w:r>
          </w:p>
          <w:p>
            <w:pP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投标文件的响应较差或无，得0分。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2</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项目业绩</w:t>
            </w:r>
          </w:p>
        </w:tc>
        <w:tc>
          <w:tcPr>
            <w:tcW w:w="1155" w:type="dxa"/>
            <w:shd w:val="clear" w:color="000000" w:fill="FFFFFF"/>
            <w:vAlign w:val="center"/>
          </w:tcPr>
          <w:p>
            <w:pPr>
              <w:jc w:val="center"/>
              <w:rPr>
                <w:rFonts w:hint="default" w:ascii="宋体" w:hAnsi="宋体" w:eastAsia="宋体" w:cs="宋体"/>
                <w:color w:val="auto"/>
                <w:sz w:val="20"/>
                <w:szCs w:val="20"/>
                <w:lang w:val="en-US"/>
              </w:rPr>
            </w:pPr>
            <w:r>
              <w:rPr>
                <w:rFonts w:hint="eastAsia" w:ascii="仿宋" w:hAnsi="仿宋" w:eastAsia="仿宋" w:cs="仿宋"/>
                <w:color w:val="auto"/>
                <w:sz w:val="24"/>
              </w:rPr>
              <w:t>6</w:t>
            </w:r>
          </w:p>
        </w:tc>
        <w:tc>
          <w:tcPr>
            <w:tcW w:w="5529" w:type="dxa"/>
            <w:shd w:val="clear" w:color="000000" w:fill="FFFFFF"/>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r>
              <w:rPr>
                <w:rFonts w:hint="eastAsia" w:ascii="仿宋" w:hAnsi="仿宋" w:eastAsia="仿宋" w:cs="仿宋"/>
                <w:color w:val="000000" w:themeColor="text1"/>
                <w:sz w:val="24"/>
                <w:lang w:val="en-US" w:eastAsia="zh-CN"/>
                <w14:textFill>
                  <w14:solidFill>
                    <w14:schemeClr w14:val="tx1"/>
                  </w14:solidFill>
                </w14:textFill>
              </w:rPr>
              <w:t>20</w:t>
            </w:r>
            <w:r>
              <w:rPr>
                <w:rFonts w:hint="eastAsia" w:ascii="仿宋" w:hAnsi="仿宋" w:eastAsia="仿宋" w:cs="仿宋"/>
                <w:color w:val="000000" w:themeColor="text1"/>
                <w:sz w:val="24"/>
                <w14:textFill>
                  <w14:solidFill>
                    <w14:schemeClr w14:val="tx1"/>
                  </w14:solidFill>
                </w14:textFill>
              </w:rPr>
              <w:t>年至今承接同类项目业绩（应同时满足以下条件： ①以投标人名义签订；② 合同标的为本项目同类设备），每提供1份得1分，本小项满</w:t>
            </w:r>
            <w:r>
              <w:rPr>
                <w:rFonts w:hint="eastAsia" w:ascii="仿宋" w:hAnsi="仿宋" w:eastAsia="仿宋" w:cs="仿宋"/>
                <w:color w:val="auto"/>
                <w:sz w:val="24"/>
              </w:rPr>
              <w:t>分6分</w:t>
            </w:r>
            <w:r>
              <w:rPr>
                <w:rFonts w:hint="eastAsia" w:ascii="仿宋" w:hAnsi="仿宋" w:eastAsia="仿宋" w:cs="仿宋"/>
                <w:color w:val="000000" w:themeColor="text1"/>
                <w:sz w:val="24"/>
                <w14:textFill>
                  <w14:solidFill>
                    <w14:schemeClr w14:val="tx1"/>
                  </w14:solidFill>
                </w14:textFill>
              </w:rPr>
              <w:t>。</w:t>
            </w:r>
          </w:p>
          <w:p>
            <w:pP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（注：投标文件中提供合同复印件并加盖公章，未提供或所提供资料模糊不清的不得分。）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1"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3</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质量保证措施</w:t>
            </w:r>
          </w:p>
        </w:tc>
        <w:tc>
          <w:tcPr>
            <w:tcW w:w="1155" w:type="dxa"/>
            <w:shd w:val="clear" w:color="000000" w:fill="FFFFFF"/>
            <w:vAlign w:val="center"/>
          </w:tcPr>
          <w:p>
            <w:pPr>
              <w:jc w:val="center"/>
              <w:rPr>
                <w:rFonts w:hint="eastAsia" w:ascii="宋体" w:hAnsi="宋体" w:eastAsia="宋体" w:cs="宋体"/>
                <w:color w:val="auto"/>
                <w:sz w:val="20"/>
                <w:szCs w:val="20"/>
              </w:rPr>
            </w:pPr>
            <w:r>
              <w:rPr>
                <w:rFonts w:hint="eastAsia" w:ascii="仿宋" w:hAnsi="仿宋" w:eastAsia="仿宋" w:cs="仿宋"/>
                <w:color w:val="auto"/>
                <w:sz w:val="24"/>
              </w:rPr>
              <w:t>4</w:t>
            </w:r>
          </w:p>
        </w:tc>
        <w:tc>
          <w:tcPr>
            <w:tcW w:w="5529"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themeColor="text1"/>
                <w:sz w:val="24"/>
                <w14:textFill>
                  <w14:solidFill>
                    <w14:schemeClr w14:val="tx1"/>
                  </w14:solidFill>
                </w14:textFill>
              </w:rPr>
              <w:t>在用户需求质保期要求的基础上延长1年，得1分；延长2年，得2分；延长3年，得4分。（延长的质保期须为原厂质保）</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2260" w:type="dxa"/>
            <w:gridSpan w:val="2"/>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themeColor="text1"/>
                <w:sz w:val="24"/>
                <w14:textFill>
                  <w14:solidFill>
                    <w14:schemeClr w14:val="tx1"/>
                  </w14:solidFill>
                </w14:textFill>
              </w:rPr>
              <w:t>合计</w:t>
            </w:r>
          </w:p>
        </w:tc>
        <w:tc>
          <w:tcPr>
            <w:tcW w:w="1155" w:type="dxa"/>
            <w:shd w:val="clear" w:color="000000" w:fill="FFFFFF"/>
            <w:vAlign w:val="center"/>
          </w:tcPr>
          <w:p>
            <w:pPr>
              <w:jc w:val="center"/>
              <w:rPr>
                <w:rFonts w:hint="default" w:ascii="宋体" w:hAnsi="宋体" w:eastAsia="宋体" w:cs="宋体"/>
                <w:color w:val="FF0000"/>
                <w:sz w:val="20"/>
                <w:szCs w:val="20"/>
                <w:lang w:val="en-US" w:eastAsia="zh-CN"/>
              </w:rPr>
            </w:pPr>
            <w:r>
              <w:rPr>
                <w:rFonts w:hint="eastAsia" w:ascii="仿宋" w:hAnsi="仿宋" w:eastAsia="仿宋" w:cs="仿宋"/>
                <w:b/>
                <w:color w:val="000000" w:themeColor="text1"/>
                <w:sz w:val="24"/>
                <w14:textFill>
                  <w14:solidFill>
                    <w14:schemeClr w14:val="tx1"/>
                  </w14:solidFill>
                </w14:textFill>
              </w:rPr>
              <w:t>15</w:t>
            </w:r>
          </w:p>
        </w:tc>
        <w:tc>
          <w:tcPr>
            <w:tcW w:w="552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themeColor="text1"/>
                <w:sz w:val="24"/>
                <w14:textFill>
                  <w14:solidFill>
                    <w14:schemeClr w14:val="tx1"/>
                  </w14:solidFill>
                </w14:textFill>
              </w:rPr>
              <w:t>得分合计</w:t>
            </w:r>
          </w:p>
        </w:tc>
        <w:tc>
          <w:tcPr>
            <w:tcW w:w="1354" w:type="dxa"/>
            <w:shd w:val="clear" w:color="000000" w:fill="FFFFFF"/>
            <w:vAlign w:val="center"/>
          </w:tcPr>
          <w:p>
            <w:pPr>
              <w:jc w:val="center"/>
              <w:rPr>
                <w:rFonts w:hint="eastAsia" w:ascii="宋体" w:hAnsi="宋体" w:eastAsia="宋体" w:cs="宋体"/>
                <w:color w:val="FF0000"/>
                <w:sz w:val="20"/>
                <w:szCs w:val="20"/>
              </w:rPr>
            </w:pPr>
          </w:p>
        </w:tc>
      </w:tr>
    </w:tbl>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技术评审：</w:t>
      </w: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1"/>
        <w:gridCol w:w="1530"/>
        <w:gridCol w:w="1155"/>
        <w:gridCol w:w="536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91"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themeColor="text1"/>
                <w:sz w:val="24"/>
                <w14:textFill>
                  <w14:solidFill>
                    <w14:schemeClr w14:val="tx1"/>
                  </w14:solidFill>
                </w14:textFill>
              </w:rPr>
              <w:t>序号</w:t>
            </w:r>
          </w:p>
        </w:tc>
        <w:tc>
          <w:tcPr>
            <w:tcW w:w="1530"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themeColor="text1"/>
                <w:sz w:val="24"/>
                <w14:textFill>
                  <w14:solidFill>
                    <w14:schemeClr w14:val="tx1"/>
                  </w14:solidFill>
                </w14:textFill>
              </w:rPr>
              <w:t>评分指标</w:t>
            </w:r>
          </w:p>
        </w:tc>
        <w:tc>
          <w:tcPr>
            <w:tcW w:w="1155"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themeColor="text1"/>
                <w:sz w:val="24"/>
                <w14:textFill>
                  <w14:solidFill>
                    <w14:schemeClr w14:val="tx1"/>
                  </w14:solidFill>
                </w14:textFill>
              </w:rPr>
              <w:t>分值</w:t>
            </w:r>
          </w:p>
        </w:tc>
        <w:tc>
          <w:tcPr>
            <w:tcW w:w="5369"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themeColor="text1"/>
                <w:sz w:val="24"/>
                <w14:textFill>
                  <w14:solidFill>
                    <w14:schemeClr w14:val="tx1"/>
                  </w14:solidFill>
                </w14:textFill>
              </w:rPr>
              <w:t>评分范围</w:t>
            </w:r>
          </w:p>
        </w:tc>
        <w:tc>
          <w:tcPr>
            <w:tcW w:w="1352" w:type="dxa"/>
            <w:shd w:val="clear" w:color="000000" w:fill="auto"/>
            <w:noWrap w:val="0"/>
            <w:vAlign w:val="center"/>
          </w:tcPr>
          <w:p>
            <w:pPr>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供应商</w:t>
            </w:r>
          </w:p>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91" w:type="dxa"/>
            <w:shd w:val="clear" w:color="000000" w:fill="auto"/>
            <w:noWrap w:val="0"/>
            <w:vAlign w:val="center"/>
          </w:tcPr>
          <w:p>
            <w:pPr>
              <w:jc w:val="center"/>
              <w:rPr>
                <w:rFonts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1</w:t>
            </w:r>
          </w:p>
        </w:tc>
        <w:tc>
          <w:tcPr>
            <w:tcW w:w="1530"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一般条款响应程度</w:t>
            </w:r>
          </w:p>
        </w:tc>
        <w:tc>
          <w:tcPr>
            <w:tcW w:w="1155" w:type="dxa"/>
            <w:shd w:val="clear" w:color="000000" w:fill="auto"/>
            <w:noWrap w:val="0"/>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themeColor="text1"/>
                <w:sz w:val="24"/>
                <w:lang w:val="en-US" w:eastAsia="zh-CN"/>
                <w14:textFill>
                  <w14:solidFill>
                    <w14:schemeClr w14:val="tx1"/>
                  </w14:solidFill>
                </w14:textFill>
              </w:rPr>
              <w:t>22</w:t>
            </w:r>
          </w:p>
        </w:tc>
        <w:tc>
          <w:tcPr>
            <w:tcW w:w="5369" w:type="dxa"/>
            <w:shd w:val="clear" w:color="000000" w:fill="auto"/>
            <w:noWrap w:val="0"/>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根据投标人对用户需求中一般条款（非“</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”条款）的响应程度进行评分：</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一般条款（非“</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”条款）负偏离在</w:t>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项以内（含</w:t>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项），每项扣2分；一般条款（非“</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”条款）负偏离超过</w:t>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项的，得0分；完全响应得</w:t>
            </w:r>
            <w:r>
              <w:rPr>
                <w:rFonts w:hint="eastAsia" w:ascii="仿宋" w:hAnsi="仿宋" w:eastAsia="仿宋" w:cs="仿宋"/>
                <w:color w:val="000000" w:themeColor="text1"/>
                <w:sz w:val="24"/>
                <w:lang w:val="en-US" w:eastAsia="zh-CN"/>
                <w14:textFill>
                  <w14:solidFill>
                    <w14:schemeClr w14:val="tx1"/>
                  </w14:solidFill>
                </w14:textFill>
              </w:rPr>
              <w:t>22</w:t>
            </w:r>
            <w:r>
              <w:rPr>
                <w:rFonts w:hint="eastAsia" w:ascii="仿宋" w:hAnsi="仿宋" w:eastAsia="仿宋" w:cs="仿宋"/>
                <w:color w:val="000000" w:themeColor="text1"/>
                <w:sz w:val="24"/>
                <w14:textFill>
                  <w14:solidFill>
                    <w14:schemeClr w14:val="tx1"/>
                  </w14:solidFill>
                </w14:textFill>
              </w:rPr>
              <w:t>分。</w:t>
            </w:r>
          </w:p>
          <w:p>
            <w:pPr>
              <w:rPr>
                <w:rFonts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691" w:type="dxa"/>
            <w:shd w:val="clear" w:color="000000" w:fill="auto"/>
            <w:noWrap w:val="0"/>
            <w:vAlign w:val="center"/>
          </w:tcPr>
          <w:p>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themeColor="text1"/>
                <w:sz w:val="24"/>
                <w14:textFill>
                  <w14:solidFill>
                    <w14:schemeClr w14:val="tx1"/>
                  </w14:solidFill>
                </w14:textFill>
              </w:rPr>
              <w:t>2</w:t>
            </w:r>
          </w:p>
        </w:tc>
        <w:tc>
          <w:tcPr>
            <w:tcW w:w="1530"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themeColor="text1"/>
                <w:sz w:val="24"/>
                <w14:textFill>
                  <w14:solidFill>
                    <w14:schemeClr w14:val="tx1"/>
                  </w14:solidFill>
                </w14:textFill>
              </w:rPr>
              <w:t>重要条款响应程度</w:t>
            </w:r>
          </w:p>
        </w:tc>
        <w:tc>
          <w:tcPr>
            <w:tcW w:w="1155" w:type="dxa"/>
            <w:shd w:val="clear" w:color="000000" w:fill="auto"/>
            <w:noWrap w:val="0"/>
            <w:vAlign w:val="center"/>
          </w:tcPr>
          <w:p>
            <w:pPr>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themeColor="text1"/>
                <w:sz w:val="24"/>
                <w:lang w:val="en-US" w:eastAsia="zh-CN"/>
                <w14:textFill>
                  <w14:solidFill>
                    <w14:schemeClr w14:val="tx1"/>
                  </w14:solidFill>
                </w14:textFill>
              </w:rPr>
              <w:t>8</w:t>
            </w:r>
          </w:p>
        </w:tc>
        <w:tc>
          <w:tcPr>
            <w:tcW w:w="5369" w:type="dxa"/>
            <w:shd w:val="clear" w:color="000000" w:fill="auto"/>
            <w:noWrap w:val="0"/>
            <w:vAlign w:val="center"/>
          </w:tcPr>
          <w:p>
            <w:pP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根据</w:t>
            </w: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lang w:val="zh-CN"/>
                <w14:textFill>
                  <w14:solidFill>
                    <w14:schemeClr w14:val="tx1"/>
                  </w14:solidFill>
                </w14:textFill>
              </w:rPr>
              <w:t>对用户需求中重要条款（“▲”条款）的响应程度进行评分：</w:t>
            </w:r>
          </w:p>
          <w:p>
            <w:pP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重要条款（“▲”条款）负偏离在</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项以内（含</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项），每项扣</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lang w:val="zh-CN"/>
                <w14:textFill>
                  <w14:solidFill>
                    <w14:schemeClr w14:val="tx1"/>
                  </w14:solidFill>
                </w14:textFill>
              </w:rPr>
              <w:t>分；重要条款（“▲”条款）负偏离超过</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项的，得0分；</w:t>
            </w:r>
            <w:r>
              <w:rPr>
                <w:rFonts w:hint="eastAsia" w:ascii="仿宋" w:hAnsi="仿宋" w:eastAsia="仿宋" w:cs="仿宋"/>
                <w:color w:val="000000" w:themeColor="text1"/>
                <w:sz w:val="24"/>
                <w14:textFill>
                  <w14:solidFill>
                    <w14:schemeClr w14:val="tx1"/>
                  </w14:solidFill>
                </w14:textFill>
              </w:rPr>
              <w:t>完全响应得</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分</w:t>
            </w:r>
            <w:r>
              <w:rPr>
                <w:rFonts w:hint="eastAsia" w:ascii="仿宋" w:hAnsi="仿宋" w:eastAsia="仿宋" w:cs="仿宋"/>
                <w:color w:val="000000" w:themeColor="text1"/>
                <w:sz w:val="24"/>
                <w:lang w:val="zh-CN"/>
                <w14:textFill>
                  <w14:solidFill>
                    <w14:schemeClr w14:val="tx1"/>
                  </w14:solidFill>
                </w14:textFill>
              </w:rPr>
              <w:t>。</w:t>
            </w:r>
          </w:p>
          <w:p>
            <w:pPr>
              <w:rPr>
                <w:rFonts w:ascii="仿宋" w:hAnsi="仿宋" w:eastAsia="仿宋" w:cs="仿宋"/>
                <w:color w:val="000000"/>
                <w:sz w:val="24"/>
                <w:highlight w:val="none"/>
              </w:rPr>
            </w:pPr>
            <w:r>
              <w:rPr>
                <w:rFonts w:hint="eastAsia" w:ascii="仿宋" w:hAnsi="仿宋" w:eastAsia="仿宋" w:cs="仿宋"/>
                <w:color w:val="000000" w:themeColor="text1"/>
                <w:sz w:val="24"/>
                <w14:textFill>
                  <w14:solidFill>
                    <w14:schemeClr w14:val="tx1"/>
                  </w14:solidFill>
                </w14:textFill>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themeColor="text1"/>
                <w:sz w:val="24"/>
                <w14:textFill>
                  <w14:solidFill>
                    <w14:schemeClr w14:val="tx1"/>
                  </w14:solidFill>
                </w14:textFill>
              </w:rPr>
              <w:t>3</w:t>
            </w:r>
          </w:p>
        </w:tc>
        <w:tc>
          <w:tcPr>
            <w:tcW w:w="1530" w:type="dxa"/>
            <w:shd w:val="clear" w:color="000000" w:fill="auto"/>
            <w:noWrap w:val="0"/>
            <w:vAlign w:val="center"/>
          </w:tcPr>
          <w:p>
            <w:pPr>
              <w:rPr>
                <w:rFonts w:ascii="仿宋" w:hAnsi="仿宋" w:eastAsia="仿宋" w:cs="仿宋"/>
                <w:color w:val="000000" w:themeColor="text1"/>
                <w:sz w:val="24"/>
                <w14:textFill>
                  <w14:solidFill>
                    <w14:schemeClr w14:val="tx1"/>
                  </w14:solidFill>
                </w14:textFill>
              </w:rPr>
            </w:pPr>
          </w:p>
          <w:p>
            <w:pP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所投设备配置、选型及供货能力</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8</w:t>
            </w:r>
          </w:p>
        </w:tc>
        <w:tc>
          <w:tcPr>
            <w:tcW w:w="5369" w:type="dxa"/>
            <w:shd w:val="clear" w:color="000000" w:fill="auto"/>
            <w:noWrap w:val="0"/>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1.所投设备配置、选型及性能完全满足用户需求，供货及时，能有稳定供货渠道的得8 分；</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2.所投设备配置、选型、性能等能基本满足用户需求，但存在不足的得5分；</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3.所投设备配置、选型、性能及供货能力等基本不满足用户需求的得 0分。</w:t>
            </w:r>
          </w:p>
          <w:p>
            <w:pP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（备注：提供设备配置清单或体现供货能力的相关证明材料，如相关认证、技术说明书或有效检验报告等证明材料。不提供的不得分。）</w:t>
            </w:r>
          </w:p>
        </w:tc>
        <w:tc>
          <w:tcPr>
            <w:tcW w:w="1352" w:type="dxa"/>
            <w:vMerge w:val="restart"/>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4</w:t>
            </w:r>
          </w:p>
        </w:tc>
        <w:tc>
          <w:tcPr>
            <w:tcW w:w="1530" w:type="dxa"/>
            <w:shd w:val="clear" w:color="000000" w:fill="auto"/>
            <w:noWrap w:val="0"/>
            <w:vAlign w:val="center"/>
          </w:tcPr>
          <w:p>
            <w:pPr>
              <w:rPr>
                <w:rFonts w:ascii="仿宋" w:hAnsi="仿宋" w:eastAsia="仿宋" w:cs="仿宋"/>
                <w:color w:val="000000" w:themeColor="text1"/>
                <w:sz w:val="24"/>
                <w14:textFill>
                  <w14:solidFill>
                    <w14:schemeClr w14:val="tx1"/>
                  </w14:solidFill>
                </w14:textFill>
              </w:rPr>
            </w:pPr>
          </w:p>
          <w:p>
            <w:pP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设备技术支撑程度和可靠性</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8</w:t>
            </w:r>
          </w:p>
        </w:tc>
        <w:tc>
          <w:tcPr>
            <w:tcW w:w="5369" w:type="dxa"/>
            <w:shd w:val="clear" w:color="000000" w:fill="auto"/>
            <w:noWrap w:val="0"/>
            <w:vAlign w:val="center"/>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根据供应商所投设备的技术和可靠性（技术支撑程度、工作原理，自动化程度、运行稳定性程度等）进行评审。</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1.所投设备技术先进，可靠性强的，有较强的技术支持，工作原理先进，有较强的自动化能力，稳定运行性较强，得8分；</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3.所投设备技术一般，技术支持较为一般，工作原理简单，自动化能力一般，运行性较一般，得2分；</w:t>
            </w:r>
          </w:p>
          <w:p>
            <w:pPr>
              <w:spacing w:line="440" w:lineRule="exact"/>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4.所投设备的技术差，可靠性差的，没有技术支持，工作原理较差，自动化能力较差，得0分。</w:t>
            </w:r>
          </w:p>
        </w:tc>
        <w:tc>
          <w:tcPr>
            <w:tcW w:w="1352" w:type="dxa"/>
            <w:vMerge w:val="continue"/>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691"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5</w:t>
            </w:r>
          </w:p>
        </w:tc>
        <w:tc>
          <w:tcPr>
            <w:tcW w:w="1530" w:type="dxa"/>
            <w:shd w:val="clear" w:color="000000" w:fill="auto"/>
            <w:noWrap w:val="0"/>
            <w:vAlign w:val="center"/>
          </w:tcPr>
          <w:p>
            <w:r>
              <w:rPr>
                <w:rFonts w:hint="eastAsia" w:ascii="仿宋" w:hAnsi="仿宋" w:eastAsia="仿宋" w:cs="仿宋"/>
                <w:color w:val="000000" w:themeColor="text1"/>
                <w:sz w:val="24"/>
                <w14:textFill>
                  <w14:solidFill>
                    <w14:schemeClr w14:val="tx1"/>
                  </w14:solidFill>
                </w14:textFill>
              </w:rPr>
              <w:t>设备操作的实用性、拓展性</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9</w:t>
            </w:r>
          </w:p>
        </w:tc>
        <w:tc>
          <w:tcPr>
            <w:tcW w:w="5369" w:type="dxa"/>
            <w:shd w:val="clear" w:color="000000" w:fill="auto"/>
            <w:noWrap w:val="0"/>
            <w:vAlign w:val="center"/>
          </w:tcPr>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根据供应商所投设备</w:t>
            </w:r>
            <w:r>
              <w:rPr>
                <w:rFonts w:hint="eastAsia" w:ascii="仿宋" w:hAnsi="仿宋" w:eastAsia="仿宋" w:cs="仿宋"/>
                <w:color w:val="000000" w:themeColor="text1"/>
                <w:sz w:val="24"/>
                <w:lang w:val="zh-CN"/>
                <w14:textFill>
                  <w14:solidFill>
                    <w14:schemeClr w14:val="tx1"/>
                  </w14:solidFill>
                </w14:textFill>
              </w:rPr>
              <w:t>操作的实用性（</w:t>
            </w:r>
            <w:r>
              <w:rPr>
                <w:rFonts w:hint="eastAsia" w:ascii="仿宋" w:hAnsi="仿宋" w:eastAsia="仿宋" w:cs="仿宋"/>
                <w:color w:val="000000" w:themeColor="text1"/>
                <w:sz w:val="24"/>
                <w14:textFill>
                  <w14:solidFill>
                    <w14:schemeClr w14:val="tx1"/>
                  </w14:solidFill>
                </w14:textFill>
              </w:rPr>
              <w:t>操作便利性、维修简易性</w:t>
            </w:r>
            <w:r>
              <w:rPr>
                <w:rFonts w:hint="eastAsia" w:ascii="仿宋" w:hAnsi="仿宋" w:eastAsia="仿宋" w:cs="仿宋"/>
                <w:color w:val="000000" w:themeColor="text1"/>
                <w:sz w:val="24"/>
                <w:lang w:val="zh-CN"/>
                <w14:textFill>
                  <w14:solidFill>
                    <w14:schemeClr w14:val="tx1"/>
                  </w14:solidFill>
                </w14:textFill>
              </w:rPr>
              <w:t>）、拓展性（功能后续可否随技术、采购人新需求等原因进行升级）</w:t>
            </w:r>
            <w:r>
              <w:rPr>
                <w:rFonts w:hint="eastAsia" w:ascii="仿宋" w:hAnsi="仿宋" w:eastAsia="仿宋" w:cs="仿宋"/>
                <w:color w:val="000000" w:themeColor="text1"/>
                <w:sz w:val="24"/>
                <w14:textFill>
                  <w14:solidFill>
                    <w14:schemeClr w14:val="tx1"/>
                  </w14:solidFill>
                </w14:textFill>
              </w:rPr>
              <w:t>进行评审（须提供相关说明/证明材料）。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1.所投设备</w:t>
            </w:r>
            <w:r>
              <w:rPr>
                <w:rFonts w:hint="eastAsia" w:ascii="仿宋" w:hAnsi="仿宋" w:eastAsia="仿宋" w:cs="仿宋"/>
                <w:color w:val="000000" w:themeColor="text1"/>
                <w:sz w:val="24"/>
                <w:lang w:val="zh-CN"/>
                <w14:textFill>
                  <w14:solidFill>
                    <w14:schemeClr w14:val="tx1"/>
                  </w14:solidFill>
                </w14:textFill>
              </w:rPr>
              <w:t>操作</w:t>
            </w:r>
            <w:r>
              <w:rPr>
                <w:rFonts w:hint="eastAsia" w:ascii="仿宋" w:hAnsi="仿宋" w:eastAsia="仿宋" w:cs="仿宋"/>
                <w:color w:val="000000" w:themeColor="text1"/>
                <w:sz w:val="24"/>
                <w14:textFill>
                  <w14:solidFill>
                    <w14:schemeClr w14:val="tx1"/>
                  </w14:solidFill>
                </w14:textFill>
              </w:rPr>
              <w:t>的</w:t>
            </w:r>
            <w:r>
              <w:rPr>
                <w:rFonts w:hint="eastAsia" w:ascii="仿宋" w:hAnsi="仿宋" w:eastAsia="仿宋" w:cs="仿宋"/>
                <w:color w:val="000000" w:themeColor="text1"/>
                <w:sz w:val="24"/>
                <w:lang w:val="zh-CN"/>
                <w14:textFill>
                  <w14:solidFill>
                    <w14:schemeClr w14:val="tx1"/>
                  </w14:solidFill>
                </w14:textFill>
              </w:rPr>
              <w:t>实用性、拓展性</w:t>
            </w:r>
            <w:r>
              <w:rPr>
                <w:rFonts w:hint="eastAsia" w:ascii="仿宋" w:hAnsi="仿宋" w:eastAsia="仿宋" w:cs="仿宋"/>
                <w:color w:val="000000" w:themeColor="text1"/>
                <w:sz w:val="24"/>
                <w14:textFill>
                  <w14:solidFill>
                    <w14:schemeClr w14:val="tx1"/>
                  </w14:solidFill>
                </w14:textFill>
              </w:rPr>
              <w:t>强的</w:t>
            </w:r>
            <w:r>
              <w:rPr>
                <w:rFonts w:hint="eastAsia" w:ascii="仿宋" w:hAnsi="仿宋" w:eastAsia="仿宋" w:cs="仿宋"/>
                <w:color w:val="000000" w:themeColor="text1"/>
                <w:sz w:val="24"/>
                <w:lang w:val="zh-CN"/>
                <w14:textFill>
                  <w14:solidFill>
                    <w14:schemeClr w14:val="tx1"/>
                  </w14:solidFill>
                </w14:textFill>
              </w:rPr>
              <w:t>，得</w:t>
            </w:r>
            <w:r>
              <w:rPr>
                <w:rFonts w:hint="eastAsia" w:ascii="仿宋" w:hAnsi="仿宋" w:eastAsia="仿宋" w:cs="仿宋"/>
                <w:color w:val="000000" w:themeColor="text1"/>
                <w:sz w:val="24"/>
                <w14:textFill>
                  <w14:solidFill>
                    <w14:schemeClr w14:val="tx1"/>
                  </w14:solidFill>
                </w14:textFill>
              </w:rPr>
              <w:t>9分；</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2.所投设备</w:t>
            </w:r>
            <w:r>
              <w:rPr>
                <w:rFonts w:hint="eastAsia" w:ascii="仿宋" w:hAnsi="仿宋" w:eastAsia="仿宋" w:cs="仿宋"/>
                <w:color w:val="000000" w:themeColor="text1"/>
                <w:sz w:val="24"/>
                <w:lang w:val="zh-CN"/>
                <w14:textFill>
                  <w14:solidFill>
                    <w14:schemeClr w14:val="tx1"/>
                  </w14:solidFill>
                </w14:textFill>
              </w:rPr>
              <w:t>操作的实用性、拓展性</w:t>
            </w:r>
            <w:r>
              <w:rPr>
                <w:rFonts w:hint="eastAsia" w:ascii="仿宋" w:hAnsi="仿宋" w:eastAsia="仿宋" w:cs="仿宋"/>
                <w:color w:val="000000" w:themeColor="text1"/>
                <w:sz w:val="24"/>
                <w14:textFill>
                  <w14:solidFill>
                    <w14:schemeClr w14:val="tx1"/>
                  </w14:solidFill>
                </w14:textFill>
              </w:rPr>
              <w:t>较强</w:t>
            </w:r>
            <w:r>
              <w:rPr>
                <w:rFonts w:hint="eastAsia" w:ascii="仿宋" w:hAnsi="仿宋" w:eastAsia="仿宋" w:cs="仿宋"/>
                <w:color w:val="000000" w:themeColor="text1"/>
                <w:sz w:val="24"/>
                <w:lang w:val="zh-CN"/>
                <w14:textFill>
                  <w14:solidFill>
                    <w14:schemeClr w14:val="tx1"/>
                  </w14:solidFill>
                </w14:textFill>
              </w:rPr>
              <w:t>的，得</w:t>
            </w:r>
            <w:r>
              <w:rPr>
                <w:rFonts w:hint="eastAsia" w:ascii="仿宋" w:hAnsi="仿宋" w:eastAsia="仿宋" w:cs="仿宋"/>
                <w:color w:val="000000" w:themeColor="text1"/>
                <w:sz w:val="24"/>
                <w14:textFill>
                  <w14:solidFill>
                    <w14:schemeClr w14:val="tx1"/>
                  </w14:solidFill>
                </w14:textFill>
              </w:rPr>
              <w:t>6分；</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3.所投设备</w:t>
            </w:r>
            <w:r>
              <w:rPr>
                <w:rFonts w:hint="eastAsia" w:ascii="仿宋" w:hAnsi="仿宋" w:eastAsia="仿宋" w:cs="仿宋"/>
                <w:color w:val="000000" w:themeColor="text1"/>
                <w:sz w:val="24"/>
                <w:lang w:val="zh-CN"/>
                <w14:textFill>
                  <w14:solidFill>
                    <w14:schemeClr w14:val="tx1"/>
                  </w14:solidFill>
                </w14:textFill>
              </w:rPr>
              <w:t>操作的实用性、拓展性一般的，得</w:t>
            </w:r>
            <w:r>
              <w:rPr>
                <w:rFonts w:hint="eastAsia" w:ascii="仿宋" w:hAnsi="仿宋" w:eastAsia="仿宋" w:cs="仿宋"/>
                <w:color w:val="000000" w:themeColor="text1"/>
                <w:sz w:val="24"/>
                <w14:textFill>
                  <w14:solidFill>
                    <w14:schemeClr w14:val="tx1"/>
                  </w14:solidFill>
                </w14:textFill>
              </w:rPr>
              <w:t>3分；</w:t>
            </w:r>
          </w:p>
          <w:p>
            <w:pPr>
              <w:spacing w:line="440" w:lineRule="exact"/>
              <w:rPr>
                <w:rFonts w:hint="eastAsia"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4.所投设备</w:t>
            </w:r>
            <w:r>
              <w:rPr>
                <w:rFonts w:hint="eastAsia" w:ascii="仿宋" w:hAnsi="仿宋" w:eastAsia="仿宋" w:cs="仿宋"/>
                <w:color w:val="000000" w:themeColor="text1"/>
                <w:sz w:val="24"/>
                <w:lang w:val="zh-CN"/>
                <w14:textFill>
                  <w14:solidFill>
                    <w14:schemeClr w14:val="tx1"/>
                  </w14:solidFill>
                </w14:textFill>
              </w:rPr>
              <w:t>操作的实用性、拓展性差的，得</w:t>
            </w:r>
            <w:r>
              <w:rPr>
                <w:rFonts w:hint="eastAsia" w:ascii="仿宋" w:hAnsi="仿宋" w:eastAsia="仿宋" w:cs="仿宋"/>
                <w:color w:val="000000" w:themeColor="text1"/>
                <w:sz w:val="24"/>
                <w14:textFill>
                  <w14:solidFill>
                    <w14:schemeClr w14:val="tx1"/>
                  </w14:solidFill>
                </w14:textFill>
              </w:rPr>
              <w:t>0分。</w:t>
            </w:r>
          </w:p>
        </w:tc>
        <w:tc>
          <w:tcPr>
            <w:tcW w:w="1352" w:type="dxa"/>
            <w:shd w:val="clear" w:color="000000" w:fill="auto"/>
            <w:noWrap w:val="0"/>
            <w:vAlign w:val="center"/>
          </w:tcPr>
          <w:p>
            <w:pPr>
              <w:rPr>
                <w:rFonts w:ascii="仿宋" w:hAnsi="仿宋" w:eastAsia="仿宋" w:cs="仿宋"/>
                <w:color w:val="000000"/>
                <w:sz w:val="24"/>
              </w:rPr>
            </w:pPr>
          </w:p>
        </w:tc>
      </w:tr>
    </w:tbl>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2"/>
        <w:bidi w:val="0"/>
        <w:jc w:val="center"/>
        <w:rPr>
          <w:rFonts w:hint="eastAsia" w:ascii="宋体" w:hAnsi="宋体" w:eastAsia="宋体" w:cs="宋体"/>
          <w:color w:val="auto"/>
          <w:highlight w:val="none"/>
        </w:rPr>
      </w:pPr>
    </w:p>
    <w:p>
      <w:pPr>
        <w:pStyle w:val="2"/>
        <w:bidi w:val="0"/>
        <w:jc w:val="center"/>
        <w:rPr>
          <w:rFonts w:hint="eastAsia" w:ascii="宋体" w:hAnsi="宋体" w:eastAsia="宋体" w:cs="宋体"/>
          <w:color w:val="auto"/>
          <w:highlight w:val="none"/>
        </w:rPr>
      </w:pPr>
    </w:p>
    <w:p>
      <w:pPr>
        <w:pStyle w:val="2"/>
        <w:bidi w:val="0"/>
        <w:jc w:val="center"/>
        <w:rPr>
          <w:rFonts w:hint="eastAsia" w:ascii="宋体" w:hAnsi="宋体" w:eastAsia="宋体" w:cs="宋体"/>
          <w:color w:val="auto"/>
          <w:highlight w:val="none"/>
        </w:rPr>
      </w:pPr>
    </w:p>
    <w:p>
      <w:pPr>
        <w:pStyle w:val="2"/>
        <w:numPr>
          <w:ilvl w:val="0"/>
          <w:numId w:val="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4"/>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4"/>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重要</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spacing w:line="500" w:lineRule="exact"/>
        <w:rPr>
          <w:rFonts w:hint="eastAsia" w:ascii="宋体" w:hAnsi="宋体" w:cs="宋体"/>
          <w:b/>
          <w:bCs w:val="0"/>
          <w:color w:val="000000"/>
          <w:sz w:val="21"/>
          <w:szCs w:val="21"/>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rPr>
      </w:pPr>
    </w:p>
    <w:p>
      <w:pPr>
        <w:pStyle w:val="4"/>
        <w:rPr>
          <w:rFonts w:hint="eastAsia"/>
        </w:rPr>
      </w:pPr>
    </w:p>
    <w:p>
      <w:pPr>
        <w:pStyle w:val="5"/>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4"/>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4"/>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4"/>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耗材报价单</w:t>
      </w:r>
    </w:p>
    <w:p>
      <w:pPr>
        <w:rPr>
          <w:rFonts w:hint="eastAsia" w:ascii="宋体" w:hAnsi="宋体" w:eastAsia="宋体" w:cs="宋体"/>
          <w:color w:val="FF0000"/>
          <w:sz w:val="24"/>
          <w:szCs w:val="24"/>
          <w:highlight w:val="none"/>
        </w:rPr>
      </w:pPr>
    </w:p>
    <w:tbl>
      <w:tblPr>
        <w:tblStyle w:val="14"/>
        <w:tblpPr w:leftFromText="180" w:rightFromText="180" w:vertAnchor="text" w:horzAnchor="page" w:tblpXSpec="center" w:tblpY="205"/>
        <w:tblOverlap w:val="never"/>
        <w:tblW w:w="5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8"/>
        <w:gridCol w:w="1186"/>
        <w:gridCol w:w="1335"/>
        <w:gridCol w:w="1005"/>
        <w:gridCol w:w="1169"/>
        <w:gridCol w:w="1107"/>
        <w:gridCol w:w="1248"/>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560" w:lineRule="exact"/>
              <w:jc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序号</w:t>
            </w:r>
          </w:p>
        </w:tc>
        <w:tc>
          <w:tcPr>
            <w:tcW w:w="52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产品名称</w:t>
            </w:r>
          </w:p>
        </w:tc>
        <w:tc>
          <w:tcPr>
            <w:tcW w:w="55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规格型号</w:t>
            </w:r>
          </w:p>
        </w:tc>
        <w:tc>
          <w:tcPr>
            <w:tcW w:w="62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产品注册证</w:t>
            </w:r>
          </w:p>
        </w:tc>
        <w:tc>
          <w:tcPr>
            <w:tcW w:w="471"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药交ID</w:t>
            </w:r>
          </w:p>
        </w:tc>
        <w:tc>
          <w:tcPr>
            <w:tcW w:w="548"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产品编码</w:t>
            </w:r>
          </w:p>
        </w:tc>
        <w:tc>
          <w:tcPr>
            <w:tcW w:w="51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国家医保耗材代码</w:t>
            </w:r>
          </w:p>
        </w:tc>
        <w:tc>
          <w:tcPr>
            <w:tcW w:w="585"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省平台联盟区现价</w:t>
            </w:r>
          </w:p>
        </w:tc>
        <w:tc>
          <w:tcPr>
            <w:tcW w:w="406"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投标报价</w:t>
            </w:r>
          </w:p>
        </w:tc>
        <w:tc>
          <w:tcPr>
            <w:tcW w:w="406" w:type="pct"/>
            <w:vAlign w:val="center"/>
          </w:tcPr>
          <w:p>
            <w:pPr>
              <w:pStyle w:val="21"/>
              <w:keepNext w:val="0"/>
              <w:adjustRightInd/>
              <w:spacing w:before="0" w:after="0" w:line="560" w:lineRule="exact"/>
              <w:textAlignment w:val="auto"/>
              <w:rPr>
                <w:rFonts w:hint="default" w:ascii="宋体" w:hAnsi="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50" w:type="pct"/>
            <w:vAlign w:val="center"/>
          </w:tcPr>
          <w:p>
            <w:pPr>
              <w:spacing w:line="560" w:lineRule="exact"/>
              <w:jc w:val="center"/>
              <w:rPr>
                <w:rFonts w:hint="eastAsia" w:ascii="宋体" w:hAnsi="宋体" w:eastAsia="宋体" w:cs="宋体"/>
                <w:b/>
                <w:color w:val="auto"/>
                <w:sz w:val="26"/>
                <w:szCs w:val="26"/>
              </w:rPr>
            </w:pPr>
          </w:p>
        </w:tc>
        <w:tc>
          <w:tcPr>
            <w:tcW w:w="529" w:type="pct"/>
            <w:vAlign w:val="center"/>
          </w:tcPr>
          <w:p>
            <w:pPr>
              <w:spacing w:line="560" w:lineRule="exact"/>
              <w:jc w:val="center"/>
              <w:rPr>
                <w:rFonts w:hint="eastAsia" w:ascii="宋体" w:hAnsi="宋体" w:eastAsia="宋体" w:cs="宋体"/>
                <w:b/>
                <w:color w:val="auto"/>
                <w:sz w:val="26"/>
                <w:szCs w:val="26"/>
              </w:rPr>
            </w:pPr>
          </w:p>
        </w:tc>
        <w:tc>
          <w:tcPr>
            <w:tcW w:w="556" w:type="pct"/>
            <w:vAlign w:val="center"/>
          </w:tcPr>
          <w:p>
            <w:pPr>
              <w:spacing w:line="560" w:lineRule="exact"/>
              <w:jc w:val="center"/>
              <w:rPr>
                <w:rFonts w:hint="eastAsia" w:ascii="宋体" w:hAnsi="宋体" w:eastAsia="宋体" w:cs="宋体"/>
                <w:color w:val="auto"/>
                <w:sz w:val="26"/>
                <w:szCs w:val="26"/>
              </w:rPr>
            </w:pPr>
          </w:p>
        </w:tc>
        <w:tc>
          <w:tcPr>
            <w:tcW w:w="626" w:type="pct"/>
            <w:vAlign w:val="center"/>
          </w:tcPr>
          <w:p>
            <w:pPr>
              <w:spacing w:line="560" w:lineRule="exact"/>
              <w:jc w:val="center"/>
              <w:rPr>
                <w:rFonts w:hint="eastAsia" w:ascii="宋体" w:hAnsi="宋体" w:eastAsia="宋体" w:cs="宋体"/>
                <w:color w:val="auto"/>
                <w:sz w:val="26"/>
                <w:szCs w:val="26"/>
              </w:rPr>
            </w:pPr>
          </w:p>
        </w:tc>
        <w:tc>
          <w:tcPr>
            <w:tcW w:w="471" w:type="pct"/>
            <w:vAlign w:val="center"/>
          </w:tcPr>
          <w:p>
            <w:pPr>
              <w:spacing w:line="560" w:lineRule="exact"/>
              <w:jc w:val="center"/>
              <w:rPr>
                <w:rFonts w:hint="eastAsia" w:ascii="宋体" w:hAnsi="宋体" w:eastAsia="宋体" w:cs="宋体"/>
                <w:color w:val="auto"/>
                <w:sz w:val="26"/>
                <w:szCs w:val="26"/>
              </w:rPr>
            </w:pPr>
          </w:p>
        </w:tc>
        <w:tc>
          <w:tcPr>
            <w:tcW w:w="548" w:type="pct"/>
            <w:vAlign w:val="center"/>
          </w:tcPr>
          <w:p>
            <w:pPr>
              <w:spacing w:line="560" w:lineRule="exact"/>
              <w:jc w:val="center"/>
              <w:rPr>
                <w:rFonts w:hint="eastAsia" w:ascii="宋体" w:hAnsi="宋体" w:eastAsia="宋体" w:cs="宋体"/>
                <w:color w:val="auto"/>
                <w:sz w:val="26"/>
                <w:szCs w:val="26"/>
              </w:rPr>
            </w:pPr>
          </w:p>
        </w:tc>
        <w:tc>
          <w:tcPr>
            <w:tcW w:w="519" w:type="pct"/>
            <w:vAlign w:val="center"/>
          </w:tcPr>
          <w:p>
            <w:pPr>
              <w:spacing w:line="560" w:lineRule="exact"/>
              <w:jc w:val="center"/>
              <w:rPr>
                <w:rFonts w:hint="eastAsia" w:ascii="宋体" w:hAnsi="宋体" w:eastAsia="宋体" w:cs="宋体"/>
                <w:color w:val="auto"/>
                <w:sz w:val="26"/>
                <w:szCs w:val="26"/>
              </w:rPr>
            </w:pPr>
          </w:p>
        </w:tc>
        <w:tc>
          <w:tcPr>
            <w:tcW w:w="585"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r>
    </w:tbl>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4"/>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4"/>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4"/>
        <w:rPr>
          <w:rFonts w:hint="eastAsia" w:ascii="宋体" w:hAnsi="宋体" w:eastAsia="宋体" w:cs="宋体"/>
          <w:color w:val="FF0000"/>
          <w:sz w:val="24"/>
          <w:szCs w:val="24"/>
          <w:highlight w:val="none"/>
        </w:r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4"/>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3"/>
        <w:tabs>
          <w:tab w:val="center" w:pos="4450"/>
          <w:tab w:val="left" w:pos="6396"/>
        </w:tabs>
        <w:jc w:val="center"/>
        <w:rPr>
          <w:rFonts w:hint="eastAsia" w:ascii="宋体" w:hAnsi="宋体" w:eastAsia="宋体" w:cs="宋体"/>
        </w:rPr>
      </w:pPr>
    </w:p>
    <w:p>
      <w:pPr>
        <w:pStyle w:val="3"/>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6"/>
        </w:numPr>
        <w:ind w:left="425" w:leftChars="0" w:hanging="425" w:firstLine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r>
        <w:rPr>
          <w:rFonts w:hint="eastAsia" w:ascii="宋体" w:hAnsi="宋体" w:eastAsia="宋体" w:cs="宋体"/>
          <w:color w:val="auto"/>
          <w:sz w:val="24"/>
          <w:szCs w:val="24"/>
          <w:highlight w:val="none"/>
        </w:rPr>
        <w:t>医疗器械注册</w:t>
      </w:r>
      <w:r>
        <w:rPr>
          <w:rFonts w:hint="eastAsia" w:ascii="宋体" w:hAnsi="宋体" w:cs="宋体"/>
          <w:color w:val="auto"/>
          <w:sz w:val="24"/>
          <w:szCs w:val="24"/>
          <w:highlight w:val="none"/>
          <w:lang w:val="en-US" w:eastAsia="zh-CN"/>
        </w:rPr>
        <w:t>证</w:t>
      </w:r>
    </w:p>
    <w:p>
      <w:pPr>
        <w:numPr>
          <w:ilvl w:val="0"/>
          <w:numId w:val="6"/>
        </w:numPr>
        <w:ind w:left="425" w:leftChars="0" w:hanging="425" w:firstLineChars="0"/>
        <w:rPr>
          <w:rFonts w:hint="eastAsia" w:ascii="宋体" w:hAnsi="宋体" w:eastAsia="宋体" w:cs="宋体"/>
          <w:color w:val="auto"/>
          <w:sz w:val="24"/>
          <w:szCs w:val="24"/>
          <w:highlight w:val="none"/>
        </w:rPr>
      </w:pPr>
      <w:bookmarkStart w:id="6" w:name="_GoBack"/>
      <w:bookmarkEnd w:id="6"/>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5"/>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467ED1D"/>
    <w:multiLevelType w:val="singleLevel"/>
    <w:tmpl w:val="D467ED1D"/>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86483A5"/>
    <w:multiLevelType w:val="singleLevel"/>
    <w:tmpl w:val="286483A5"/>
    <w:lvl w:ilvl="0" w:tentative="0">
      <w:start w:val="6"/>
      <w:numFmt w:val="chineseCounting"/>
      <w:suff w:val="nothing"/>
      <w:lvlText w:val="%1、"/>
      <w:lvlJc w:val="left"/>
      <w:rPr>
        <w:rFonts w:hint="eastAsia"/>
      </w:rPr>
    </w:lvl>
  </w:abstractNum>
  <w:abstractNum w:abstractNumId="4">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5">
    <w:nsid w:val="3319129A"/>
    <w:multiLevelType w:val="multilevel"/>
    <w:tmpl w:val="3319129A"/>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6FEF5E58"/>
    <w:multiLevelType w:val="singleLevel"/>
    <w:tmpl w:val="6FEF5E58"/>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824491C"/>
    <w:rsid w:val="13F32450"/>
    <w:rsid w:val="174F240F"/>
    <w:rsid w:val="19BD0BCC"/>
    <w:rsid w:val="1A7850C9"/>
    <w:rsid w:val="21946261"/>
    <w:rsid w:val="26E9186E"/>
    <w:rsid w:val="2FDE7907"/>
    <w:rsid w:val="62951A17"/>
    <w:rsid w:val="73CD0149"/>
    <w:rsid w:val="78866507"/>
    <w:rsid w:val="79587DE9"/>
    <w:rsid w:val="79675089"/>
    <w:rsid w:val="7C987517"/>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szCs w:val="20"/>
    </w:rPr>
  </w:style>
  <w:style w:type="paragraph" w:styleId="5">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4"/>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6339</Words>
  <Characters>6627</Characters>
  <Lines>0</Lines>
  <Paragraphs>0</Paragraphs>
  <TotalTime>2</TotalTime>
  <ScaleCrop>false</ScaleCrop>
  <LinksUpToDate>false</LinksUpToDate>
  <CharactersWithSpaces>6875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2023-08-31T07:37:26Z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E7BA3A01E01D4BD9B118B4C534D56E56</vt:lpwstr>
  </property>
</Properties>
</file>