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8"/>
        <w:rPr>
          <w:rFonts w:hint="eastAsia" w:ascii="宋体" w:hAnsi="宋体" w:eastAsia="宋体" w:cs="宋体"/>
          <w:b/>
          <w:color w:val="auto"/>
          <w:sz w:val="36"/>
          <w:szCs w:val="36"/>
          <w:highlight w:val="none"/>
        </w:rPr>
      </w:pPr>
    </w:p>
    <w:p>
      <w:pPr>
        <w:pStyle w:val="9"/>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8"/>
        <w:rPr>
          <w:rFonts w:hint="eastAsia" w:ascii="宋体" w:hAnsi="宋体" w:eastAsia="宋体" w:cs="宋体"/>
          <w:b/>
          <w:color w:val="auto"/>
          <w:sz w:val="36"/>
          <w:szCs w:val="36"/>
          <w:highlight w:val="none"/>
        </w:rPr>
      </w:pPr>
    </w:p>
    <w:p>
      <w:pPr>
        <w:pStyle w:val="9"/>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rPr>
        <w:t>项目名称：Web应用精细化安全防御服务（2年）项目</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项目编号：XLYY20230804</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8"/>
        <w:rPr>
          <w:rFonts w:hint="eastAsia" w:ascii="宋体" w:hAnsi="宋体" w:eastAsia="宋体" w:cs="宋体"/>
          <w:b/>
          <w:bCs/>
          <w:color w:val="auto"/>
          <w:sz w:val="36"/>
          <w:szCs w:val="36"/>
          <w:highlight w:val="none"/>
          <w:u w:val="single"/>
        </w:rPr>
      </w:pPr>
    </w:p>
    <w:p>
      <w:pPr>
        <w:pStyle w:val="9"/>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8</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8"/>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9"/>
            <w:rPr>
              <w:rFonts w:hint="eastAsia" w:ascii="宋体" w:hAnsi="宋体" w:eastAsia="宋体" w:cs="宋体"/>
              <w:color w:val="auto"/>
              <w:highlight w:val="none"/>
            </w:rPr>
          </w:pPr>
        </w:p>
        <w:p>
          <w:pPr>
            <w:pStyle w:val="13"/>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4"/>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pStyle w:val="8"/>
        <w:rPr>
          <w:rFonts w:hint="eastAsia"/>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1.项目名称：Web应用精细化安全防御服务（2年）项目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7"/>
        <w:tblpPr w:leftFromText="180" w:rightFromText="180" w:vertAnchor="text" w:horzAnchor="page" w:tblpX="1582" w:tblpY="136"/>
        <w:tblOverlap w:val="neve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229"/>
        <w:gridCol w:w="855"/>
        <w:gridCol w:w="840"/>
        <w:gridCol w:w="1995"/>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628" w:hRule="atLeast"/>
        </w:trPr>
        <w:tc>
          <w:tcPr>
            <w:tcW w:w="758"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229"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855"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40"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单位</w:t>
            </w:r>
          </w:p>
        </w:tc>
        <w:tc>
          <w:tcPr>
            <w:tcW w:w="1995"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1928"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229"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Web应用精细化安全防御服务</w:t>
            </w:r>
          </w:p>
        </w:tc>
        <w:tc>
          <w:tcPr>
            <w:tcW w:w="855"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p>
        </w:tc>
        <w:tc>
          <w:tcPr>
            <w:tcW w:w="840"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cs="宋体"/>
                <w:color w:val="auto"/>
                <w:sz w:val="24"/>
                <w:szCs w:val="24"/>
                <w:highlight w:val="none"/>
                <w:lang w:val="en-US" w:eastAsia="zh-CN"/>
              </w:rPr>
            </w:pPr>
            <w:r>
              <w:rPr>
                <w:rFonts w:hint="eastAsia" w:cs="宋体"/>
                <w:color w:val="auto"/>
                <w:sz w:val="24"/>
                <w:szCs w:val="24"/>
                <w:highlight w:val="none"/>
                <w:lang w:val="en-US" w:eastAsia="zh-CN"/>
              </w:rPr>
              <w:t>年</w:t>
            </w:r>
          </w:p>
        </w:tc>
        <w:tc>
          <w:tcPr>
            <w:tcW w:w="1995"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391000.00</w:t>
            </w:r>
          </w:p>
        </w:tc>
        <w:tc>
          <w:tcPr>
            <w:tcW w:w="1928"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3.提供有效的三证合一的营业执照等资质证件；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bookmarkStart w:id="19" w:name="_GoBack"/>
      <w:bookmarkEnd w:id="19"/>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31</w:t>
      </w:r>
      <w:r>
        <w:rPr>
          <w:rFonts w:hint="eastAsia" w:ascii="宋体" w:hAnsi="宋体" w:eastAsia="宋体" w:cs="宋体"/>
          <w:color w:val="auto"/>
          <w:sz w:val="24"/>
          <w:szCs w:val="24"/>
          <w:highlight w:val="none"/>
        </w:rPr>
        <w:t>日17:00（北京时间）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w:t>
      </w: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rPr>
        <w:t>份，一正</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副），供采购人进行预审核：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预审通过后，采购人以电子邮件方式通知供应商进入下一阶段流程。</w:t>
      </w:r>
    </w:p>
    <w:p>
      <w:pPr>
        <w:pStyle w:val="1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24</w:t>
      </w:r>
      <w:r>
        <w:rPr>
          <w:rFonts w:hint="eastAsia" w:ascii="宋体" w:hAnsi="宋体" w:eastAsia="宋体" w:cs="宋体"/>
          <w:color w:val="auto"/>
          <w:sz w:val="24"/>
          <w:szCs w:val="24"/>
          <w:highlight w:val="none"/>
        </w:rPr>
        <w:t>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pStyle w:val="22"/>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10"/>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pStyle w:val="4"/>
        <w:jc w:val="center"/>
        <w:rPr>
          <w:rFonts w:ascii="宋体" w:hAnsi="宋体" w:eastAsia="宋体" w:cs="宋体"/>
          <w:sz w:val="24"/>
        </w:rPr>
      </w:pPr>
      <w:r>
        <w:rPr>
          <w:rFonts w:hint="eastAsia"/>
        </w:rPr>
        <w:t>用户需求书</w:t>
      </w:r>
    </w:p>
    <w:p>
      <w:pPr>
        <w:snapToGrid w:val="0"/>
        <w:spacing w:line="360" w:lineRule="auto"/>
        <w:jc w:val="left"/>
        <w:rPr>
          <w:rFonts w:ascii="宋体" w:hAnsi="宋体" w:eastAsia="宋体" w:cs="宋体"/>
          <w:b/>
          <w:bCs/>
          <w:sz w:val="24"/>
          <w:lang w:val="zh-CN" w:eastAsia="zh-TW"/>
        </w:rPr>
      </w:pPr>
      <w:r>
        <w:rPr>
          <w:rFonts w:hint="eastAsia" w:ascii="宋体" w:hAnsi="宋体" w:eastAsia="宋体" w:cs="宋体"/>
          <w:b/>
          <w:bCs/>
          <w:sz w:val="24"/>
          <w:lang w:val="zh-CN" w:eastAsia="zh-TW"/>
        </w:rPr>
        <w:t>一、项目概况</w:t>
      </w:r>
    </w:p>
    <w:p>
      <w:pPr>
        <w:spacing w:line="360" w:lineRule="auto"/>
        <w:ind w:firstLine="424" w:firstLineChars="177"/>
        <w:jc w:val="left"/>
        <w:rPr>
          <w:rFonts w:ascii="宋体" w:hAnsi="宋体" w:eastAsia="宋体" w:cs="宋体"/>
          <w:bCs/>
          <w:sz w:val="24"/>
          <w:lang w:val="zh-CN" w:eastAsia="zh-TW"/>
        </w:rPr>
      </w:pPr>
      <w:r>
        <w:rPr>
          <w:rFonts w:hint="eastAsia" w:ascii="宋体" w:hAnsi="宋体" w:eastAsia="宋体" w:cs="宋体"/>
          <w:bCs/>
          <w:sz w:val="24"/>
          <w:lang w:val="zh-CN" w:eastAsia="zh-TW"/>
        </w:rPr>
        <w:t>项目名称：Web应用精细化安全防御服务（2年）项目</w:t>
      </w:r>
    </w:p>
    <w:p>
      <w:pPr>
        <w:spacing w:line="360" w:lineRule="auto"/>
        <w:ind w:firstLine="424" w:firstLineChars="177"/>
        <w:jc w:val="left"/>
        <w:rPr>
          <w:rFonts w:ascii="宋体" w:hAnsi="宋体" w:eastAsia="PMingLiU" w:cs="宋体"/>
          <w:bCs/>
          <w:sz w:val="24"/>
          <w:lang w:val="zh-CN" w:eastAsia="zh-TW"/>
        </w:rPr>
      </w:pPr>
      <w:r>
        <w:rPr>
          <w:rFonts w:hint="eastAsia" w:ascii="宋体" w:hAnsi="宋体" w:eastAsia="宋体" w:cs="宋体"/>
          <w:bCs/>
          <w:sz w:val="24"/>
          <w:lang w:val="zh-CN" w:eastAsia="zh-TW"/>
        </w:rPr>
        <w:t>用户单位：中山市小榄人民医院</w:t>
      </w:r>
    </w:p>
    <w:p>
      <w:pPr>
        <w:snapToGrid w:val="0"/>
        <w:spacing w:line="360" w:lineRule="auto"/>
        <w:jc w:val="left"/>
        <w:rPr>
          <w:rFonts w:ascii="宋体" w:hAnsi="宋体" w:eastAsia="宋体" w:cs="宋体"/>
          <w:b/>
          <w:bCs/>
          <w:color w:val="auto"/>
          <w:sz w:val="24"/>
        </w:rPr>
      </w:pPr>
      <w:r>
        <w:rPr>
          <w:rFonts w:hint="eastAsia" w:ascii="宋体" w:hAnsi="宋体" w:eastAsia="宋体" w:cs="宋体"/>
          <w:b/>
          <w:bCs/>
          <w:color w:val="auto"/>
          <w:sz w:val="24"/>
        </w:rPr>
        <w:t>二、项目基本要求</w:t>
      </w:r>
    </w:p>
    <w:p>
      <w:pPr>
        <w:snapToGrid w:val="0"/>
        <w:spacing w:line="360" w:lineRule="auto"/>
        <w:ind w:left="450" w:leftChars="100" w:hanging="240" w:hangingChars="100"/>
        <w:jc w:val="left"/>
        <w:rPr>
          <w:rFonts w:ascii="宋体" w:hAnsi="宋体" w:eastAsia="宋体" w:cs="宋体"/>
          <w:bCs/>
          <w:color w:val="auto"/>
          <w:sz w:val="24"/>
        </w:rPr>
      </w:pPr>
      <w:r>
        <w:rPr>
          <w:rFonts w:hint="eastAsia" w:ascii="宋体" w:hAnsi="宋体" w:eastAsia="宋体" w:cs="宋体"/>
          <w:bCs/>
          <w:color w:val="auto"/>
          <w:sz w:val="24"/>
        </w:rPr>
        <w:t xml:space="preserve">1、 </w:t>
      </w:r>
      <w:r>
        <w:rPr>
          <w:rFonts w:hint="eastAsia" w:ascii="宋体" w:hAnsi="宋体" w:eastAsia="宋体" w:cs="宋体"/>
          <w:bCs/>
          <w:color w:val="auto"/>
          <w:sz w:val="24"/>
          <w:lang w:val="zh-CN" w:eastAsia="zh-TW"/>
        </w:rPr>
        <w:t>本项目服务时间自</w:t>
      </w:r>
      <w:r>
        <w:rPr>
          <w:rFonts w:hint="eastAsia" w:ascii="宋体" w:hAnsi="宋体" w:eastAsia="宋体" w:cs="宋体"/>
          <w:bCs/>
          <w:color w:val="auto"/>
          <w:sz w:val="24"/>
          <w:lang w:val="zh-CN"/>
        </w:rPr>
        <w:t>合同签订之日起两年；</w:t>
      </w:r>
    </w:p>
    <w:p>
      <w:pPr>
        <w:snapToGrid w:val="0"/>
        <w:spacing w:line="360" w:lineRule="auto"/>
        <w:ind w:left="690" w:leftChars="100" w:hanging="480" w:hangingChars="200"/>
        <w:jc w:val="left"/>
        <w:rPr>
          <w:rFonts w:ascii="宋体" w:hAnsi="宋体" w:eastAsia="宋体" w:cs="宋体"/>
          <w:bCs/>
          <w:sz w:val="24"/>
          <w:lang w:val="zh-CN" w:eastAsia="zh-TW"/>
        </w:rPr>
      </w:pPr>
      <w:r>
        <w:rPr>
          <w:rFonts w:hint="eastAsia" w:ascii="宋体" w:hAnsi="宋体" w:eastAsia="宋体" w:cs="宋体"/>
          <w:bCs/>
          <w:sz w:val="24"/>
        </w:rPr>
        <w:t>2、 服务商</w:t>
      </w:r>
      <w:r>
        <w:rPr>
          <w:rFonts w:hint="eastAsia" w:ascii="宋体" w:hAnsi="宋体" w:eastAsia="宋体" w:cs="宋体"/>
          <w:bCs/>
          <w:sz w:val="24"/>
          <w:lang w:val="zh-CN" w:eastAsia="zh-TW"/>
        </w:rPr>
        <w:t>须对本项目全部内容进行整体投标，任何只对其中一部分内容进行投标的都将视为无效投标，也</w:t>
      </w:r>
      <w:r>
        <w:rPr>
          <w:rFonts w:hint="eastAsia" w:ascii="宋体" w:hAnsi="宋体" w:cs="宋体"/>
          <w:bCs/>
          <w:sz w:val="24"/>
        </w:rPr>
        <w:t>不得以任何方式转包或分包本项目；</w:t>
      </w:r>
    </w:p>
    <w:p>
      <w:pPr>
        <w:snapToGrid w:val="0"/>
        <w:spacing w:line="360" w:lineRule="auto"/>
        <w:ind w:left="690" w:leftChars="100" w:hanging="480" w:hangingChars="200"/>
        <w:jc w:val="left"/>
        <w:rPr>
          <w:rFonts w:ascii="宋体" w:hAnsi="宋体"/>
          <w:sz w:val="24"/>
        </w:rPr>
      </w:pPr>
      <w:r>
        <w:rPr>
          <w:rFonts w:hint="eastAsia" w:ascii="宋体" w:hAnsi="宋体" w:eastAsia="宋体" w:cs="宋体"/>
          <w:bCs/>
          <w:sz w:val="24"/>
        </w:rPr>
        <w:t>3、</w:t>
      </w:r>
      <w:r>
        <w:rPr>
          <w:rFonts w:hint="eastAsia" w:ascii="宋体" w:hAnsi="宋体"/>
          <w:sz w:val="24"/>
        </w:rPr>
        <w:t>★日常适应性维护服务（提供</w:t>
      </w:r>
      <w:r>
        <w:rPr>
          <w:rFonts w:ascii="宋体" w:hAnsi="宋体"/>
          <w:sz w:val="24"/>
        </w:rPr>
        <w:t>7</w:t>
      </w:r>
      <w:r>
        <w:rPr>
          <w:rFonts w:hint="eastAsia" w:ascii="宋体" w:hAnsi="宋体"/>
          <w:sz w:val="24"/>
        </w:rPr>
        <w:t>*</w:t>
      </w:r>
      <w:r>
        <w:rPr>
          <w:rFonts w:ascii="宋体" w:hAnsi="宋体"/>
          <w:sz w:val="24"/>
        </w:rPr>
        <w:t>24</w:t>
      </w:r>
      <w:r>
        <w:rPr>
          <w:rFonts w:hint="eastAsia" w:ascii="宋体" w:hAnsi="宋体"/>
          <w:sz w:val="24"/>
        </w:rPr>
        <w:t>*4小时级别服务，</w:t>
      </w:r>
      <w:r>
        <w:rPr>
          <w:rFonts w:ascii="宋体" w:hAnsi="宋体"/>
          <w:sz w:val="24"/>
        </w:rPr>
        <w:t>7</w:t>
      </w:r>
      <w:r>
        <w:rPr>
          <w:rFonts w:hint="eastAsia" w:ascii="宋体" w:hAnsi="宋体"/>
          <w:sz w:val="24"/>
        </w:rPr>
        <w:t>*</w:t>
      </w:r>
      <w:r>
        <w:rPr>
          <w:rFonts w:ascii="宋体" w:hAnsi="宋体"/>
          <w:sz w:val="24"/>
        </w:rPr>
        <w:t>24</w:t>
      </w:r>
      <w:r>
        <w:rPr>
          <w:rFonts w:hint="eastAsia" w:ascii="宋体" w:hAnsi="宋体"/>
          <w:sz w:val="24"/>
        </w:rPr>
        <w:t>*4是指每周</w:t>
      </w:r>
      <w:r>
        <w:rPr>
          <w:rFonts w:ascii="宋体" w:hAnsi="宋体"/>
          <w:sz w:val="24"/>
        </w:rPr>
        <w:t>7</w:t>
      </w:r>
      <w:r>
        <w:rPr>
          <w:rFonts w:hint="eastAsia" w:ascii="宋体" w:hAnsi="宋体"/>
          <w:sz w:val="24"/>
        </w:rPr>
        <w:t>天,每天</w:t>
      </w:r>
      <w:r>
        <w:rPr>
          <w:rFonts w:ascii="宋体" w:hAnsi="宋体"/>
          <w:sz w:val="24"/>
        </w:rPr>
        <w:t>24</w:t>
      </w:r>
      <w:r>
        <w:rPr>
          <w:rFonts w:hint="eastAsia" w:ascii="宋体" w:hAnsi="宋体"/>
          <w:sz w:val="24"/>
        </w:rPr>
        <w:t>小时，电话响应,包含法定节假日，如需要维护方工程师到现场的在接到我院电话通知后最快2小时内到达现场，最迟不得超过4小时）；</w:t>
      </w:r>
    </w:p>
    <w:p>
      <w:pPr>
        <w:spacing w:line="360" w:lineRule="auto"/>
        <w:ind w:left="523" w:leftChars="135" w:hanging="240" w:hangingChars="100"/>
        <w:jc w:val="left"/>
        <w:rPr>
          <w:rFonts w:ascii="宋体" w:hAnsi="宋体"/>
          <w:sz w:val="24"/>
        </w:rPr>
      </w:pPr>
      <w:r>
        <w:rPr>
          <w:rFonts w:hint="eastAsia" w:ascii="宋体" w:hAnsi="宋体"/>
          <w:sz w:val="24"/>
        </w:rPr>
        <w:t>4、★在维护期内根据院方要求，须确保维护产品功能完整，包括但不限于：一般更新、入侵防御，反病毒，突发防护。</w:t>
      </w:r>
    </w:p>
    <w:p>
      <w:pPr>
        <w:spacing w:line="360" w:lineRule="auto"/>
        <w:ind w:left="523" w:leftChars="135" w:hanging="240" w:hangingChars="100"/>
        <w:jc w:val="left"/>
        <w:rPr>
          <w:rFonts w:ascii="宋体" w:hAnsi="宋体" w:cs="宋体"/>
          <w:sz w:val="24"/>
        </w:rPr>
      </w:pPr>
      <w:r>
        <w:rPr>
          <w:rFonts w:ascii="宋体" w:hAnsi="宋体"/>
          <w:sz w:val="24"/>
        </w:rPr>
        <w:t>5</w:t>
      </w:r>
      <w:r>
        <w:rPr>
          <w:rFonts w:hint="eastAsia" w:ascii="宋体" w:hAnsi="宋体"/>
          <w:sz w:val="24"/>
        </w:rPr>
        <w:t>、★对于以上服务条款的内容，维护方需提供工程师到现场或通过远程的方式执行维护服务;电话响应时效为0</w:t>
      </w:r>
      <w:r>
        <w:rPr>
          <w:rFonts w:ascii="宋体" w:hAnsi="宋体"/>
          <w:sz w:val="24"/>
        </w:rPr>
        <w:t>.5</w:t>
      </w:r>
      <w:r>
        <w:rPr>
          <w:rFonts w:hint="eastAsia" w:ascii="宋体" w:hAnsi="宋体"/>
          <w:sz w:val="24"/>
        </w:rPr>
        <w:t>小时内，若通过电话不能解决问题的，在</w:t>
      </w:r>
      <w:r>
        <w:rPr>
          <w:rFonts w:ascii="宋体" w:hAnsi="宋体"/>
          <w:sz w:val="24"/>
        </w:rPr>
        <w:t>4</w:t>
      </w:r>
      <w:r>
        <w:rPr>
          <w:rFonts w:hint="eastAsia" w:ascii="宋体" w:hAnsi="宋体"/>
          <w:sz w:val="24"/>
        </w:rPr>
        <w:t>小时内到安排维护工程师达用户现</w:t>
      </w:r>
      <w:r>
        <w:rPr>
          <w:rFonts w:hint="eastAsia" w:ascii="宋体" w:hAnsi="宋体" w:cs="宋体"/>
          <w:sz w:val="24"/>
        </w:rPr>
        <w:t>场；</w:t>
      </w:r>
    </w:p>
    <w:p>
      <w:pPr>
        <w:spacing w:line="360" w:lineRule="auto"/>
        <w:ind w:left="523" w:leftChars="135" w:hanging="240" w:hangingChars="100"/>
        <w:jc w:val="left"/>
        <w:rPr>
          <w:rFonts w:ascii="宋体" w:hAnsi="宋体" w:cs="宋体"/>
          <w:sz w:val="24"/>
        </w:rPr>
      </w:pPr>
    </w:p>
    <w:p>
      <w:pPr>
        <w:snapToGrid w:val="0"/>
        <w:spacing w:line="360" w:lineRule="auto"/>
        <w:jc w:val="left"/>
        <w:rPr>
          <w:rFonts w:ascii="宋体" w:hAnsi="宋体" w:eastAsia="宋体" w:cs="宋体"/>
          <w:b/>
          <w:bCs/>
          <w:sz w:val="24"/>
        </w:rPr>
      </w:pPr>
      <w:r>
        <w:rPr>
          <w:rFonts w:hint="eastAsia" w:ascii="宋体" w:hAnsi="宋体" w:eastAsia="宋体" w:cs="宋体"/>
          <w:b/>
          <w:bCs/>
          <w:sz w:val="24"/>
        </w:rPr>
        <w:t>三、项目服务需求说明及维护清单：</w:t>
      </w:r>
    </w:p>
    <w:tbl>
      <w:tblPr>
        <w:tblStyle w:val="18"/>
        <w:tblW w:w="879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69"/>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vAlign w:val="center"/>
          </w:tcPr>
          <w:p>
            <w:pPr>
              <w:spacing w:line="440" w:lineRule="exact"/>
              <w:jc w:val="center"/>
              <w:rPr>
                <w:rFonts w:ascii="宋体" w:hAnsi="宋体"/>
                <w:b/>
                <w:szCs w:val="21"/>
              </w:rPr>
            </w:pPr>
            <w:r>
              <w:rPr>
                <w:rFonts w:hint="eastAsia" w:ascii="宋体" w:hAnsi="宋体"/>
                <w:b/>
                <w:szCs w:val="21"/>
              </w:rPr>
              <w:t>序号</w:t>
            </w:r>
          </w:p>
        </w:tc>
        <w:tc>
          <w:tcPr>
            <w:tcW w:w="2269" w:type="dxa"/>
            <w:vAlign w:val="center"/>
          </w:tcPr>
          <w:p>
            <w:pPr>
              <w:spacing w:line="440" w:lineRule="exact"/>
              <w:jc w:val="center"/>
              <w:rPr>
                <w:rFonts w:ascii="宋体" w:hAnsi="宋体"/>
                <w:b/>
                <w:szCs w:val="21"/>
              </w:rPr>
            </w:pPr>
            <w:r>
              <w:rPr>
                <w:rFonts w:hint="eastAsia" w:ascii="宋体" w:hAnsi="宋体"/>
                <w:b/>
                <w:szCs w:val="21"/>
              </w:rPr>
              <w:t>功能要求</w:t>
            </w:r>
          </w:p>
        </w:tc>
        <w:tc>
          <w:tcPr>
            <w:tcW w:w="5812" w:type="dxa"/>
            <w:vAlign w:val="center"/>
          </w:tcPr>
          <w:p>
            <w:pPr>
              <w:spacing w:line="440" w:lineRule="exact"/>
              <w:jc w:val="center"/>
              <w:rPr>
                <w:rFonts w:ascii="宋体" w:hAnsi="宋体"/>
                <w:b/>
                <w:szCs w:val="21"/>
              </w:rPr>
            </w:pPr>
            <w:r>
              <w:rPr>
                <w:rFonts w:hint="eastAsia" w:ascii="宋体" w:hAnsi="宋体"/>
                <w:b/>
                <w:szCs w:val="21"/>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709" w:type="dxa"/>
            <w:vAlign w:val="center"/>
          </w:tcPr>
          <w:p>
            <w:pPr>
              <w:spacing w:line="440" w:lineRule="exact"/>
              <w:jc w:val="center"/>
              <w:rPr>
                <w:rFonts w:ascii="宋体" w:hAnsi="宋体"/>
                <w:b/>
                <w:szCs w:val="21"/>
              </w:rPr>
            </w:pPr>
            <w:r>
              <w:rPr>
                <w:rFonts w:hint="eastAsia" w:ascii="宋体" w:hAnsi="宋体"/>
                <w:b/>
                <w:szCs w:val="21"/>
              </w:rPr>
              <w:t>1</w:t>
            </w:r>
          </w:p>
        </w:tc>
        <w:tc>
          <w:tcPr>
            <w:tcW w:w="2269" w:type="dxa"/>
            <w:vAlign w:val="center"/>
          </w:tcPr>
          <w:p>
            <w:pPr>
              <w:spacing w:line="440" w:lineRule="exact"/>
              <w:jc w:val="center"/>
              <w:rPr>
                <w:rFonts w:ascii="宋体" w:hAnsi="宋体"/>
                <w:b/>
                <w:szCs w:val="21"/>
              </w:rPr>
            </w:pPr>
            <w:r>
              <w:rPr>
                <w:rFonts w:hint="eastAsia" w:ascii="宋体" w:hAnsi="宋体"/>
                <w:b/>
                <w:szCs w:val="21"/>
              </w:rPr>
              <w:t>支</w:t>
            </w:r>
            <w:r>
              <w:rPr>
                <w:rFonts w:hint="eastAsia" w:ascii="宋体" w:hAnsi="宋体"/>
                <w:bCs/>
                <w:szCs w:val="21"/>
              </w:rPr>
              <w:t>持L</w:t>
            </w:r>
            <w:r>
              <w:rPr>
                <w:rFonts w:ascii="宋体" w:hAnsi="宋体"/>
                <w:bCs/>
                <w:szCs w:val="21"/>
              </w:rPr>
              <w:t>4-L7</w:t>
            </w:r>
            <w:r>
              <w:rPr>
                <w:rFonts w:hint="eastAsia" w:ascii="宋体" w:hAnsi="宋体"/>
                <w:bCs/>
                <w:szCs w:val="21"/>
              </w:rPr>
              <w:t>应用攻击防护</w:t>
            </w:r>
          </w:p>
        </w:tc>
        <w:tc>
          <w:tcPr>
            <w:tcW w:w="5812" w:type="dxa"/>
            <w:vAlign w:val="center"/>
          </w:tcPr>
          <w:p>
            <w:pPr>
              <w:jc w:val="left"/>
              <w:rPr>
                <w:rFonts w:ascii="宋体" w:hAnsi="宋体"/>
                <w:sz w:val="20"/>
                <w:szCs w:val="20"/>
              </w:rPr>
            </w:pPr>
            <w:r>
              <w:rPr>
                <w:rFonts w:hint="eastAsia" w:ascii="宋体" w:hAnsi="宋体"/>
                <w:szCs w:val="21"/>
              </w:rPr>
              <w:t>★</w:t>
            </w:r>
            <w:r>
              <w:rPr>
                <w:rFonts w:ascii="宋体" w:hAnsi="宋体"/>
                <w:sz w:val="20"/>
                <w:szCs w:val="20"/>
              </w:rPr>
              <w:t xml:space="preserve">1  </w:t>
            </w:r>
            <w:r>
              <w:rPr>
                <w:rFonts w:hint="eastAsia" w:ascii="宋体" w:hAnsi="宋体"/>
                <w:sz w:val="20"/>
                <w:szCs w:val="20"/>
              </w:rPr>
              <w:t>至少支持提供3</w:t>
            </w:r>
            <w:r>
              <w:rPr>
                <w:rFonts w:ascii="宋体" w:hAnsi="宋体"/>
                <w:sz w:val="20"/>
                <w:szCs w:val="20"/>
              </w:rPr>
              <w:t>0</w:t>
            </w:r>
            <w:r>
              <w:rPr>
                <w:rFonts w:hint="eastAsia" w:ascii="宋体" w:hAnsi="宋体"/>
                <w:sz w:val="20"/>
                <w:szCs w:val="20"/>
              </w:rPr>
              <w:t>万Q</w:t>
            </w:r>
            <w:r>
              <w:rPr>
                <w:rFonts w:ascii="宋体" w:hAnsi="宋体"/>
                <w:sz w:val="20"/>
                <w:szCs w:val="20"/>
              </w:rPr>
              <w:t>PS</w:t>
            </w:r>
            <w:r>
              <w:rPr>
                <w:rFonts w:hint="eastAsia" w:ascii="宋体" w:hAnsi="宋体"/>
                <w:sz w:val="20"/>
                <w:szCs w:val="20"/>
              </w:rPr>
              <w:t>起C</w:t>
            </w:r>
            <w:r>
              <w:rPr>
                <w:rFonts w:ascii="宋体" w:hAnsi="宋体"/>
                <w:sz w:val="20"/>
                <w:szCs w:val="20"/>
              </w:rPr>
              <w:t>C</w:t>
            </w:r>
            <w:r>
              <w:rPr>
                <w:rFonts w:hint="eastAsia" w:ascii="宋体" w:hAnsi="宋体"/>
                <w:sz w:val="20"/>
                <w:szCs w:val="20"/>
              </w:rPr>
              <w:t>防护能力，采用高性能集群部署，并支持扩展至更高级别防护能力。</w:t>
            </w:r>
          </w:p>
          <w:p>
            <w:pPr>
              <w:jc w:val="left"/>
              <w:rPr>
                <w:sz w:val="20"/>
                <w:szCs w:val="20"/>
              </w:rPr>
            </w:pPr>
            <w:r>
              <w:rPr>
                <w:rFonts w:hint="eastAsia" w:ascii="宋体" w:hAnsi="宋体"/>
                <w:szCs w:val="21"/>
              </w:rPr>
              <w:t>★</w:t>
            </w:r>
            <w:r>
              <w:rPr>
                <w:sz w:val="20"/>
                <w:szCs w:val="20"/>
              </w:rPr>
              <w:t>2</w:t>
            </w:r>
            <w:r>
              <w:rPr>
                <w:rFonts w:hint="eastAsia"/>
                <w:sz w:val="20"/>
                <w:szCs w:val="20"/>
              </w:rPr>
              <w:t xml:space="preserve"> </w:t>
            </w:r>
            <w:r>
              <w:rPr>
                <w:sz w:val="20"/>
                <w:szCs w:val="20"/>
              </w:rPr>
              <w:t xml:space="preserve"> </w:t>
            </w:r>
            <w:r>
              <w:rPr>
                <w:rFonts w:hint="eastAsia"/>
                <w:sz w:val="20"/>
                <w:szCs w:val="20"/>
              </w:rPr>
              <w:t>至少可满足支持4</w:t>
            </w:r>
            <w:r>
              <w:rPr>
                <w:sz w:val="20"/>
                <w:szCs w:val="20"/>
              </w:rPr>
              <w:t>0</w:t>
            </w:r>
            <w:r>
              <w:rPr>
                <w:rFonts w:hint="eastAsia"/>
                <w:sz w:val="20"/>
                <w:szCs w:val="20"/>
              </w:rPr>
              <w:t>大类上千种应用层攻击防护。</w:t>
            </w:r>
          </w:p>
          <w:p>
            <w:pPr>
              <w:jc w:val="left"/>
              <w:rPr>
                <w:sz w:val="20"/>
                <w:szCs w:val="20"/>
              </w:rPr>
            </w:pPr>
            <w:r>
              <w:rPr>
                <w:rFonts w:hint="eastAsia" w:ascii="宋体" w:hAnsi="宋体"/>
                <w:szCs w:val="21"/>
              </w:rPr>
              <w:t>★</w:t>
            </w:r>
            <w:r>
              <w:rPr>
                <w:sz w:val="20"/>
                <w:szCs w:val="20"/>
              </w:rPr>
              <w:t>3</w:t>
            </w:r>
            <w:r>
              <w:rPr>
                <w:rFonts w:hint="eastAsia"/>
                <w:sz w:val="20"/>
                <w:szCs w:val="20"/>
              </w:rPr>
              <w:t xml:space="preserve"> </w:t>
            </w:r>
            <w:r>
              <w:rPr>
                <w:sz w:val="20"/>
                <w:szCs w:val="20"/>
              </w:rPr>
              <w:t xml:space="preserve"> </w:t>
            </w:r>
            <w:r>
              <w:rPr>
                <w:rFonts w:hint="eastAsia"/>
                <w:sz w:val="20"/>
                <w:szCs w:val="20"/>
              </w:rPr>
              <w:t>能提供特别事件如护网行动、0日攻击和特殊时期如国庆、重大活动期间的重保服务。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709" w:type="dxa"/>
            <w:vAlign w:val="center"/>
          </w:tcPr>
          <w:p>
            <w:pPr>
              <w:spacing w:line="440" w:lineRule="exact"/>
              <w:jc w:val="center"/>
              <w:rPr>
                <w:rFonts w:ascii="宋体" w:hAnsi="宋体"/>
                <w:b/>
                <w:szCs w:val="21"/>
              </w:rPr>
            </w:pPr>
            <w:r>
              <w:rPr>
                <w:rFonts w:hint="eastAsia" w:ascii="宋体" w:hAnsi="宋体"/>
                <w:b/>
                <w:szCs w:val="21"/>
              </w:rPr>
              <w:t>2</w:t>
            </w:r>
          </w:p>
        </w:tc>
        <w:tc>
          <w:tcPr>
            <w:tcW w:w="2269" w:type="dxa"/>
            <w:vAlign w:val="center"/>
          </w:tcPr>
          <w:p>
            <w:pPr>
              <w:spacing w:line="440" w:lineRule="exact"/>
              <w:jc w:val="center"/>
              <w:rPr>
                <w:rFonts w:ascii="宋体" w:hAnsi="宋体"/>
                <w:bCs/>
                <w:szCs w:val="21"/>
              </w:rPr>
            </w:pPr>
            <w:r>
              <w:rPr>
                <w:rFonts w:hint="eastAsia" w:ascii="宋体" w:hAnsi="宋体"/>
                <w:bCs/>
                <w:szCs w:val="21"/>
              </w:rPr>
              <w:t>支持DDOS攻击防护</w:t>
            </w:r>
          </w:p>
        </w:tc>
        <w:tc>
          <w:tcPr>
            <w:tcW w:w="5812" w:type="dxa"/>
            <w:vAlign w:val="center"/>
          </w:tcPr>
          <w:p>
            <w:pPr>
              <w:jc w:val="left"/>
              <w:rPr>
                <w:rFonts w:ascii="宋体" w:hAnsi="宋体"/>
                <w:bCs/>
                <w:sz w:val="20"/>
                <w:szCs w:val="20"/>
              </w:rPr>
            </w:pP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1　Slowloris（Nuclear DDoSer,Slowhttptest）；</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2　Keep-Dead；</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3　Slow POST (R-U-Dead-Yet,Tor Hammer,Nuclear DDoSer,Slowhttptest) slow-read；</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4　HashDoS；</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5　Apache Killer(Slowhttptest)、apache-ranges；</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6　HTTP GET Flood, Recursive GET Flood (Web Scraping),Dirt Jumper (HTTP Flood</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7　SSL Floods,Malformed SSL(e.g empty SSL HELLO)；</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 xml:space="preserve">8　SSL THC attack(Extending from SSL Renegotiation vulnerability)；    </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9　RefRef(exploit SQLI - OWASP Top 10 vulnerability as entry；</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1</w:t>
            </w:r>
            <w:r>
              <w:rPr>
                <w:rFonts w:ascii="宋体" w:hAnsi="宋体"/>
                <w:bCs/>
                <w:sz w:val="20"/>
                <w:szCs w:val="20"/>
              </w:rPr>
              <w:t>0</w:t>
            </w:r>
            <w:r>
              <w:rPr>
                <w:rFonts w:hint="eastAsia" w:ascii="宋体" w:hAnsi="宋体"/>
                <w:bCs/>
                <w:sz w:val="20"/>
                <w:szCs w:val="20"/>
              </w:rPr>
              <w:t>　1XML "Bomb" (DTD attack),XML External Entity Dos；</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1</w:t>
            </w:r>
            <w:r>
              <w:rPr>
                <w:rFonts w:ascii="宋体" w:hAnsi="宋体"/>
                <w:bCs/>
                <w:sz w:val="20"/>
                <w:szCs w:val="20"/>
              </w:rPr>
              <w:t>1</w:t>
            </w:r>
            <w:r>
              <w:rPr>
                <w:rFonts w:hint="eastAsia" w:ascii="宋体" w:hAnsi="宋体"/>
                <w:bCs/>
                <w:sz w:val="20"/>
                <w:szCs w:val="20"/>
              </w:rPr>
              <w:t>　可以与客户端交互进行验证，防御基于脚本或者机器人的攻击请求（需截图证明）；</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1</w:t>
            </w:r>
            <w:r>
              <w:rPr>
                <w:rFonts w:ascii="宋体" w:hAnsi="宋体"/>
                <w:bCs/>
                <w:sz w:val="20"/>
                <w:szCs w:val="20"/>
              </w:rPr>
              <w:t>2</w:t>
            </w:r>
            <w:r>
              <w:rPr>
                <w:rFonts w:hint="eastAsia" w:ascii="宋体" w:hAnsi="宋体"/>
                <w:bCs/>
                <w:sz w:val="20"/>
                <w:szCs w:val="20"/>
              </w:rPr>
              <w:t>　支持AIF（主动智能指纹）防御系统；</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1</w:t>
            </w:r>
            <w:r>
              <w:rPr>
                <w:rFonts w:ascii="宋体" w:hAnsi="宋体"/>
                <w:bCs/>
                <w:sz w:val="20"/>
                <w:szCs w:val="20"/>
              </w:rPr>
              <w:t>3</w:t>
            </w:r>
            <w:r>
              <w:rPr>
                <w:rFonts w:hint="eastAsia" w:ascii="宋体" w:hAnsi="宋体"/>
                <w:bCs/>
                <w:sz w:val="20"/>
                <w:szCs w:val="20"/>
              </w:rPr>
              <w:t>　支持DNS攻击防御；</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1</w:t>
            </w:r>
            <w:r>
              <w:rPr>
                <w:rFonts w:ascii="宋体" w:hAnsi="宋体"/>
                <w:bCs/>
                <w:sz w:val="20"/>
                <w:szCs w:val="20"/>
              </w:rPr>
              <w:t>4</w:t>
            </w:r>
            <w:r>
              <w:rPr>
                <w:rFonts w:hint="eastAsia" w:ascii="宋体" w:hAnsi="宋体"/>
                <w:bCs/>
                <w:sz w:val="20"/>
                <w:szCs w:val="20"/>
              </w:rPr>
              <w:t>　支持VOIP攻击防御；</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1</w:t>
            </w:r>
            <w:r>
              <w:rPr>
                <w:rFonts w:ascii="宋体" w:hAnsi="宋体"/>
                <w:bCs/>
                <w:sz w:val="20"/>
                <w:szCs w:val="20"/>
              </w:rPr>
              <w:t>5</w:t>
            </w:r>
            <w:r>
              <w:rPr>
                <w:rFonts w:hint="eastAsia" w:ascii="宋体" w:hAnsi="宋体"/>
                <w:bCs/>
                <w:sz w:val="20"/>
                <w:szCs w:val="20"/>
              </w:rPr>
              <w:t>　支持管理对象设定，根据不同的对象提供定制化的清洗策略；</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1</w:t>
            </w:r>
            <w:r>
              <w:rPr>
                <w:rFonts w:ascii="宋体" w:hAnsi="宋体"/>
                <w:bCs/>
                <w:sz w:val="20"/>
                <w:szCs w:val="20"/>
              </w:rPr>
              <w:t>6</w:t>
            </w:r>
            <w:r>
              <w:rPr>
                <w:rFonts w:hint="eastAsia" w:ascii="宋体" w:hAnsi="宋体"/>
                <w:bCs/>
                <w:sz w:val="20"/>
                <w:szCs w:val="20"/>
              </w:rPr>
              <w:t>　GRE回注数量不少于1000；</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1</w:t>
            </w:r>
            <w:r>
              <w:rPr>
                <w:rFonts w:ascii="宋体" w:hAnsi="宋体"/>
                <w:bCs/>
                <w:sz w:val="20"/>
                <w:szCs w:val="20"/>
              </w:rPr>
              <w:t>7</w:t>
            </w:r>
            <w:r>
              <w:rPr>
                <w:rFonts w:hint="eastAsia" w:ascii="宋体" w:hAnsi="宋体"/>
                <w:bCs/>
                <w:sz w:val="20"/>
                <w:szCs w:val="20"/>
              </w:rPr>
              <w:t xml:space="preserve">  支持IPV6协议栈；</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1</w:t>
            </w:r>
            <w:r>
              <w:rPr>
                <w:rFonts w:ascii="宋体" w:hAnsi="宋体"/>
                <w:bCs/>
                <w:sz w:val="20"/>
                <w:szCs w:val="20"/>
              </w:rPr>
              <w:t>8</w:t>
            </w:r>
            <w:r>
              <w:rPr>
                <w:rFonts w:hint="eastAsia" w:ascii="宋体" w:hAnsi="宋体"/>
                <w:bCs/>
                <w:sz w:val="20"/>
                <w:szCs w:val="20"/>
              </w:rPr>
              <w:t>　内置攻击包捕获（在拦截攻击并告警的同时将攻击包捕获）；</w:t>
            </w:r>
          </w:p>
          <w:p>
            <w:pPr>
              <w:jc w:val="left"/>
              <w:rPr>
                <w:rFonts w:ascii="宋体" w:hAnsi="宋体"/>
                <w:bCs/>
                <w:sz w:val="20"/>
                <w:szCs w:val="20"/>
              </w:rPr>
            </w:pPr>
            <w:r>
              <w:rPr>
                <w:rFonts w:hint="eastAsia" w:ascii="宋体" w:hAnsi="宋体"/>
                <w:bCs/>
                <w:szCs w:val="21"/>
              </w:rPr>
              <w:t>★</w:t>
            </w:r>
            <w:r>
              <w:rPr>
                <w:rFonts w:hint="eastAsia" w:ascii="宋体" w:hAnsi="宋体"/>
                <w:bCs/>
                <w:sz w:val="20"/>
                <w:szCs w:val="20"/>
              </w:rPr>
              <w:t>1</w:t>
            </w:r>
            <w:r>
              <w:rPr>
                <w:rFonts w:ascii="宋体" w:hAnsi="宋体"/>
                <w:bCs/>
                <w:sz w:val="20"/>
                <w:szCs w:val="20"/>
              </w:rPr>
              <w:t xml:space="preserve">9  </w:t>
            </w:r>
            <w:r>
              <w:rPr>
                <w:rFonts w:hint="eastAsia" w:ascii="宋体" w:hAnsi="宋体"/>
                <w:bCs/>
                <w:sz w:val="20"/>
                <w:szCs w:val="20"/>
              </w:rPr>
              <w:t>基于业务流量模型自动化设定七层DDoS安全防护策略，自动触发防护机制；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vAlign w:val="center"/>
          </w:tcPr>
          <w:p>
            <w:pPr>
              <w:spacing w:line="440" w:lineRule="exact"/>
              <w:jc w:val="center"/>
              <w:rPr>
                <w:rFonts w:ascii="宋体" w:hAnsi="宋体"/>
                <w:bCs/>
                <w:szCs w:val="21"/>
              </w:rPr>
            </w:pPr>
            <w:r>
              <w:rPr>
                <w:rFonts w:hint="eastAsia" w:ascii="宋体" w:hAnsi="宋体"/>
                <w:bCs/>
                <w:szCs w:val="21"/>
              </w:rPr>
              <w:t>3</w:t>
            </w:r>
          </w:p>
        </w:tc>
        <w:tc>
          <w:tcPr>
            <w:tcW w:w="2269" w:type="dxa"/>
            <w:vAlign w:val="center"/>
          </w:tcPr>
          <w:p>
            <w:pPr>
              <w:spacing w:line="440" w:lineRule="exact"/>
              <w:jc w:val="center"/>
              <w:rPr>
                <w:rFonts w:ascii="宋体" w:hAnsi="宋体"/>
                <w:bCs/>
                <w:szCs w:val="21"/>
              </w:rPr>
            </w:pPr>
            <w:r>
              <w:rPr>
                <w:rFonts w:hint="eastAsia" w:ascii="宋体" w:hAnsi="宋体"/>
                <w:bCs/>
                <w:szCs w:val="21"/>
              </w:rPr>
              <w:t>支持HTTP，FTP，SMTP攻击防护</w:t>
            </w:r>
          </w:p>
        </w:tc>
        <w:tc>
          <w:tcPr>
            <w:tcW w:w="5812" w:type="dxa"/>
            <w:vAlign w:val="center"/>
          </w:tcPr>
          <w:p>
            <w:pPr>
              <w:spacing w:line="276" w:lineRule="auto"/>
              <w:jc w:val="left"/>
              <w:rPr>
                <w:rFonts w:ascii="宋体" w:hAnsi="宋体"/>
                <w:bCs/>
                <w:sz w:val="20"/>
                <w:szCs w:val="20"/>
              </w:rPr>
            </w:pPr>
            <w:r>
              <w:rPr>
                <w:rFonts w:hint="eastAsia" w:ascii="宋体" w:hAnsi="宋体"/>
                <w:bCs/>
                <w:sz w:val="20"/>
                <w:szCs w:val="20"/>
              </w:rPr>
              <w:t xml:space="preserve">1 </w:t>
            </w:r>
            <w:r>
              <w:rPr>
                <w:rFonts w:ascii="宋体" w:hAnsi="宋体"/>
                <w:bCs/>
                <w:sz w:val="20"/>
                <w:szCs w:val="20"/>
              </w:rPr>
              <w:t xml:space="preserve"> </w:t>
            </w:r>
            <w:r>
              <w:rPr>
                <w:rFonts w:hint="eastAsia" w:ascii="宋体" w:hAnsi="宋体"/>
                <w:bCs/>
                <w:sz w:val="20"/>
                <w:szCs w:val="20"/>
              </w:rPr>
              <w:t>支持OWASP TOP 10的攻击防护，并且可以对进出的双向流量都提供防护功能，例如，可以对服务器回应的信息进行修改，修改后台服务器的开发环境信息，以欺骗黑客。</w:t>
            </w:r>
          </w:p>
          <w:p>
            <w:pPr>
              <w:spacing w:line="276" w:lineRule="auto"/>
              <w:jc w:val="left"/>
              <w:rPr>
                <w:sz w:val="20"/>
                <w:szCs w:val="20"/>
              </w:rPr>
            </w:pPr>
            <w:r>
              <w:rPr>
                <w:sz w:val="20"/>
                <w:szCs w:val="20"/>
              </w:rPr>
              <w:t>2</w:t>
            </w:r>
            <w:r>
              <w:rPr>
                <w:rFonts w:hint="eastAsia"/>
                <w:sz w:val="20"/>
                <w:szCs w:val="20"/>
              </w:rPr>
              <w:t xml:space="preserve"> </w:t>
            </w:r>
            <w:r>
              <w:rPr>
                <w:sz w:val="20"/>
                <w:szCs w:val="20"/>
              </w:rPr>
              <w:t xml:space="preserve"> </w:t>
            </w:r>
            <w:r>
              <w:rPr>
                <w:rFonts w:hint="eastAsia"/>
                <w:sz w:val="20"/>
                <w:szCs w:val="20"/>
              </w:rPr>
              <w:t>提供http协议安全防护，可检测跨站脚本（XSS）和SQL注入等安全威胁，提供http请求、http响应和XML的安全防护，支持指定特征的数据保护，防止敏感信息泄漏。支持ftp和smtp协议的安全检查。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vAlign w:val="center"/>
          </w:tcPr>
          <w:p>
            <w:pPr>
              <w:spacing w:line="440" w:lineRule="exact"/>
              <w:jc w:val="center"/>
              <w:rPr>
                <w:rFonts w:ascii="宋体" w:hAnsi="宋体"/>
                <w:szCs w:val="21"/>
              </w:rPr>
            </w:pPr>
            <w:r>
              <w:rPr>
                <w:rFonts w:hint="eastAsia" w:ascii="宋体" w:hAnsi="宋体"/>
                <w:szCs w:val="21"/>
              </w:rPr>
              <w:t>4</w:t>
            </w:r>
          </w:p>
        </w:tc>
        <w:tc>
          <w:tcPr>
            <w:tcW w:w="2269" w:type="dxa"/>
            <w:vAlign w:val="center"/>
          </w:tcPr>
          <w:p>
            <w:pPr>
              <w:spacing w:line="440" w:lineRule="exact"/>
              <w:jc w:val="center"/>
              <w:rPr>
                <w:rFonts w:ascii="宋体" w:hAnsi="宋体"/>
                <w:bCs/>
                <w:szCs w:val="21"/>
              </w:rPr>
            </w:pPr>
            <w:r>
              <w:rPr>
                <w:rFonts w:hint="eastAsia" w:ascii="宋体" w:hAnsi="宋体"/>
                <w:szCs w:val="21"/>
              </w:rPr>
              <w:t>API攻击防护</w:t>
            </w:r>
          </w:p>
        </w:tc>
        <w:tc>
          <w:tcPr>
            <w:tcW w:w="5812" w:type="dxa"/>
            <w:vAlign w:val="center"/>
          </w:tcPr>
          <w:p>
            <w:pPr>
              <w:spacing w:line="276" w:lineRule="auto"/>
              <w:jc w:val="left"/>
              <w:rPr>
                <w:rFonts w:ascii="宋体" w:hAnsi="宋体"/>
                <w:bCs/>
                <w:sz w:val="20"/>
                <w:szCs w:val="20"/>
              </w:rPr>
            </w:pPr>
            <w:r>
              <w:rPr>
                <w:rFonts w:hint="eastAsia" w:ascii="宋体" w:hAnsi="宋体"/>
                <w:sz w:val="20"/>
                <w:szCs w:val="20"/>
              </w:rPr>
              <w:t>支持针对API攻击的防护，支持Oauth/JWT/OIDC等认证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vAlign w:val="center"/>
          </w:tcPr>
          <w:p>
            <w:pPr>
              <w:spacing w:line="440" w:lineRule="exact"/>
              <w:jc w:val="center"/>
              <w:rPr>
                <w:rFonts w:ascii="宋体" w:hAnsi="宋体"/>
                <w:szCs w:val="21"/>
              </w:rPr>
            </w:pPr>
            <w:r>
              <w:rPr>
                <w:rFonts w:hint="eastAsia" w:ascii="宋体" w:hAnsi="宋体"/>
                <w:szCs w:val="21"/>
              </w:rPr>
              <w:t>5</w:t>
            </w:r>
          </w:p>
        </w:tc>
        <w:tc>
          <w:tcPr>
            <w:tcW w:w="2269" w:type="dxa"/>
            <w:vAlign w:val="center"/>
          </w:tcPr>
          <w:p>
            <w:pPr>
              <w:spacing w:line="440" w:lineRule="exact"/>
              <w:jc w:val="center"/>
              <w:rPr>
                <w:rFonts w:ascii="宋体" w:hAnsi="宋体"/>
                <w:szCs w:val="21"/>
              </w:rPr>
            </w:pPr>
            <w:r>
              <w:rPr>
                <w:rFonts w:hint="eastAsia" w:ascii="宋体" w:hAnsi="宋体"/>
                <w:szCs w:val="21"/>
              </w:rPr>
              <w:t>支持验证码防护机制</w:t>
            </w:r>
          </w:p>
        </w:tc>
        <w:tc>
          <w:tcPr>
            <w:tcW w:w="5812" w:type="dxa"/>
            <w:vAlign w:val="center"/>
          </w:tcPr>
          <w:p>
            <w:pPr>
              <w:spacing w:line="276" w:lineRule="auto"/>
              <w:jc w:val="left"/>
              <w:rPr>
                <w:rFonts w:ascii="宋体" w:hAnsi="宋体"/>
                <w:sz w:val="20"/>
                <w:szCs w:val="20"/>
              </w:rPr>
            </w:pPr>
            <w:r>
              <w:rPr>
                <w:rFonts w:hint="eastAsia" w:ascii="宋体" w:hAnsi="宋体"/>
                <w:sz w:val="20"/>
                <w:szCs w:val="20"/>
              </w:rPr>
              <w:t>可通过设定不同条件阀值，实现动态验证码挑战，实现人机识别。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vAlign w:val="center"/>
          </w:tcPr>
          <w:p>
            <w:pPr>
              <w:spacing w:line="440" w:lineRule="exact"/>
              <w:jc w:val="center"/>
              <w:rPr>
                <w:rFonts w:ascii="宋体" w:hAnsi="宋体"/>
                <w:b/>
                <w:bCs/>
                <w:szCs w:val="21"/>
              </w:rPr>
            </w:pPr>
            <w:r>
              <w:rPr>
                <w:rFonts w:hint="eastAsia" w:ascii="宋体" w:hAnsi="宋体"/>
                <w:b/>
                <w:bCs/>
                <w:szCs w:val="21"/>
              </w:rPr>
              <w:t>6</w:t>
            </w:r>
          </w:p>
        </w:tc>
        <w:tc>
          <w:tcPr>
            <w:tcW w:w="2269" w:type="dxa"/>
            <w:vAlign w:val="center"/>
          </w:tcPr>
          <w:p>
            <w:pPr>
              <w:spacing w:line="440" w:lineRule="exact"/>
              <w:jc w:val="center"/>
              <w:rPr>
                <w:rFonts w:ascii="宋体" w:hAnsi="宋体"/>
                <w:szCs w:val="21"/>
              </w:rPr>
            </w:pPr>
            <w:r>
              <w:rPr>
                <w:rFonts w:hint="eastAsia" w:ascii="宋体" w:hAnsi="宋体"/>
                <w:szCs w:val="21"/>
              </w:rPr>
              <w:t>脚本下发</w:t>
            </w:r>
          </w:p>
        </w:tc>
        <w:tc>
          <w:tcPr>
            <w:tcW w:w="5812" w:type="dxa"/>
            <w:vAlign w:val="center"/>
          </w:tcPr>
          <w:p>
            <w:pPr>
              <w:spacing w:line="276" w:lineRule="auto"/>
              <w:rPr>
                <w:rFonts w:ascii="宋体" w:hAnsi="宋体"/>
                <w:sz w:val="20"/>
                <w:szCs w:val="20"/>
              </w:rPr>
            </w:pPr>
            <w:r>
              <w:rPr>
                <w:rFonts w:hint="eastAsia" w:ascii="宋体" w:hAnsi="宋体"/>
                <w:szCs w:val="21"/>
              </w:rPr>
              <w:t>★</w:t>
            </w:r>
            <w:r>
              <w:rPr>
                <w:rFonts w:hint="eastAsia" w:ascii="宋体" w:hAnsi="宋体"/>
                <w:sz w:val="20"/>
                <w:szCs w:val="20"/>
              </w:rPr>
              <w:t>支持向浏览器端下发java脚本验证终端属性，确认攻击源，复杂解析语句的验证数据包，客户端键盘输入和鼠标像素点移动，验证码挑战（需截图证明）。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vAlign w:val="center"/>
          </w:tcPr>
          <w:p>
            <w:pPr>
              <w:spacing w:line="440" w:lineRule="exact"/>
              <w:jc w:val="center"/>
              <w:rPr>
                <w:rFonts w:ascii="宋体" w:hAnsi="宋体"/>
                <w:b/>
                <w:bCs/>
                <w:szCs w:val="21"/>
              </w:rPr>
            </w:pPr>
            <w:r>
              <w:rPr>
                <w:rFonts w:hint="eastAsia" w:ascii="宋体" w:hAnsi="宋体"/>
                <w:b/>
                <w:bCs/>
                <w:szCs w:val="21"/>
              </w:rPr>
              <w:t>7</w:t>
            </w:r>
          </w:p>
        </w:tc>
        <w:tc>
          <w:tcPr>
            <w:tcW w:w="2269" w:type="dxa"/>
            <w:vAlign w:val="center"/>
          </w:tcPr>
          <w:p>
            <w:pPr>
              <w:spacing w:line="440" w:lineRule="exact"/>
              <w:jc w:val="center"/>
              <w:rPr>
                <w:rFonts w:ascii="宋体" w:hAnsi="宋体"/>
                <w:szCs w:val="21"/>
              </w:rPr>
            </w:pPr>
            <w:r>
              <w:rPr>
                <w:rFonts w:hint="eastAsia" w:ascii="宋体" w:hAnsi="宋体"/>
                <w:szCs w:val="21"/>
              </w:rPr>
              <w:t>参数保护</w:t>
            </w:r>
          </w:p>
        </w:tc>
        <w:tc>
          <w:tcPr>
            <w:tcW w:w="5812" w:type="dxa"/>
            <w:vAlign w:val="center"/>
          </w:tcPr>
          <w:p>
            <w:pPr>
              <w:spacing w:line="276" w:lineRule="auto"/>
              <w:rPr>
                <w:rFonts w:ascii="宋体" w:hAnsi="宋体"/>
                <w:sz w:val="20"/>
                <w:szCs w:val="20"/>
              </w:rPr>
            </w:pPr>
            <w:r>
              <w:rPr>
                <w:rFonts w:hint="eastAsia" w:ascii="宋体" w:hAnsi="宋体"/>
                <w:szCs w:val="21"/>
              </w:rPr>
              <w:t>★</w:t>
            </w:r>
            <w:r>
              <w:rPr>
                <w:rFonts w:hint="eastAsia" w:ascii="宋体" w:hAnsi="宋体"/>
                <w:sz w:val="20"/>
                <w:szCs w:val="20"/>
              </w:rPr>
              <w:t>支持浏览器端安全防御功能，支持在不改变源代码情况下，对可维护参数的动态加密和混淆功能（需截图证明）。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vAlign w:val="center"/>
          </w:tcPr>
          <w:p>
            <w:pPr>
              <w:spacing w:line="440" w:lineRule="exact"/>
              <w:jc w:val="center"/>
              <w:rPr>
                <w:rFonts w:ascii="宋体" w:hAnsi="宋体"/>
                <w:szCs w:val="21"/>
              </w:rPr>
            </w:pPr>
            <w:r>
              <w:rPr>
                <w:rFonts w:hint="eastAsia" w:ascii="宋体" w:hAnsi="宋体"/>
                <w:szCs w:val="21"/>
              </w:rPr>
              <w:t>8</w:t>
            </w:r>
          </w:p>
        </w:tc>
        <w:tc>
          <w:tcPr>
            <w:tcW w:w="2269" w:type="dxa"/>
            <w:vAlign w:val="center"/>
          </w:tcPr>
          <w:p>
            <w:pPr>
              <w:spacing w:line="440" w:lineRule="exact"/>
              <w:jc w:val="center"/>
              <w:rPr>
                <w:rFonts w:ascii="宋体" w:hAnsi="宋体"/>
                <w:szCs w:val="21"/>
              </w:rPr>
            </w:pPr>
            <w:r>
              <w:rPr>
                <w:rFonts w:hint="eastAsia" w:ascii="宋体" w:hAnsi="宋体"/>
                <w:szCs w:val="21"/>
              </w:rPr>
              <w:t>可编译</w:t>
            </w:r>
          </w:p>
        </w:tc>
        <w:tc>
          <w:tcPr>
            <w:tcW w:w="5812" w:type="dxa"/>
            <w:vAlign w:val="center"/>
          </w:tcPr>
          <w:p>
            <w:pPr>
              <w:spacing w:line="276" w:lineRule="auto"/>
              <w:rPr>
                <w:rFonts w:ascii="宋体" w:hAnsi="宋体"/>
                <w:sz w:val="20"/>
                <w:szCs w:val="20"/>
              </w:rPr>
            </w:pPr>
            <w:r>
              <w:rPr>
                <w:rFonts w:hint="eastAsia" w:ascii="宋体" w:hAnsi="宋体"/>
                <w:sz w:val="20"/>
                <w:szCs w:val="20"/>
              </w:rPr>
              <w:t>支持对可编程脚本，实现0day防御，需截图证明。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vAlign w:val="center"/>
          </w:tcPr>
          <w:p>
            <w:pPr>
              <w:spacing w:line="440" w:lineRule="exact"/>
              <w:jc w:val="center"/>
              <w:rPr>
                <w:rFonts w:ascii="宋体" w:hAnsi="宋体"/>
                <w:szCs w:val="21"/>
              </w:rPr>
            </w:pPr>
            <w:r>
              <w:rPr>
                <w:rFonts w:hint="eastAsia" w:ascii="宋体" w:hAnsi="宋体"/>
                <w:szCs w:val="21"/>
              </w:rPr>
              <w:t>9</w:t>
            </w:r>
          </w:p>
        </w:tc>
        <w:tc>
          <w:tcPr>
            <w:tcW w:w="2269" w:type="dxa"/>
            <w:vAlign w:val="center"/>
          </w:tcPr>
          <w:p>
            <w:pPr>
              <w:spacing w:line="440" w:lineRule="exact"/>
              <w:jc w:val="center"/>
              <w:rPr>
                <w:rFonts w:ascii="宋体" w:hAnsi="宋体"/>
                <w:szCs w:val="21"/>
              </w:rPr>
            </w:pPr>
            <w:r>
              <w:rPr>
                <w:rFonts w:hint="eastAsia" w:ascii="宋体" w:hAnsi="宋体"/>
                <w:szCs w:val="21"/>
              </w:rPr>
              <w:t>实时攻击检测溯源</w:t>
            </w:r>
          </w:p>
        </w:tc>
        <w:tc>
          <w:tcPr>
            <w:tcW w:w="5812" w:type="dxa"/>
            <w:vAlign w:val="center"/>
          </w:tcPr>
          <w:p>
            <w:pPr>
              <w:spacing w:line="276" w:lineRule="auto"/>
              <w:rPr>
                <w:rFonts w:ascii="宋体" w:hAnsi="宋体"/>
                <w:sz w:val="20"/>
                <w:szCs w:val="20"/>
              </w:rPr>
            </w:pPr>
            <w:r>
              <w:rPr>
                <w:rFonts w:hint="eastAsia" w:ascii="宋体" w:hAnsi="宋体"/>
                <w:sz w:val="20"/>
                <w:szCs w:val="20"/>
              </w:rPr>
              <w:t>支持实时攻击检测告警，支持实时攻击溯源分析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vAlign w:val="center"/>
          </w:tcPr>
          <w:p>
            <w:pPr>
              <w:spacing w:line="440" w:lineRule="exact"/>
              <w:jc w:val="center"/>
              <w:rPr>
                <w:rFonts w:ascii="宋体" w:hAnsi="宋体"/>
                <w:szCs w:val="21"/>
              </w:rPr>
            </w:pPr>
            <w:r>
              <w:rPr>
                <w:rFonts w:hint="eastAsia" w:ascii="宋体" w:hAnsi="宋体"/>
                <w:szCs w:val="21"/>
              </w:rPr>
              <w:t>1</w:t>
            </w:r>
            <w:r>
              <w:rPr>
                <w:rFonts w:ascii="宋体" w:hAnsi="宋体"/>
                <w:szCs w:val="21"/>
              </w:rPr>
              <w:t>0</w:t>
            </w:r>
          </w:p>
        </w:tc>
        <w:tc>
          <w:tcPr>
            <w:tcW w:w="2269" w:type="dxa"/>
            <w:vAlign w:val="center"/>
          </w:tcPr>
          <w:p>
            <w:pPr>
              <w:spacing w:line="440" w:lineRule="exact"/>
              <w:jc w:val="center"/>
              <w:rPr>
                <w:rFonts w:ascii="宋体" w:hAnsi="宋体"/>
                <w:szCs w:val="21"/>
              </w:rPr>
            </w:pPr>
            <w:r>
              <w:rPr>
                <w:rFonts w:hint="eastAsia" w:ascii="宋体" w:hAnsi="宋体"/>
                <w:szCs w:val="21"/>
              </w:rPr>
              <w:t>支持安全可视化功能</w:t>
            </w:r>
          </w:p>
        </w:tc>
        <w:tc>
          <w:tcPr>
            <w:tcW w:w="5812" w:type="dxa"/>
            <w:vAlign w:val="center"/>
          </w:tcPr>
          <w:p>
            <w:pPr>
              <w:spacing w:line="276" w:lineRule="auto"/>
              <w:jc w:val="left"/>
              <w:rPr>
                <w:rFonts w:ascii="宋体" w:hAnsi="宋体"/>
                <w:sz w:val="20"/>
                <w:szCs w:val="20"/>
              </w:rPr>
            </w:pPr>
            <w:r>
              <w:rPr>
                <w:rFonts w:hint="eastAsia" w:ascii="宋体" w:hAnsi="宋体"/>
                <w:sz w:val="20"/>
                <w:szCs w:val="20"/>
              </w:rPr>
              <w:t>1　攻击线路图：可通过地球图形展示攻击来源攻击目标的线路图；</w:t>
            </w:r>
          </w:p>
          <w:p>
            <w:pPr>
              <w:spacing w:line="276" w:lineRule="auto"/>
              <w:jc w:val="left"/>
              <w:rPr>
                <w:rFonts w:ascii="宋体" w:hAnsi="宋体"/>
                <w:sz w:val="20"/>
                <w:szCs w:val="20"/>
              </w:rPr>
            </w:pPr>
            <w:r>
              <w:rPr>
                <w:rFonts w:hint="eastAsia" w:ascii="宋体" w:hAnsi="宋体"/>
                <w:sz w:val="20"/>
                <w:szCs w:val="20"/>
              </w:rPr>
              <w:t>2　攻击态势数据回溯：可通过设置时间段回溯查看历史时间段的安全攻击态势数据；</w:t>
            </w:r>
          </w:p>
          <w:p>
            <w:pPr>
              <w:spacing w:line="276" w:lineRule="auto"/>
              <w:jc w:val="left"/>
              <w:rPr>
                <w:rFonts w:ascii="宋体" w:hAnsi="宋体"/>
                <w:sz w:val="20"/>
                <w:szCs w:val="20"/>
              </w:rPr>
            </w:pPr>
            <w:r>
              <w:rPr>
                <w:rFonts w:hint="eastAsia" w:ascii="宋体" w:hAnsi="宋体"/>
                <w:sz w:val="20"/>
                <w:szCs w:val="20"/>
              </w:rPr>
              <w:t>3　攻击次数：可查看网站被攻击次数的统计；</w:t>
            </w:r>
          </w:p>
          <w:p>
            <w:pPr>
              <w:spacing w:line="276" w:lineRule="auto"/>
              <w:jc w:val="left"/>
              <w:rPr>
                <w:rFonts w:ascii="宋体" w:hAnsi="宋体"/>
                <w:sz w:val="20"/>
                <w:szCs w:val="20"/>
              </w:rPr>
            </w:pPr>
            <w:r>
              <w:rPr>
                <w:rFonts w:hint="eastAsia" w:ascii="宋体" w:hAnsi="宋体"/>
                <w:sz w:val="20"/>
                <w:szCs w:val="20"/>
              </w:rPr>
              <w:t>4　流量攻击：可查看网络层防护后流量的变化情况；</w:t>
            </w:r>
          </w:p>
          <w:p>
            <w:pPr>
              <w:spacing w:line="276" w:lineRule="auto"/>
              <w:jc w:val="left"/>
              <w:rPr>
                <w:rFonts w:ascii="宋体" w:hAnsi="宋体"/>
                <w:sz w:val="20"/>
                <w:szCs w:val="20"/>
              </w:rPr>
            </w:pPr>
            <w:r>
              <w:rPr>
                <w:rFonts w:hint="eastAsia" w:ascii="宋体" w:hAnsi="宋体"/>
                <w:sz w:val="20"/>
                <w:szCs w:val="20"/>
              </w:rPr>
              <w:t>5　告警热力图：可查看攻击目标所处的地理位置及频繁程度；</w:t>
            </w:r>
          </w:p>
          <w:p>
            <w:pPr>
              <w:spacing w:line="276" w:lineRule="auto"/>
              <w:jc w:val="left"/>
              <w:rPr>
                <w:rFonts w:ascii="宋体" w:hAnsi="宋体"/>
                <w:sz w:val="20"/>
                <w:szCs w:val="20"/>
              </w:rPr>
            </w:pPr>
            <w:r>
              <w:rPr>
                <w:rFonts w:hint="eastAsia" w:ascii="宋体" w:hAnsi="宋体"/>
                <w:sz w:val="20"/>
                <w:szCs w:val="20"/>
              </w:rPr>
              <w:t>6　返回码情况：可查看网站的运行情况；</w:t>
            </w:r>
          </w:p>
          <w:p>
            <w:pPr>
              <w:spacing w:line="276" w:lineRule="auto"/>
              <w:jc w:val="left"/>
              <w:rPr>
                <w:rFonts w:ascii="宋体" w:hAnsi="宋体"/>
                <w:sz w:val="20"/>
                <w:szCs w:val="20"/>
              </w:rPr>
            </w:pPr>
            <w:r>
              <w:rPr>
                <w:rFonts w:hint="eastAsia" w:ascii="宋体" w:hAnsi="宋体"/>
                <w:sz w:val="20"/>
                <w:szCs w:val="20"/>
              </w:rPr>
              <w:t>7　攻击来源排名：可查看前十的攻击来源信息；</w:t>
            </w:r>
          </w:p>
          <w:p>
            <w:pPr>
              <w:spacing w:line="276" w:lineRule="auto"/>
              <w:jc w:val="left"/>
              <w:rPr>
                <w:rFonts w:ascii="宋体" w:hAnsi="宋体"/>
                <w:sz w:val="20"/>
                <w:szCs w:val="20"/>
              </w:rPr>
            </w:pPr>
            <w:r>
              <w:rPr>
                <w:rFonts w:hint="eastAsia" w:ascii="宋体" w:hAnsi="宋体"/>
                <w:sz w:val="20"/>
                <w:szCs w:val="20"/>
              </w:rPr>
              <w:t>8　攻击目标排名：可查看前十的攻击目标信息；</w:t>
            </w:r>
          </w:p>
          <w:p>
            <w:pPr>
              <w:spacing w:line="276" w:lineRule="auto"/>
              <w:jc w:val="left"/>
              <w:rPr>
                <w:rFonts w:ascii="宋体" w:hAnsi="宋体"/>
                <w:sz w:val="20"/>
                <w:szCs w:val="20"/>
              </w:rPr>
            </w:pPr>
            <w:r>
              <w:rPr>
                <w:rFonts w:hint="eastAsia" w:ascii="宋体" w:hAnsi="宋体"/>
                <w:sz w:val="20"/>
                <w:szCs w:val="20"/>
              </w:rPr>
              <w:t>9　连接数情况：可查看进出连接数的变化情况；</w:t>
            </w:r>
          </w:p>
          <w:p>
            <w:pPr>
              <w:spacing w:line="276" w:lineRule="auto"/>
              <w:jc w:val="left"/>
              <w:rPr>
                <w:rFonts w:ascii="宋体" w:hAnsi="宋体"/>
                <w:sz w:val="20"/>
                <w:szCs w:val="20"/>
              </w:rPr>
            </w:pPr>
            <w:r>
              <w:rPr>
                <w:rFonts w:hint="eastAsia" w:ascii="宋体" w:hAnsi="宋体"/>
                <w:sz w:val="20"/>
                <w:szCs w:val="20"/>
              </w:rPr>
              <w:t>1</w:t>
            </w:r>
            <w:r>
              <w:rPr>
                <w:rFonts w:ascii="宋体" w:hAnsi="宋体"/>
                <w:sz w:val="20"/>
                <w:szCs w:val="20"/>
              </w:rPr>
              <w:t>0</w:t>
            </w:r>
            <w:r>
              <w:rPr>
                <w:rFonts w:hint="eastAsia" w:ascii="宋体" w:hAnsi="宋体"/>
                <w:sz w:val="20"/>
                <w:szCs w:val="20"/>
              </w:rPr>
              <w:t>　URL排名：可查看URL地址名称和访问次数；</w:t>
            </w:r>
          </w:p>
          <w:p>
            <w:pPr>
              <w:spacing w:line="276" w:lineRule="auto"/>
              <w:jc w:val="left"/>
              <w:rPr>
                <w:rFonts w:ascii="宋体" w:hAnsi="宋体"/>
                <w:sz w:val="20"/>
                <w:szCs w:val="20"/>
              </w:rPr>
            </w:pPr>
            <w:r>
              <w:rPr>
                <w:rFonts w:hint="eastAsia" w:ascii="宋体" w:hAnsi="宋体"/>
                <w:sz w:val="20"/>
                <w:szCs w:val="20"/>
              </w:rPr>
              <w:t>11　告警类型统计：可查看紧急警告、安全告警、安全风险、信息提示的统计次数；</w:t>
            </w:r>
          </w:p>
          <w:p>
            <w:pPr>
              <w:spacing w:line="276" w:lineRule="auto"/>
              <w:jc w:val="left"/>
              <w:rPr>
                <w:rFonts w:ascii="宋体" w:hAnsi="宋体"/>
                <w:sz w:val="20"/>
                <w:szCs w:val="20"/>
              </w:rPr>
            </w:pPr>
            <w:r>
              <w:rPr>
                <w:rFonts w:hint="eastAsia" w:ascii="宋体" w:hAnsi="宋体"/>
                <w:sz w:val="20"/>
                <w:szCs w:val="20"/>
              </w:rPr>
              <w:t>12　威胁统计：可查看告警的详细内容；</w:t>
            </w:r>
          </w:p>
          <w:p>
            <w:pPr>
              <w:spacing w:line="276" w:lineRule="auto"/>
              <w:jc w:val="left"/>
              <w:rPr>
                <w:rFonts w:ascii="宋体" w:hAnsi="宋体"/>
                <w:sz w:val="20"/>
                <w:szCs w:val="20"/>
              </w:rPr>
            </w:pPr>
            <w:r>
              <w:rPr>
                <w:rFonts w:hint="eastAsia" w:ascii="宋体" w:hAnsi="宋体"/>
                <w:sz w:val="20"/>
                <w:szCs w:val="20"/>
              </w:rPr>
              <w:t>13　用户浏览器：可查看浏览器和非浏览器访问的统计占比；</w:t>
            </w:r>
          </w:p>
          <w:p>
            <w:pPr>
              <w:spacing w:line="276" w:lineRule="auto"/>
              <w:jc w:val="left"/>
              <w:rPr>
                <w:rFonts w:ascii="宋体" w:hAnsi="宋体"/>
                <w:sz w:val="20"/>
                <w:szCs w:val="20"/>
              </w:rPr>
            </w:pPr>
            <w:r>
              <w:rPr>
                <w:rFonts w:hint="eastAsia" w:ascii="宋体" w:hAnsi="宋体"/>
                <w:sz w:val="20"/>
                <w:szCs w:val="20"/>
              </w:rPr>
              <w:t>14　攻击类型分布：可查看每种攻击类型的名称、次数和占比；</w:t>
            </w:r>
          </w:p>
          <w:p>
            <w:pPr>
              <w:spacing w:line="276" w:lineRule="auto"/>
              <w:jc w:val="left"/>
              <w:rPr>
                <w:rFonts w:ascii="宋体" w:hAnsi="宋体"/>
                <w:sz w:val="20"/>
                <w:szCs w:val="20"/>
              </w:rPr>
            </w:pPr>
            <w:r>
              <w:rPr>
                <w:rFonts w:hint="eastAsia" w:ascii="宋体" w:hAnsi="宋体"/>
                <w:sz w:val="20"/>
                <w:szCs w:val="20"/>
              </w:rPr>
              <w:t>15　攻击来源热力图：可查看攻击来源所处的地理位置及频繁程度；</w:t>
            </w:r>
          </w:p>
          <w:p>
            <w:pPr>
              <w:spacing w:line="276" w:lineRule="auto"/>
              <w:jc w:val="left"/>
              <w:rPr>
                <w:rFonts w:ascii="宋体" w:hAnsi="宋体"/>
                <w:sz w:val="20"/>
                <w:szCs w:val="20"/>
              </w:rPr>
            </w:pPr>
            <w:r>
              <w:rPr>
                <w:rFonts w:hint="eastAsia" w:ascii="宋体" w:hAnsi="宋体"/>
                <w:sz w:val="20"/>
                <w:szCs w:val="20"/>
              </w:rPr>
              <w:t>16　访问者地域：可查看访问者所处的地域信息；</w:t>
            </w:r>
          </w:p>
          <w:p>
            <w:pPr>
              <w:spacing w:line="276" w:lineRule="auto"/>
              <w:jc w:val="left"/>
              <w:rPr>
                <w:rFonts w:ascii="宋体" w:hAnsi="宋体"/>
                <w:sz w:val="20"/>
                <w:szCs w:val="20"/>
              </w:rPr>
            </w:pPr>
            <w:r>
              <w:rPr>
                <w:rFonts w:hint="eastAsia" w:ascii="宋体" w:hAnsi="宋体"/>
                <w:sz w:val="20"/>
                <w:szCs w:val="20"/>
              </w:rPr>
              <w:t>17　热力图：可查看每种告警类型的名称和次数；</w:t>
            </w:r>
          </w:p>
          <w:p>
            <w:pPr>
              <w:spacing w:line="276" w:lineRule="auto"/>
              <w:jc w:val="left"/>
              <w:rPr>
                <w:rFonts w:ascii="宋体" w:hAnsi="宋体"/>
                <w:sz w:val="20"/>
                <w:szCs w:val="20"/>
              </w:rPr>
            </w:pPr>
            <w:r>
              <w:rPr>
                <w:rFonts w:hint="eastAsia" w:ascii="宋体" w:hAnsi="宋体"/>
                <w:sz w:val="20"/>
                <w:szCs w:val="20"/>
              </w:rPr>
              <w:t>18　防御状态分布：可查看每种防御状态的名称、次数、占比和总防御次数；</w:t>
            </w:r>
          </w:p>
          <w:p>
            <w:pPr>
              <w:spacing w:line="276" w:lineRule="auto"/>
              <w:jc w:val="left"/>
              <w:rPr>
                <w:rFonts w:ascii="宋体" w:hAnsi="宋体"/>
                <w:sz w:val="20"/>
                <w:szCs w:val="20"/>
              </w:rPr>
            </w:pPr>
            <w:r>
              <w:rPr>
                <w:rFonts w:hint="eastAsia" w:ascii="宋体" w:hAnsi="宋体"/>
                <w:sz w:val="20"/>
                <w:szCs w:val="20"/>
              </w:rPr>
              <w:t>19　攻击事件分析：可查看攻击事件分析详情（攻击来源、应用主机、严重等级、访问路径、防御状态、目的地IP地址、设备地址、攻击时间、源IP地址、攻击类型、攻击次数）；</w:t>
            </w:r>
          </w:p>
          <w:p>
            <w:pPr>
              <w:spacing w:line="276" w:lineRule="auto"/>
              <w:jc w:val="left"/>
              <w:rPr>
                <w:rFonts w:ascii="宋体" w:hAnsi="宋体"/>
                <w:sz w:val="20"/>
                <w:szCs w:val="20"/>
              </w:rPr>
            </w:pPr>
            <w:r>
              <w:rPr>
                <w:rFonts w:hint="eastAsia" w:ascii="宋体" w:hAnsi="宋体"/>
                <w:sz w:val="20"/>
                <w:szCs w:val="20"/>
              </w:rPr>
              <w:t>20　总流量进出：可查看经过安全防护产品的总流量进出情况；</w:t>
            </w:r>
          </w:p>
          <w:p>
            <w:pPr>
              <w:spacing w:line="276" w:lineRule="auto"/>
              <w:jc w:val="left"/>
              <w:rPr>
                <w:rFonts w:ascii="宋体" w:hAnsi="宋体"/>
                <w:sz w:val="20"/>
                <w:szCs w:val="20"/>
              </w:rPr>
            </w:pPr>
            <w:r>
              <w:rPr>
                <w:rFonts w:hint="eastAsia" w:ascii="宋体" w:hAnsi="宋体"/>
                <w:sz w:val="20"/>
                <w:szCs w:val="20"/>
              </w:rPr>
              <w:t>21　总并发数进出：可查看经过安全防护产品的总并发数进出情况；</w:t>
            </w:r>
          </w:p>
          <w:p>
            <w:pPr>
              <w:spacing w:line="276" w:lineRule="auto"/>
              <w:jc w:val="left"/>
              <w:rPr>
                <w:rFonts w:ascii="宋体" w:hAnsi="宋体"/>
                <w:sz w:val="20"/>
                <w:szCs w:val="20"/>
              </w:rPr>
            </w:pPr>
            <w:r>
              <w:rPr>
                <w:rFonts w:hint="eastAsia" w:ascii="宋体" w:hAnsi="宋体"/>
                <w:sz w:val="20"/>
                <w:szCs w:val="20"/>
              </w:rPr>
              <w:t>22　访问次数：可查看各页面被访问的统计次数；</w:t>
            </w:r>
          </w:p>
          <w:p>
            <w:pPr>
              <w:spacing w:line="276" w:lineRule="auto"/>
              <w:jc w:val="left"/>
              <w:rPr>
                <w:rFonts w:ascii="宋体" w:hAnsi="宋体"/>
                <w:sz w:val="20"/>
                <w:szCs w:val="20"/>
              </w:rPr>
            </w:pPr>
            <w:r>
              <w:rPr>
                <w:rFonts w:hint="eastAsia" w:ascii="宋体" w:hAnsi="宋体"/>
                <w:sz w:val="20"/>
                <w:szCs w:val="20"/>
              </w:rPr>
              <w:t>23　URL访问TOP10：可查看被访问的URL前十的名称和次数；</w:t>
            </w:r>
          </w:p>
          <w:p>
            <w:pPr>
              <w:spacing w:line="276" w:lineRule="auto"/>
              <w:jc w:val="left"/>
              <w:rPr>
                <w:rFonts w:ascii="宋体" w:hAnsi="宋体"/>
                <w:sz w:val="20"/>
                <w:szCs w:val="20"/>
              </w:rPr>
            </w:pPr>
            <w:r>
              <w:rPr>
                <w:rFonts w:hint="eastAsia" w:ascii="宋体" w:hAnsi="宋体"/>
                <w:sz w:val="20"/>
                <w:szCs w:val="20"/>
              </w:rPr>
              <w:t>24　返回码TOP10：可查看网站返回码前十的名称和次数；</w:t>
            </w:r>
          </w:p>
          <w:p>
            <w:pPr>
              <w:spacing w:line="276" w:lineRule="auto"/>
              <w:jc w:val="left"/>
              <w:rPr>
                <w:rFonts w:ascii="宋体" w:hAnsi="宋体"/>
                <w:sz w:val="20"/>
                <w:szCs w:val="20"/>
              </w:rPr>
            </w:pPr>
            <w:r>
              <w:rPr>
                <w:rFonts w:hint="eastAsia" w:ascii="宋体" w:hAnsi="宋体"/>
                <w:sz w:val="20"/>
                <w:szCs w:val="20"/>
              </w:rPr>
              <w:t>25　访问终端类型分布：可查看各种访问终端的名称和占比；</w:t>
            </w:r>
          </w:p>
          <w:p>
            <w:pPr>
              <w:spacing w:line="276" w:lineRule="auto"/>
              <w:jc w:val="left"/>
              <w:rPr>
                <w:rFonts w:ascii="宋体" w:hAnsi="宋体"/>
                <w:sz w:val="20"/>
                <w:szCs w:val="20"/>
              </w:rPr>
            </w:pPr>
            <w:r>
              <w:rPr>
                <w:rFonts w:hint="eastAsia" w:ascii="宋体" w:hAnsi="宋体"/>
                <w:sz w:val="20"/>
                <w:szCs w:val="20"/>
              </w:rPr>
              <w:t>26　客户端访问TOP10：可查看客户端访问前十的名称和次数；</w:t>
            </w:r>
          </w:p>
          <w:p>
            <w:pPr>
              <w:spacing w:line="276" w:lineRule="auto"/>
              <w:jc w:val="left"/>
              <w:rPr>
                <w:rFonts w:ascii="宋体" w:hAnsi="宋体"/>
                <w:sz w:val="20"/>
                <w:szCs w:val="20"/>
              </w:rPr>
            </w:pPr>
            <w:r>
              <w:rPr>
                <w:rFonts w:hint="eastAsia" w:ascii="宋体" w:hAnsi="宋体"/>
                <w:sz w:val="20"/>
                <w:szCs w:val="20"/>
              </w:rPr>
              <w:t>27　访问地址TOP10：可查看访问地址前十的名称和次数；</w:t>
            </w:r>
          </w:p>
          <w:p>
            <w:pPr>
              <w:spacing w:line="276" w:lineRule="auto"/>
              <w:jc w:val="left"/>
              <w:rPr>
                <w:rFonts w:ascii="宋体" w:hAnsi="宋体"/>
                <w:sz w:val="20"/>
                <w:szCs w:val="20"/>
              </w:rPr>
            </w:pPr>
            <w:r>
              <w:rPr>
                <w:rFonts w:hint="eastAsia" w:ascii="宋体" w:hAnsi="宋体"/>
                <w:sz w:val="20"/>
                <w:szCs w:val="20"/>
              </w:rPr>
              <w:t>28　访问城市TOP10：可查看访问城市前十的名称和次数；</w:t>
            </w:r>
          </w:p>
          <w:p>
            <w:pPr>
              <w:spacing w:line="276" w:lineRule="auto"/>
              <w:jc w:val="left"/>
              <w:rPr>
                <w:rFonts w:ascii="宋体" w:hAnsi="宋体"/>
                <w:sz w:val="20"/>
                <w:szCs w:val="20"/>
              </w:rPr>
            </w:pPr>
            <w:r>
              <w:rPr>
                <w:rFonts w:hint="eastAsia" w:ascii="宋体" w:hAnsi="宋体"/>
                <w:sz w:val="20"/>
                <w:szCs w:val="20"/>
              </w:rPr>
              <w:t>29　页面访问统计分析：可查看页面访问统计分析详情（源IP地址、设备地址、访问地址IP、访问路径、访问时间、返回码、访问终端类型）；</w:t>
            </w:r>
          </w:p>
          <w:p>
            <w:pPr>
              <w:spacing w:line="276" w:lineRule="auto"/>
              <w:jc w:val="left"/>
              <w:rPr>
                <w:rFonts w:ascii="宋体" w:hAnsi="宋体"/>
                <w:sz w:val="20"/>
                <w:szCs w:val="20"/>
              </w:rPr>
            </w:pPr>
            <w:r>
              <w:rPr>
                <w:rFonts w:hint="eastAsia" w:ascii="宋体" w:hAnsi="宋体"/>
                <w:sz w:val="20"/>
                <w:szCs w:val="20"/>
              </w:rPr>
              <w:t>30　PDF报告下载：可通过调整时间段，下载历史时间段的安全态势分析报告，报告内容包括“攻击来源地址排名、攻击类型分布、热力图、被攻击服务排名、防御状态分布、攻击事件分析（包括前100攻击事件完整的数据）及报告分析总结”</w:t>
            </w:r>
          </w:p>
        </w:tc>
      </w:tr>
    </w:tbl>
    <w:p>
      <w:pPr>
        <w:pStyle w:val="25"/>
        <w:ind w:left="424" w:leftChars="202"/>
      </w:pPr>
    </w:p>
    <w:p>
      <w:pPr>
        <w:snapToGrid w:val="0"/>
        <w:spacing w:line="360" w:lineRule="auto"/>
        <w:jc w:val="left"/>
        <w:rPr>
          <w:rFonts w:ascii="宋体" w:hAnsi="宋体" w:eastAsia="宋体" w:cs="宋体"/>
          <w:b/>
          <w:bCs/>
          <w:sz w:val="24"/>
        </w:rPr>
      </w:pPr>
    </w:p>
    <w:p>
      <w:pPr>
        <w:snapToGrid w:val="0"/>
        <w:spacing w:line="360" w:lineRule="auto"/>
        <w:jc w:val="left"/>
        <w:rPr>
          <w:rFonts w:ascii="宋体" w:hAnsi="宋体" w:eastAsia="宋体" w:cs="宋体"/>
          <w:b/>
          <w:bCs/>
          <w:sz w:val="24"/>
        </w:rPr>
      </w:pPr>
      <w:r>
        <w:rPr>
          <w:rFonts w:hint="eastAsia" w:ascii="宋体" w:hAnsi="宋体" w:eastAsia="宋体" w:cs="宋体"/>
          <w:b/>
          <w:bCs/>
          <w:sz w:val="24"/>
        </w:rPr>
        <w:t>四、投标报价要求</w:t>
      </w:r>
    </w:p>
    <w:p>
      <w:pPr>
        <w:tabs>
          <w:tab w:val="left" w:pos="0"/>
        </w:tabs>
        <w:adjustRightInd w:val="0"/>
        <w:snapToGrid w:val="0"/>
        <w:spacing w:line="360" w:lineRule="auto"/>
        <w:ind w:left="-420" w:leftChars="-200" w:firstLine="960" w:firstLineChars="400"/>
        <w:jc w:val="left"/>
        <w:rPr>
          <w:rFonts w:ascii="宋体" w:hAnsi="宋体" w:eastAsia="宋体" w:cs="宋体"/>
          <w:bCs/>
          <w:sz w:val="24"/>
        </w:rPr>
      </w:pPr>
      <w:r>
        <w:rPr>
          <w:rFonts w:hint="eastAsia" w:ascii="宋体" w:hAnsi="宋体" w:eastAsia="宋体" w:cs="宋体"/>
          <w:bCs/>
          <w:sz w:val="24"/>
        </w:rPr>
        <w:t>1、投标报价为到采购人的交货价；</w:t>
      </w:r>
    </w:p>
    <w:p>
      <w:pPr>
        <w:tabs>
          <w:tab w:val="left" w:pos="0"/>
        </w:tabs>
        <w:adjustRightInd w:val="0"/>
        <w:snapToGrid w:val="0"/>
        <w:spacing w:line="360" w:lineRule="auto"/>
        <w:ind w:left="-420" w:leftChars="-200" w:firstLine="960" w:firstLineChars="400"/>
        <w:jc w:val="left"/>
        <w:rPr>
          <w:sz w:val="24"/>
        </w:rPr>
      </w:pPr>
      <w:r>
        <w:rPr>
          <w:rFonts w:hint="eastAsia" w:ascii="宋体" w:hAnsi="宋体" w:eastAsia="宋体" w:cs="宋体"/>
          <w:bCs/>
          <w:sz w:val="24"/>
        </w:rPr>
        <w:t>2、投标报价为含税价。</w:t>
      </w:r>
    </w:p>
    <w:p>
      <w:pPr>
        <w:widowControl/>
        <w:spacing w:line="360" w:lineRule="auto"/>
        <w:jc w:val="left"/>
        <w:rPr>
          <w:rFonts w:ascii="宋体" w:hAnsi="宋体"/>
          <w:b/>
          <w:bCs/>
          <w:sz w:val="24"/>
        </w:rPr>
      </w:pPr>
      <w:r>
        <w:rPr>
          <w:rFonts w:hint="eastAsia" w:ascii="宋体" w:hAnsi="宋体" w:eastAsia="宋体" w:cs="宋体"/>
          <w:b/>
          <w:bCs/>
          <w:sz w:val="24"/>
        </w:rPr>
        <w:t>五、</w:t>
      </w:r>
      <w:r>
        <w:rPr>
          <w:rFonts w:hint="eastAsia" w:ascii="宋体" w:hAnsi="宋体"/>
          <w:b/>
          <w:bCs/>
          <w:sz w:val="24"/>
        </w:rPr>
        <w:t>服务供应商维护要求：</w:t>
      </w:r>
    </w:p>
    <w:p>
      <w:pPr>
        <w:spacing w:line="440" w:lineRule="exact"/>
        <w:rPr>
          <w:b/>
          <w:szCs w:val="21"/>
        </w:rPr>
      </w:pPr>
      <w:r>
        <w:rPr>
          <w:rFonts w:hint="eastAsia"/>
          <w:b/>
          <w:szCs w:val="21"/>
        </w:rPr>
        <w:t>1、交付要求</w:t>
      </w:r>
    </w:p>
    <w:p>
      <w:pPr>
        <w:spacing w:line="440" w:lineRule="exact"/>
        <w:rPr>
          <w:rFonts w:ascii="宋体" w:hAnsi="宋体"/>
          <w:szCs w:val="21"/>
        </w:rPr>
      </w:pPr>
      <w:r>
        <w:rPr>
          <w:rFonts w:hint="eastAsia" w:ascii="宋体" w:hAnsi="宋体"/>
          <w:szCs w:val="21"/>
        </w:rPr>
        <w:t>1.1、交付地点：中山市小榄人民医院信息科</w:t>
      </w:r>
    </w:p>
    <w:p>
      <w:pPr>
        <w:spacing w:line="440" w:lineRule="exact"/>
        <w:rPr>
          <w:rFonts w:ascii="宋体" w:hAnsi="宋体"/>
        </w:rPr>
      </w:pPr>
      <w:r>
        <w:rPr>
          <w:rFonts w:hint="eastAsia" w:ascii="宋体" w:hAnsi="宋体"/>
          <w:szCs w:val="21"/>
        </w:rPr>
        <w:t>1.2、交付时间：</w:t>
      </w:r>
      <w:r>
        <w:rPr>
          <w:rFonts w:hint="eastAsia" w:ascii="宋体" w:hAnsi="宋体"/>
        </w:rPr>
        <w:t>项目需求服务续签后</w:t>
      </w:r>
      <w:r>
        <w:rPr>
          <w:rFonts w:hint="eastAsia" w:ascii="宋体" w:hAnsi="宋体"/>
          <w:u w:val="single"/>
        </w:rPr>
        <w:t xml:space="preserve"> </w:t>
      </w:r>
      <w:r>
        <w:rPr>
          <w:rFonts w:ascii="宋体" w:hAnsi="宋体"/>
          <w:u w:val="single"/>
        </w:rPr>
        <w:t>10</w:t>
      </w:r>
      <w:r>
        <w:rPr>
          <w:rFonts w:hint="eastAsia" w:ascii="宋体" w:hAnsi="宋体"/>
          <w:u w:val="single"/>
        </w:rPr>
        <w:t xml:space="preserve"> </w:t>
      </w:r>
      <w:r>
        <w:rPr>
          <w:rFonts w:hint="eastAsia" w:ascii="宋体" w:hAnsi="宋体"/>
        </w:rPr>
        <w:t>个工作日内完成服务部署上线。</w:t>
      </w:r>
    </w:p>
    <w:p>
      <w:pPr>
        <w:spacing w:line="440" w:lineRule="exact"/>
        <w:rPr>
          <w:rFonts w:ascii="宋体" w:hAnsi="宋体"/>
        </w:rPr>
      </w:pPr>
      <w:r>
        <w:rPr>
          <w:rFonts w:hint="eastAsia" w:ascii="宋体" w:hAnsi="宋体"/>
        </w:rPr>
        <w:t>1</w:t>
      </w:r>
      <w:r>
        <w:rPr>
          <w:rFonts w:ascii="宋体" w:hAnsi="宋体"/>
        </w:rPr>
        <w:t>.3</w:t>
      </w:r>
      <w:r>
        <w:rPr>
          <w:rFonts w:hint="eastAsia" w:ascii="宋体" w:hAnsi="宋体"/>
        </w:rPr>
        <w:t>、报价人提供的所有服务技术参数均不得低于上表中的参数要求；</w:t>
      </w:r>
    </w:p>
    <w:p>
      <w:pPr>
        <w:spacing w:line="440" w:lineRule="exact"/>
        <w:rPr>
          <w:rFonts w:ascii="宋体" w:hAnsi="宋体"/>
          <w:szCs w:val="21"/>
        </w:rPr>
      </w:pPr>
      <w:r>
        <w:rPr>
          <w:rFonts w:hint="eastAsia" w:ascii="宋体" w:hAnsi="宋体"/>
        </w:rPr>
        <w:t>1.4、</w:t>
      </w:r>
      <w:r>
        <w:rPr>
          <w:rFonts w:hint="eastAsia" w:cs="华文宋体"/>
          <w:szCs w:val="21"/>
        </w:rPr>
        <w:t>服务供应商负责派技术人员进行部署测试，直至验收合格，部署测试所需费用应包含在投标总报价内；同时提供培训服务，必须保证需求科室操作人员融会贯通，培训所需费用应包含在总报价内。</w:t>
      </w:r>
    </w:p>
    <w:p>
      <w:pPr>
        <w:spacing w:line="440" w:lineRule="exact"/>
        <w:rPr>
          <w:rFonts w:ascii="宋体" w:hAnsi="宋体"/>
        </w:rPr>
      </w:pPr>
      <w:r>
        <w:rPr>
          <w:rFonts w:hint="eastAsia" w:ascii="宋体" w:hAnsi="宋体"/>
        </w:rPr>
        <w:t>1.5、验收要求：按上述技术参数及采购合同进行验收。</w:t>
      </w:r>
    </w:p>
    <w:p>
      <w:pPr>
        <w:pStyle w:val="8"/>
        <w:rPr>
          <w:rFonts w:ascii="宋体" w:hAnsi="宋体" w:cstheme="minorBidi"/>
          <w:kern w:val="2"/>
          <w:sz w:val="21"/>
          <w:szCs w:val="21"/>
        </w:rPr>
      </w:pPr>
      <w:r>
        <w:rPr>
          <w:rFonts w:hint="eastAsia" w:ascii="宋体" w:hAnsi="宋体" w:cstheme="minorBidi"/>
          <w:kern w:val="2"/>
          <w:sz w:val="21"/>
          <w:szCs w:val="21"/>
        </w:rPr>
        <w:t>1.5.1、服务期内，服务供应商必须在每个付款周期进行至少一次安全服务产品的健康状态检查，并输出《安全服务产品健康状态检查报告》交付采购人信息科保存。服务供应商对于检查中发现的任何安全服务产品故障必须立即展开处理，并在故障修复后5个工作日内向采购人信息科交付《安全服务产品故障处理报告》;</w:t>
      </w:r>
    </w:p>
    <w:p>
      <w:pPr>
        <w:pStyle w:val="8"/>
      </w:pPr>
      <w:r>
        <w:rPr>
          <w:rFonts w:hint="eastAsia" w:ascii="宋体" w:hAnsi="宋体" w:cstheme="minorBidi"/>
          <w:kern w:val="2"/>
          <w:sz w:val="21"/>
          <w:szCs w:val="21"/>
        </w:rPr>
        <w:t>1.5.2.每个付款周期内，采购人以服务供应商能否严格遵守本项目采购需求书各项要求、《安全服务产品健康状态检查报告》及《安全服务产品故障处理报告》作为依据，对付款周期内的服务供应商维护服务质量进行评价。对于维护服务质量不符合本项目采购需求书要求的付款周期，采购人在出示相关服务质量不合要求的依据后，有权扣除该付款周期的维护服务费用；当服务供应商所提供服务不符合本项目需求书要求时，采购人有权提前30天出示相关服务质量不合要求的依据并申请停止本项目维护服务，本项目维护服务将在申请之日起30天后正式停止。服务停止后，采购人不再向服务供应商支付本项目剩余款项</w:t>
      </w:r>
      <w:r>
        <w:rPr>
          <w:rFonts w:hint="eastAsia"/>
        </w:rPr>
        <w:t>。</w:t>
      </w:r>
    </w:p>
    <w:p>
      <w:pPr>
        <w:spacing w:line="440" w:lineRule="exact"/>
        <w:rPr>
          <w:b/>
          <w:szCs w:val="21"/>
        </w:rPr>
      </w:pPr>
      <w:r>
        <w:rPr>
          <w:rFonts w:hint="eastAsia"/>
          <w:b/>
          <w:szCs w:val="21"/>
        </w:rPr>
        <w:t>2、服务要求</w:t>
      </w:r>
    </w:p>
    <w:p>
      <w:pPr>
        <w:tabs>
          <w:tab w:val="left" w:pos="420"/>
        </w:tabs>
        <w:spacing w:line="440" w:lineRule="exact"/>
        <w:rPr>
          <w:rFonts w:ascii="宋体" w:hAnsi="宋体"/>
          <w:szCs w:val="21"/>
        </w:rPr>
      </w:pPr>
      <w:r>
        <w:rPr>
          <w:rFonts w:hint="eastAsia" w:ascii="宋体" w:hAnsi="宋体"/>
          <w:szCs w:val="21"/>
        </w:rPr>
        <w:t>2.1、服务供应商必须在中国境内有服务机构，并附有服务能力说明，服务期限为验收合格日起2年。</w:t>
      </w:r>
    </w:p>
    <w:p>
      <w:pPr>
        <w:tabs>
          <w:tab w:val="left" w:pos="420"/>
        </w:tabs>
        <w:spacing w:line="440" w:lineRule="exact"/>
        <w:rPr>
          <w:rFonts w:ascii="宋体" w:hAnsi="宋体"/>
          <w:b/>
          <w:bCs/>
          <w:szCs w:val="21"/>
        </w:rPr>
      </w:pPr>
      <w:r>
        <w:rPr>
          <w:rFonts w:hint="eastAsia" w:ascii="宋体" w:hAnsi="宋体"/>
          <w:b/>
          <w:bCs/>
          <w:szCs w:val="21"/>
        </w:rPr>
        <w:t>★2.2、服务供应商须在项目服务期内，提供7*24小时安全团队，随时应对突发安全事件，提供专业安全指导和应急处置。</w:t>
      </w:r>
    </w:p>
    <w:p>
      <w:pPr>
        <w:tabs>
          <w:tab w:val="left" w:pos="420"/>
        </w:tabs>
        <w:spacing w:line="440" w:lineRule="exact"/>
        <w:rPr>
          <w:rFonts w:ascii="宋体" w:hAnsi="宋体"/>
          <w:b/>
          <w:bCs/>
          <w:szCs w:val="21"/>
        </w:rPr>
      </w:pPr>
      <w:r>
        <w:rPr>
          <w:rFonts w:hint="eastAsia" w:ascii="宋体" w:hAnsi="宋体"/>
          <w:b/>
          <w:bCs/>
          <w:szCs w:val="21"/>
        </w:rPr>
        <w:t>★2.3、服务供应商在服务期内，服务供应商在接到用户的维护通知，响应时间为半小时内，能远程解决的远程解决，不能远程解决的工程师到达现场时间为12小时内，排除故障时限为到达现场后8小时内。</w:t>
      </w:r>
    </w:p>
    <w:p>
      <w:pPr>
        <w:pStyle w:val="5"/>
        <w:spacing w:before="0" w:after="0" w:line="360" w:lineRule="auto"/>
        <w:rPr>
          <w:rFonts w:ascii="宋体" w:hAnsi="宋体" w:eastAsia="宋体" w:cs="宋体"/>
          <w:sz w:val="24"/>
          <w:szCs w:val="24"/>
        </w:rPr>
      </w:pPr>
      <w:r>
        <w:rPr>
          <w:rFonts w:hint="eastAsia" w:ascii="宋体" w:hAnsi="宋体" w:eastAsia="宋体" w:cs="宋体"/>
          <w:sz w:val="24"/>
          <w:szCs w:val="24"/>
        </w:rPr>
        <w:t>六、维护服务时间和人员要求</w:t>
      </w:r>
    </w:p>
    <w:p>
      <w:pPr>
        <w:spacing w:line="360" w:lineRule="auto"/>
        <w:ind w:left="959" w:leftChars="228" w:hanging="480" w:hangingChars="200"/>
        <w:jc w:val="left"/>
        <w:rPr>
          <w:rFonts w:ascii="宋体"/>
          <w:sz w:val="24"/>
        </w:rPr>
      </w:pPr>
      <w:r>
        <w:rPr>
          <w:rFonts w:hint="eastAsia" w:ascii="宋体"/>
          <w:sz w:val="24"/>
        </w:rPr>
        <w:t>1、★维护服务地点：中山市小榄人民医院；</w:t>
      </w:r>
    </w:p>
    <w:p>
      <w:pPr>
        <w:spacing w:line="360" w:lineRule="auto"/>
        <w:ind w:left="959" w:leftChars="228" w:hanging="480" w:hangingChars="200"/>
        <w:jc w:val="left"/>
        <w:rPr>
          <w:rFonts w:hint="eastAsia" w:ascii="宋体" w:hAnsi="宋体" w:eastAsia="宋体" w:cs="宋体"/>
          <w:bCs/>
          <w:color w:val="auto"/>
          <w:sz w:val="24"/>
          <w:lang w:val="zh-CN"/>
        </w:rPr>
      </w:pPr>
      <w:r>
        <w:rPr>
          <w:rFonts w:hint="eastAsia" w:ascii="宋体"/>
          <w:color w:val="auto"/>
          <w:sz w:val="24"/>
        </w:rPr>
        <w:t>2、★维护服务生效时间</w:t>
      </w:r>
      <w:r>
        <w:rPr>
          <w:rFonts w:hint="eastAsia" w:ascii="宋体" w:hAnsi="宋体" w:eastAsia="宋体" w:cs="宋体"/>
          <w:bCs/>
          <w:color w:val="auto"/>
          <w:sz w:val="24"/>
          <w:lang w:val="zh-CN"/>
        </w:rPr>
        <w:t>：自合同签订之日起两年；</w:t>
      </w:r>
    </w:p>
    <w:p>
      <w:pPr>
        <w:spacing w:line="360" w:lineRule="auto"/>
        <w:ind w:left="959" w:leftChars="228" w:hanging="480" w:hangingChars="200"/>
        <w:jc w:val="left"/>
        <w:rPr>
          <w:rFonts w:ascii="宋体"/>
          <w:sz w:val="24"/>
        </w:rPr>
      </w:pPr>
      <w:r>
        <w:rPr>
          <w:rFonts w:hint="eastAsia" w:ascii="宋体"/>
          <w:sz w:val="24"/>
        </w:rPr>
        <w:t>3、★维护服务周期：本项目服务期限为贰年，采取 1+1 的方式。即先签订一年合同，如甲方对乙方的服务满意且考核合格（考核内容见附件），在第一年合同期满后，经甲方同意，本项目服务期限自动延期一年。如甲方对乙方所提供的服务不满意(即连续两个月考核结果低于 75 分的)，甲方有权单方终止合同；</w:t>
      </w:r>
    </w:p>
    <w:p>
      <w:pPr>
        <w:spacing w:line="360" w:lineRule="auto"/>
        <w:ind w:left="959" w:leftChars="228" w:hanging="480" w:hangingChars="200"/>
        <w:jc w:val="left"/>
        <w:rPr>
          <w:rFonts w:ascii="宋体"/>
          <w:sz w:val="24"/>
        </w:rPr>
      </w:pPr>
      <w:r>
        <w:rPr>
          <w:rFonts w:hint="eastAsia" w:ascii="宋体"/>
          <w:sz w:val="24"/>
        </w:rPr>
        <w:t xml:space="preserve">4、★服务供应商必须安排具备服务产品维护技术资历的技术人员为采购方提供相关维护服务； </w:t>
      </w:r>
    </w:p>
    <w:p>
      <w:pPr>
        <w:pStyle w:val="5"/>
        <w:spacing w:before="0" w:after="0" w:line="360" w:lineRule="auto"/>
        <w:rPr>
          <w:rFonts w:ascii="宋体" w:hAnsi="宋体" w:eastAsia="宋体" w:cs="宋体"/>
          <w:sz w:val="24"/>
          <w:szCs w:val="24"/>
        </w:rPr>
      </w:pPr>
      <w:r>
        <w:rPr>
          <w:rFonts w:hint="eastAsia" w:ascii="宋体" w:hAnsi="宋体" w:eastAsia="宋体" w:cs="宋体"/>
          <w:sz w:val="24"/>
          <w:szCs w:val="24"/>
        </w:rPr>
        <w:t>七、付款方式</w:t>
      </w:r>
    </w:p>
    <w:p>
      <w:pPr>
        <w:pStyle w:val="6"/>
        <w:ind w:firstLine="480" w:firstLineChars="200"/>
        <w:jc w:val="left"/>
        <w:rPr>
          <w:sz w:val="24"/>
        </w:rPr>
      </w:pPr>
      <w:r>
        <w:rPr>
          <w:rFonts w:hint="eastAsia"/>
          <w:sz w:val="24"/>
        </w:rPr>
        <w:t>本合同的每笔款项以人民币转账方式支付，中标服务商凭：</w:t>
      </w:r>
    </w:p>
    <w:p>
      <w:pPr>
        <w:pStyle w:val="6"/>
        <w:ind w:firstLine="480" w:firstLineChars="200"/>
        <w:jc w:val="left"/>
        <w:rPr>
          <w:sz w:val="24"/>
        </w:rPr>
      </w:pPr>
      <w:r>
        <w:rPr>
          <w:rFonts w:hint="eastAsia"/>
          <w:sz w:val="24"/>
        </w:rPr>
        <w:t>1、合同；</w:t>
      </w:r>
    </w:p>
    <w:p>
      <w:pPr>
        <w:pStyle w:val="6"/>
        <w:ind w:firstLine="480" w:firstLineChars="200"/>
        <w:jc w:val="left"/>
        <w:rPr>
          <w:sz w:val="24"/>
        </w:rPr>
      </w:pPr>
      <w:r>
        <w:rPr>
          <w:rFonts w:hint="eastAsia"/>
          <w:sz w:val="24"/>
        </w:rPr>
        <w:t>2、中标服务商开具的正式发票，加盖发票专用章；</w:t>
      </w:r>
    </w:p>
    <w:p>
      <w:pPr>
        <w:spacing w:line="360" w:lineRule="auto"/>
        <w:ind w:left="959" w:leftChars="228" w:hanging="480" w:hangingChars="200"/>
        <w:jc w:val="left"/>
        <w:rPr>
          <w:rFonts w:ascii="宋体"/>
          <w:sz w:val="24"/>
        </w:rPr>
      </w:pPr>
      <w:r>
        <w:rPr>
          <w:rFonts w:hint="eastAsia" w:ascii="宋体" w:hAnsi="宋体" w:eastAsia="宋体" w:cs="宋体"/>
          <w:sz w:val="24"/>
        </w:rPr>
        <w:t xml:space="preserve">3、 </w:t>
      </w:r>
      <w:r>
        <w:rPr>
          <w:rFonts w:hint="eastAsia" w:ascii="宋体"/>
          <w:sz w:val="24"/>
        </w:rPr>
        <w:t>具体付款方式：实行先服务后付款，合同总额平均分八期支付，每服务满三个月结算一次，若质量考核合格，乙方须提供相应金额（即合同总金额的12.5%）的发票，甲方收到乙方发票并审核无误后，一个月内支付该笔款项，如此类推，直到服务期满。</w:t>
      </w:r>
    </w:p>
    <w:p>
      <w:pPr>
        <w:numPr>
          <w:ilvl w:val="0"/>
          <w:numId w:val="2"/>
        </w:numPr>
        <w:spacing w:line="360" w:lineRule="auto"/>
        <w:jc w:val="left"/>
        <w:rPr>
          <w:rFonts w:ascii="宋体"/>
          <w:sz w:val="24"/>
        </w:rPr>
      </w:pPr>
      <w:r>
        <w:rPr>
          <w:rFonts w:hint="eastAsia" w:ascii="宋体"/>
          <w:sz w:val="24"/>
        </w:rPr>
        <w:t>每服务满三个月，由采购人的科室负责人等组成考核管理小组进行质量考核（详见附件《质量考核表》），乙方根据考核结果提供相应金额的普通发票，采购人收到发票并审核无误后，采购人支付该笔款项。</w:t>
      </w:r>
    </w:p>
    <w:p>
      <w:pPr>
        <w:pStyle w:val="5"/>
        <w:spacing w:before="0" w:after="0" w:line="360" w:lineRule="auto"/>
        <w:rPr>
          <w:rFonts w:ascii="宋体" w:hAnsi="宋体" w:eastAsia="宋体" w:cs="宋体"/>
          <w:sz w:val="24"/>
          <w:szCs w:val="24"/>
        </w:rPr>
      </w:pPr>
      <w:r>
        <w:rPr>
          <w:rFonts w:hint="eastAsia" w:ascii="宋体" w:hAnsi="宋体" w:eastAsia="宋体" w:cs="宋体"/>
          <w:sz w:val="24"/>
          <w:szCs w:val="24"/>
        </w:rPr>
        <w:t>八、违约责任</w:t>
      </w:r>
    </w:p>
    <w:p>
      <w:pPr>
        <w:spacing w:line="360" w:lineRule="auto"/>
        <w:ind w:left="959" w:leftChars="228" w:hanging="480" w:hangingChars="200"/>
        <w:jc w:val="left"/>
        <w:rPr>
          <w:rFonts w:ascii="宋体"/>
          <w:sz w:val="24"/>
        </w:rPr>
      </w:pPr>
      <w:r>
        <w:rPr>
          <w:rFonts w:hint="eastAsia" w:ascii="宋体"/>
          <w:sz w:val="24"/>
        </w:rPr>
        <w:t>1、服务供应商所提供的服务不符合合同规定的，采购人有权要求服务供应商对服务进行改</w:t>
      </w:r>
      <w:r>
        <w:rPr>
          <w:rFonts w:hint="eastAsia" w:ascii="宋体"/>
          <w:color w:val="auto"/>
          <w:sz w:val="24"/>
        </w:rPr>
        <w:t>进，根据双方协商的时间内</w:t>
      </w:r>
      <w:r>
        <w:rPr>
          <w:rFonts w:hint="eastAsia" w:ascii="宋体"/>
          <w:sz w:val="24"/>
        </w:rPr>
        <w:t xml:space="preserve">改进结果无法得到采购人满意时，服务供应商向采购人支付服务费总值百分之五的违约金。 </w:t>
      </w:r>
    </w:p>
    <w:p>
      <w:pPr>
        <w:spacing w:line="360" w:lineRule="auto"/>
        <w:ind w:left="959" w:leftChars="228" w:hanging="480" w:hangingChars="200"/>
        <w:jc w:val="left"/>
        <w:rPr>
          <w:rFonts w:ascii="宋体"/>
          <w:sz w:val="24"/>
        </w:rPr>
      </w:pPr>
      <w:r>
        <w:rPr>
          <w:rFonts w:hint="eastAsia" w:ascii="宋体"/>
          <w:sz w:val="24"/>
        </w:rPr>
        <w:t>2、服务供应商逾期提供服务的，每逾期一天，服务供应商向采购人偿付逾期提供服务部分费用总额千分之五的滞纳金，累计滞纳金总额不超过逾期提供的服务部分费用总额的百分之五。逾期提供服务超过十天，采购人有权终止合同。</w:t>
      </w:r>
    </w:p>
    <w:p>
      <w:pPr>
        <w:jc w:val="left"/>
        <w:rPr>
          <w:rFonts w:ascii="宋体" w:hAnsi="宋体" w:eastAsia="宋体" w:cs="Times New Roman"/>
        </w:rPr>
      </w:pPr>
    </w:p>
    <w:p>
      <w:pPr>
        <w:jc w:val="left"/>
        <w:rPr>
          <w:rFonts w:ascii="宋体" w:hAnsi="宋体" w:eastAsia="宋体" w:cs="Times New Roman"/>
        </w:rPr>
      </w:pPr>
      <w:r>
        <w:rPr>
          <w:rFonts w:ascii="宋体" w:hAnsi="宋体" w:eastAsia="宋体" w:cs="Times New Roman"/>
        </w:rPr>
        <w:br w:type="page"/>
      </w:r>
    </w:p>
    <w:p>
      <w:pPr>
        <w:jc w:val="left"/>
        <w:rPr>
          <w:rFonts w:ascii="宋体" w:hAnsi="宋体" w:eastAsia="宋体" w:cs="Times New Roman"/>
        </w:rPr>
      </w:pPr>
      <w:r>
        <w:rPr>
          <w:rFonts w:hint="eastAsia" w:ascii="宋体" w:hAnsi="宋体" w:eastAsia="宋体" w:cs="Times New Roman"/>
        </w:rPr>
        <w:t>附件：《质量考核表》</w:t>
      </w:r>
    </w:p>
    <w:tbl>
      <w:tblPr>
        <w:tblStyle w:val="17"/>
        <w:tblpPr w:leftFromText="180" w:rightFromText="180" w:vertAnchor="text" w:horzAnchor="page" w:tblpX="925" w:tblpY="333"/>
        <w:tblOverlap w:val="never"/>
        <w:tblW w:w="11330" w:type="dxa"/>
        <w:tblInd w:w="0" w:type="dxa"/>
        <w:tblLayout w:type="fixed"/>
        <w:tblCellMar>
          <w:top w:w="15" w:type="dxa"/>
          <w:left w:w="108" w:type="dxa"/>
          <w:bottom w:w="0" w:type="dxa"/>
          <w:right w:w="108" w:type="dxa"/>
        </w:tblCellMar>
      </w:tblPr>
      <w:tblGrid>
        <w:gridCol w:w="2013"/>
        <w:gridCol w:w="724"/>
        <w:gridCol w:w="1288"/>
        <w:gridCol w:w="826"/>
        <w:gridCol w:w="651"/>
        <w:gridCol w:w="1937"/>
        <w:gridCol w:w="1510"/>
        <w:gridCol w:w="1551"/>
      </w:tblGrid>
      <w:tr>
        <w:tblPrEx>
          <w:tblCellMar>
            <w:top w:w="15" w:type="dxa"/>
            <w:left w:w="108" w:type="dxa"/>
            <w:bottom w:w="0" w:type="dxa"/>
            <w:right w:w="108" w:type="dxa"/>
          </w:tblCellMar>
        </w:tblPrEx>
        <w:trPr>
          <w:trHeight w:val="876" w:hRule="atLeast"/>
        </w:trPr>
        <w:tc>
          <w:tcPr>
            <w:tcW w:w="1050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32"/>
                <w:szCs w:val="32"/>
              </w:rPr>
            </w:pPr>
            <w:bookmarkStart w:id="4" w:name="RANGE!A1:H28"/>
            <w:r>
              <w:rPr>
                <w:rFonts w:hint="eastAsia" w:ascii="宋体" w:hAnsi="宋体" w:eastAsia="宋体" w:cs="宋体"/>
                <w:b/>
                <w:bCs/>
                <w:kern w:val="0"/>
                <w:sz w:val="32"/>
                <w:szCs w:val="32"/>
              </w:rPr>
              <w:t>中山市小榄人民医院信息科对外委托服务质量考核表</w:t>
            </w:r>
            <w:bookmarkEnd w:id="4"/>
          </w:p>
        </w:tc>
      </w:tr>
      <w:tr>
        <w:tblPrEx>
          <w:tblCellMar>
            <w:top w:w="15" w:type="dxa"/>
            <w:left w:w="108" w:type="dxa"/>
            <w:bottom w:w="0" w:type="dxa"/>
            <w:right w:w="108" w:type="dxa"/>
          </w:tblCellMar>
        </w:tblPrEx>
        <w:trPr>
          <w:trHeight w:val="553" w:hRule="atLeast"/>
        </w:trPr>
        <w:tc>
          <w:tcPr>
            <w:tcW w:w="2013"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服务项目名称（内容）</w:t>
            </w:r>
          </w:p>
        </w:tc>
        <w:tc>
          <w:tcPr>
            <w:tcW w:w="3489" w:type="dxa"/>
            <w:gridSpan w:val="4"/>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b/>
                <w:bCs/>
                <w:kern w:val="0"/>
                <w:sz w:val="24"/>
              </w:rPr>
            </w:pPr>
            <w:r>
              <w:rPr>
                <w:rFonts w:hint="eastAsia" w:ascii="宋体" w:hAnsi="宋体" w:eastAsia="宋体" w:cs="宋体"/>
                <w:b/>
                <w:bCs/>
                <w:kern w:val="0"/>
                <w:sz w:val="24"/>
              </w:rPr>
              <w:t>　</w:t>
            </w:r>
          </w:p>
        </w:tc>
        <w:tc>
          <w:tcPr>
            <w:tcW w:w="19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项目服务周期</w:t>
            </w:r>
          </w:p>
        </w:tc>
        <w:tc>
          <w:tcPr>
            <w:tcW w:w="3061"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b/>
                <w:bCs/>
                <w:kern w:val="0"/>
                <w:sz w:val="24"/>
              </w:rPr>
            </w:pPr>
            <w:r>
              <w:rPr>
                <w:rFonts w:hint="eastAsia" w:ascii="宋体" w:hAnsi="宋体" w:eastAsia="宋体" w:cs="宋体"/>
                <w:b/>
                <w:bCs/>
                <w:kern w:val="0"/>
                <w:sz w:val="24"/>
              </w:rPr>
              <w:t>　</w:t>
            </w:r>
          </w:p>
        </w:tc>
      </w:tr>
      <w:tr>
        <w:tblPrEx>
          <w:tblCellMar>
            <w:top w:w="15" w:type="dxa"/>
            <w:left w:w="108" w:type="dxa"/>
            <w:bottom w:w="0" w:type="dxa"/>
            <w:right w:w="108" w:type="dxa"/>
          </w:tblCellMar>
        </w:tblPrEx>
        <w:trPr>
          <w:trHeight w:val="553" w:hRule="atLeast"/>
        </w:trPr>
        <w:tc>
          <w:tcPr>
            <w:tcW w:w="2013"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服务供应商名称</w:t>
            </w:r>
          </w:p>
        </w:tc>
        <w:tc>
          <w:tcPr>
            <w:tcW w:w="3489" w:type="dxa"/>
            <w:gridSpan w:val="4"/>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b/>
                <w:bCs/>
                <w:kern w:val="0"/>
                <w:sz w:val="24"/>
              </w:rPr>
            </w:pPr>
            <w:r>
              <w:rPr>
                <w:rFonts w:hint="eastAsia" w:ascii="宋体" w:hAnsi="宋体" w:eastAsia="宋体" w:cs="宋体"/>
                <w:b/>
                <w:bCs/>
                <w:kern w:val="0"/>
                <w:sz w:val="24"/>
              </w:rPr>
              <w:t>　</w:t>
            </w:r>
          </w:p>
        </w:tc>
        <w:tc>
          <w:tcPr>
            <w:tcW w:w="19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供应商项目经理</w:t>
            </w:r>
          </w:p>
        </w:tc>
        <w:tc>
          <w:tcPr>
            <w:tcW w:w="3061"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b/>
                <w:bCs/>
                <w:kern w:val="0"/>
                <w:sz w:val="24"/>
              </w:rPr>
            </w:pPr>
            <w:r>
              <w:rPr>
                <w:rFonts w:hint="eastAsia" w:ascii="宋体" w:hAnsi="宋体" w:eastAsia="宋体" w:cs="宋体"/>
                <w:b/>
                <w:bCs/>
                <w:kern w:val="0"/>
                <w:sz w:val="24"/>
              </w:rPr>
              <w:t>　</w:t>
            </w:r>
          </w:p>
        </w:tc>
      </w:tr>
      <w:tr>
        <w:tblPrEx>
          <w:tblCellMar>
            <w:top w:w="15" w:type="dxa"/>
            <w:left w:w="108" w:type="dxa"/>
            <w:bottom w:w="0" w:type="dxa"/>
            <w:right w:w="108" w:type="dxa"/>
          </w:tblCellMar>
        </w:tblPrEx>
        <w:trPr>
          <w:trHeight w:val="553" w:hRule="atLeast"/>
        </w:trPr>
        <w:tc>
          <w:tcPr>
            <w:tcW w:w="2013"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服务供应商地址</w:t>
            </w:r>
          </w:p>
        </w:tc>
        <w:tc>
          <w:tcPr>
            <w:tcW w:w="3489" w:type="dxa"/>
            <w:gridSpan w:val="4"/>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937"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联系电话</w:t>
            </w:r>
          </w:p>
        </w:tc>
        <w:tc>
          <w:tcPr>
            <w:tcW w:w="3061"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r>
      <w:tr>
        <w:tblPrEx>
          <w:tblCellMar>
            <w:top w:w="15" w:type="dxa"/>
            <w:left w:w="108" w:type="dxa"/>
            <w:bottom w:w="0" w:type="dxa"/>
            <w:right w:w="108" w:type="dxa"/>
          </w:tblCellMar>
        </w:tblPrEx>
        <w:trPr>
          <w:trHeight w:val="553" w:hRule="atLeast"/>
        </w:trPr>
        <w:tc>
          <w:tcPr>
            <w:tcW w:w="2013"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主要服务内容</w:t>
            </w:r>
          </w:p>
        </w:tc>
        <w:tc>
          <w:tcPr>
            <w:tcW w:w="8487" w:type="dxa"/>
            <w:gridSpan w:val="7"/>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r>
      <w:tr>
        <w:tblPrEx>
          <w:tblCellMar>
            <w:top w:w="15" w:type="dxa"/>
            <w:left w:w="108" w:type="dxa"/>
            <w:bottom w:w="0" w:type="dxa"/>
            <w:right w:w="108" w:type="dxa"/>
          </w:tblCellMar>
        </w:tblPrEx>
        <w:trPr>
          <w:trHeight w:val="553" w:hRule="atLeast"/>
        </w:trPr>
        <w:tc>
          <w:tcPr>
            <w:tcW w:w="2013"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本次考核周期</w:t>
            </w:r>
          </w:p>
        </w:tc>
        <w:tc>
          <w:tcPr>
            <w:tcW w:w="724"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88"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826"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651"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937"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510" w:type="dxa"/>
            <w:tcBorders>
              <w:top w:val="nil"/>
              <w:left w:val="nil"/>
              <w:bottom w:val="single" w:color="auto" w:sz="4" w:space="0"/>
              <w:right w:val="nil"/>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55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r>
      <w:tr>
        <w:tblPrEx>
          <w:tblCellMar>
            <w:top w:w="15" w:type="dxa"/>
            <w:left w:w="108" w:type="dxa"/>
            <w:bottom w:w="0" w:type="dxa"/>
            <w:right w:w="108" w:type="dxa"/>
          </w:tblCellMar>
        </w:tblPrEx>
        <w:trPr>
          <w:trHeight w:val="553" w:hRule="atLeast"/>
        </w:trPr>
        <w:tc>
          <w:tcPr>
            <w:tcW w:w="105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4"/>
              </w:rPr>
            </w:pPr>
            <w:r>
              <w:rPr>
                <w:rFonts w:hint="eastAsia" w:ascii="宋体" w:hAnsi="宋体" w:eastAsia="宋体" w:cs="宋体"/>
                <w:b/>
                <w:bCs/>
                <w:kern w:val="0"/>
                <w:sz w:val="24"/>
              </w:rPr>
              <w:t>对服务供应商提供的服务评价</w:t>
            </w:r>
          </w:p>
        </w:tc>
      </w:tr>
      <w:tr>
        <w:tblPrEx>
          <w:tblCellMar>
            <w:top w:w="15" w:type="dxa"/>
            <w:left w:w="108" w:type="dxa"/>
            <w:bottom w:w="0" w:type="dxa"/>
            <w:right w:w="108" w:type="dxa"/>
          </w:tblCellMar>
        </w:tblPrEx>
        <w:trPr>
          <w:trHeight w:val="553" w:hRule="atLeast"/>
        </w:trPr>
        <w:tc>
          <w:tcPr>
            <w:tcW w:w="7439"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供应商提供的服务是否满足服务需求书要求：（满分50）</w:t>
            </w:r>
          </w:p>
        </w:tc>
        <w:tc>
          <w:tcPr>
            <w:tcW w:w="306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考核分值：</w:t>
            </w:r>
          </w:p>
        </w:tc>
      </w:tr>
      <w:tr>
        <w:tblPrEx>
          <w:tblCellMar>
            <w:top w:w="15" w:type="dxa"/>
            <w:left w:w="108" w:type="dxa"/>
            <w:bottom w:w="0" w:type="dxa"/>
            <w:right w:w="108" w:type="dxa"/>
          </w:tblCellMar>
        </w:tblPrEx>
        <w:trPr>
          <w:trHeight w:val="553" w:hRule="atLeast"/>
        </w:trPr>
        <w:tc>
          <w:tcPr>
            <w:tcW w:w="7439"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供应商工程师是否准时到达现场：（满分10）</w:t>
            </w:r>
          </w:p>
        </w:tc>
        <w:tc>
          <w:tcPr>
            <w:tcW w:w="306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考核分值：</w:t>
            </w:r>
          </w:p>
        </w:tc>
      </w:tr>
      <w:tr>
        <w:tblPrEx>
          <w:tblCellMar>
            <w:top w:w="15" w:type="dxa"/>
            <w:left w:w="108" w:type="dxa"/>
            <w:bottom w:w="0" w:type="dxa"/>
            <w:right w:w="108" w:type="dxa"/>
          </w:tblCellMar>
        </w:tblPrEx>
        <w:trPr>
          <w:trHeight w:val="553" w:hRule="atLeast"/>
        </w:trPr>
        <w:tc>
          <w:tcPr>
            <w:tcW w:w="7439"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对供应商工程师服务态度的满意度为：（满分10）</w:t>
            </w:r>
          </w:p>
        </w:tc>
        <w:tc>
          <w:tcPr>
            <w:tcW w:w="306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考核分值：</w:t>
            </w:r>
          </w:p>
        </w:tc>
      </w:tr>
      <w:tr>
        <w:tblPrEx>
          <w:tblCellMar>
            <w:top w:w="15" w:type="dxa"/>
            <w:left w:w="108" w:type="dxa"/>
            <w:bottom w:w="0" w:type="dxa"/>
            <w:right w:w="108" w:type="dxa"/>
          </w:tblCellMar>
        </w:tblPrEx>
        <w:trPr>
          <w:trHeight w:val="553" w:hRule="atLeast"/>
        </w:trPr>
        <w:tc>
          <w:tcPr>
            <w:tcW w:w="7439"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对供应商工程师工作能力的满意度为：（满分15）</w:t>
            </w:r>
          </w:p>
        </w:tc>
        <w:tc>
          <w:tcPr>
            <w:tcW w:w="306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考核分值：</w:t>
            </w:r>
          </w:p>
        </w:tc>
      </w:tr>
      <w:tr>
        <w:tblPrEx>
          <w:tblCellMar>
            <w:top w:w="15" w:type="dxa"/>
            <w:left w:w="108" w:type="dxa"/>
            <w:bottom w:w="0" w:type="dxa"/>
            <w:right w:w="108" w:type="dxa"/>
          </w:tblCellMar>
        </w:tblPrEx>
        <w:trPr>
          <w:trHeight w:val="553" w:hRule="atLeast"/>
        </w:trPr>
        <w:tc>
          <w:tcPr>
            <w:tcW w:w="7439"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对供应商提供本需求书要求的服务的总体满意度为：(满分15)</w:t>
            </w:r>
          </w:p>
        </w:tc>
        <w:tc>
          <w:tcPr>
            <w:tcW w:w="306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考核分值：</w:t>
            </w:r>
          </w:p>
        </w:tc>
      </w:tr>
      <w:tr>
        <w:tblPrEx>
          <w:tblCellMar>
            <w:top w:w="15" w:type="dxa"/>
            <w:left w:w="108" w:type="dxa"/>
            <w:bottom w:w="0" w:type="dxa"/>
            <w:right w:w="108" w:type="dxa"/>
          </w:tblCellMar>
        </w:tblPrEx>
        <w:trPr>
          <w:trHeight w:val="553" w:hRule="atLeast"/>
        </w:trPr>
        <w:tc>
          <w:tcPr>
            <w:tcW w:w="7439" w:type="dxa"/>
            <w:gridSpan w:val="6"/>
            <w:tcBorders>
              <w:top w:val="single" w:color="auto" w:sz="4" w:space="0"/>
              <w:left w:val="single" w:color="auto" w:sz="4" w:space="0"/>
              <w:bottom w:val="nil"/>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3061" w:type="dxa"/>
            <w:gridSpan w:val="2"/>
            <w:tcBorders>
              <w:top w:val="single" w:color="auto" w:sz="4" w:space="0"/>
              <w:left w:val="nil"/>
              <w:bottom w:val="nil"/>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总分值合计：</w:t>
            </w:r>
          </w:p>
        </w:tc>
      </w:tr>
      <w:tr>
        <w:tblPrEx>
          <w:tblCellMar>
            <w:top w:w="15" w:type="dxa"/>
            <w:left w:w="108" w:type="dxa"/>
            <w:bottom w:w="0" w:type="dxa"/>
            <w:right w:w="108" w:type="dxa"/>
          </w:tblCellMar>
        </w:tblPrEx>
        <w:trPr>
          <w:trHeight w:val="553" w:hRule="atLeast"/>
        </w:trPr>
        <w:tc>
          <w:tcPr>
            <w:tcW w:w="7439" w:type="dxa"/>
            <w:gridSpan w:val="6"/>
            <w:tcBorders>
              <w:top w:val="single" w:color="auto" w:sz="4" w:space="0"/>
              <w:left w:val="single" w:color="auto" w:sz="4" w:space="0"/>
              <w:bottom w:val="nil"/>
              <w:right w:val="nil"/>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其他意见或建议：</w:t>
            </w:r>
          </w:p>
        </w:tc>
        <w:tc>
          <w:tcPr>
            <w:tcW w:w="3061" w:type="dxa"/>
            <w:gridSpan w:val="2"/>
            <w:tcBorders>
              <w:top w:val="single" w:color="auto" w:sz="4" w:space="0"/>
              <w:left w:val="nil"/>
              <w:bottom w:val="nil"/>
              <w:right w:val="single" w:color="000000"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r>
      <w:tr>
        <w:tblPrEx>
          <w:tblCellMar>
            <w:top w:w="15" w:type="dxa"/>
            <w:left w:w="108" w:type="dxa"/>
            <w:bottom w:w="0" w:type="dxa"/>
            <w:right w:w="108" w:type="dxa"/>
          </w:tblCellMar>
        </w:tblPrEx>
        <w:trPr>
          <w:trHeight w:val="553" w:hRule="atLeast"/>
        </w:trPr>
        <w:tc>
          <w:tcPr>
            <w:tcW w:w="2013" w:type="dxa"/>
            <w:tcBorders>
              <w:top w:val="nil"/>
              <w:left w:val="single" w:color="auto" w:sz="4" w:space="0"/>
              <w:bottom w:val="nil"/>
              <w:right w:val="nil"/>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724" w:type="dxa"/>
            <w:tcBorders>
              <w:top w:val="nil"/>
              <w:left w:val="nil"/>
              <w:bottom w:val="nil"/>
              <w:right w:val="nil"/>
            </w:tcBorders>
            <w:shd w:val="clear" w:color="auto" w:fill="auto"/>
            <w:vAlign w:val="center"/>
          </w:tcPr>
          <w:p>
            <w:pPr>
              <w:widowControl/>
              <w:jc w:val="left"/>
              <w:rPr>
                <w:rFonts w:ascii="宋体" w:hAnsi="宋体" w:eastAsia="宋体" w:cs="宋体"/>
                <w:kern w:val="0"/>
                <w:sz w:val="24"/>
              </w:rPr>
            </w:pPr>
          </w:p>
        </w:tc>
        <w:tc>
          <w:tcPr>
            <w:tcW w:w="1288"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826"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651"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937"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51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r>
      <w:tr>
        <w:tblPrEx>
          <w:tblCellMar>
            <w:top w:w="15" w:type="dxa"/>
            <w:left w:w="108" w:type="dxa"/>
            <w:bottom w:w="0" w:type="dxa"/>
            <w:right w:w="108" w:type="dxa"/>
          </w:tblCellMar>
        </w:tblPrEx>
        <w:trPr>
          <w:trHeight w:val="553" w:hRule="atLeast"/>
        </w:trPr>
        <w:tc>
          <w:tcPr>
            <w:tcW w:w="2013" w:type="dxa"/>
            <w:tcBorders>
              <w:top w:val="nil"/>
              <w:left w:val="single" w:color="auto" w:sz="4" w:space="0"/>
              <w:bottom w:val="nil"/>
              <w:right w:val="nil"/>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724" w:type="dxa"/>
            <w:tcBorders>
              <w:top w:val="nil"/>
              <w:left w:val="nil"/>
              <w:bottom w:val="nil"/>
              <w:right w:val="nil"/>
            </w:tcBorders>
            <w:shd w:val="clear" w:color="auto" w:fill="auto"/>
            <w:vAlign w:val="center"/>
          </w:tcPr>
          <w:p>
            <w:pPr>
              <w:widowControl/>
              <w:jc w:val="left"/>
              <w:rPr>
                <w:rFonts w:ascii="宋体" w:hAnsi="宋体" w:eastAsia="宋体" w:cs="宋体"/>
                <w:kern w:val="0"/>
                <w:sz w:val="24"/>
              </w:rPr>
            </w:pPr>
          </w:p>
        </w:tc>
        <w:tc>
          <w:tcPr>
            <w:tcW w:w="1288"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826"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651"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937"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51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single" w:color="auto" w:sz="4"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r>
      <w:tr>
        <w:tblPrEx>
          <w:tblCellMar>
            <w:top w:w="15" w:type="dxa"/>
            <w:left w:w="108" w:type="dxa"/>
            <w:bottom w:w="0" w:type="dxa"/>
            <w:right w:w="108" w:type="dxa"/>
          </w:tblCellMar>
        </w:tblPrEx>
        <w:trPr>
          <w:trHeight w:val="90" w:hRule="atLeast"/>
        </w:trPr>
        <w:tc>
          <w:tcPr>
            <w:tcW w:w="2013" w:type="dxa"/>
            <w:tcBorders>
              <w:top w:val="nil"/>
              <w:left w:val="single" w:color="auto" w:sz="4" w:space="0"/>
              <w:bottom w:val="single" w:color="auto" w:sz="4" w:space="0"/>
              <w:right w:val="nil"/>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c>
          <w:tcPr>
            <w:tcW w:w="724" w:type="dxa"/>
            <w:tcBorders>
              <w:top w:val="nil"/>
              <w:left w:val="nil"/>
              <w:bottom w:val="single" w:color="auto" w:sz="4" w:space="0"/>
              <w:right w:val="nil"/>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c>
          <w:tcPr>
            <w:tcW w:w="1288" w:type="dxa"/>
            <w:tcBorders>
              <w:top w:val="nil"/>
              <w:left w:val="nil"/>
              <w:bottom w:val="single" w:color="auto" w:sz="4" w:space="0"/>
              <w:right w:val="nil"/>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c>
          <w:tcPr>
            <w:tcW w:w="826" w:type="dxa"/>
            <w:tcBorders>
              <w:top w:val="nil"/>
              <w:left w:val="nil"/>
              <w:bottom w:val="single" w:color="auto" w:sz="4" w:space="0"/>
              <w:right w:val="nil"/>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c>
          <w:tcPr>
            <w:tcW w:w="651" w:type="dxa"/>
            <w:tcBorders>
              <w:top w:val="nil"/>
              <w:left w:val="nil"/>
              <w:bottom w:val="single" w:color="auto" w:sz="4" w:space="0"/>
              <w:right w:val="nil"/>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c>
          <w:tcPr>
            <w:tcW w:w="1937" w:type="dxa"/>
            <w:tcBorders>
              <w:top w:val="nil"/>
              <w:left w:val="nil"/>
              <w:bottom w:val="single" w:color="auto" w:sz="4" w:space="0"/>
              <w:right w:val="nil"/>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c>
          <w:tcPr>
            <w:tcW w:w="1510" w:type="dxa"/>
            <w:tcBorders>
              <w:top w:val="nil"/>
              <w:left w:val="nil"/>
              <w:bottom w:val="single" w:color="auto" w:sz="4" w:space="0"/>
              <w:right w:val="nil"/>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c>
          <w:tcPr>
            <w:tcW w:w="1551"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r>
      <w:tr>
        <w:tblPrEx>
          <w:tblCellMar>
            <w:top w:w="15" w:type="dxa"/>
            <w:left w:w="108" w:type="dxa"/>
            <w:bottom w:w="0" w:type="dxa"/>
            <w:right w:w="108" w:type="dxa"/>
          </w:tblCellMar>
        </w:tblPrEx>
        <w:trPr>
          <w:trHeight w:val="553" w:hRule="atLeast"/>
        </w:trPr>
        <w:tc>
          <w:tcPr>
            <w:tcW w:w="2013"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双方签名确认</w:t>
            </w:r>
          </w:p>
        </w:tc>
        <w:tc>
          <w:tcPr>
            <w:tcW w:w="724"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rPr>
            </w:pPr>
          </w:p>
        </w:tc>
        <w:tc>
          <w:tcPr>
            <w:tcW w:w="1288"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826"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651"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93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51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single" w:color="auto" w:sz="4" w:space="0"/>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r>
      <w:tr>
        <w:tblPrEx>
          <w:tblCellMar>
            <w:top w:w="15" w:type="dxa"/>
            <w:left w:w="108" w:type="dxa"/>
            <w:bottom w:w="0" w:type="dxa"/>
            <w:right w:w="108" w:type="dxa"/>
          </w:tblCellMar>
        </w:tblPrEx>
        <w:trPr>
          <w:trHeight w:val="553" w:hRule="atLeast"/>
        </w:trPr>
        <w:tc>
          <w:tcPr>
            <w:tcW w:w="2013"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724"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rPr>
            </w:pPr>
          </w:p>
        </w:tc>
        <w:tc>
          <w:tcPr>
            <w:tcW w:w="1288"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826"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651"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93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51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single" w:color="auto" w:sz="4" w:space="0"/>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r>
      <w:tr>
        <w:tblPrEx>
          <w:tblCellMar>
            <w:top w:w="15" w:type="dxa"/>
            <w:left w:w="108" w:type="dxa"/>
            <w:bottom w:w="0" w:type="dxa"/>
            <w:right w:w="108" w:type="dxa"/>
          </w:tblCellMar>
        </w:tblPrEx>
        <w:trPr>
          <w:trHeight w:val="553" w:hRule="atLeast"/>
        </w:trPr>
        <w:tc>
          <w:tcPr>
            <w:tcW w:w="5502" w:type="dxa"/>
            <w:gridSpan w:val="5"/>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rPr>
            </w:pPr>
            <w:r>
              <w:rPr>
                <w:rFonts w:hint="eastAsia" w:ascii="'宋体" w:hAnsi="宋体" w:eastAsia="'宋体" w:cs="宋体"/>
                <w:kern w:val="0"/>
                <w:sz w:val="24"/>
              </w:rPr>
              <w:t xml:space="preserve"> 小榄医院管理人员：</w:t>
            </w:r>
          </w:p>
        </w:tc>
        <w:tc>
          <w:tcPr>
            <w:tcW w:w="4998" w:type="dxa"/>
            <w:gridSpan w:val="3"/>
            <w:tcBorders>
              <w:top w:val="nil"/>
              <w:left w:val="nil"/>
              <w:bottom w:val="nil"/>
              <w:right w:val="single" w:color="000000" w:sz="4" w:space="0"/>
            </w:tcBorders>
            <w:shd w:val="clear" w:color="auto" w:fill="auto"/>
            <w:noWrap/>
            <w:vAlign w:val="center"/>
          </w:tcPr>
          <w:p>
            <w:pPr>
              <w:widowControl/>
              <w:jc w:val="left"/>
              <w:rPr>
                <w:rFonts w:ascii="'宋体" w:hAnsi="宋体" w:eastAsia="'宋体" w:cs="宋体"/>
                <w:kern w:val="0"/>
                <w:sz w:val="24"/>
              </w:rPr>
            </w:pPr>
            <w:r>
              <w:rPr>
                <w:rFonts w:hint="eastAsia" w:ascii="'宋体" w:hAnsi="宋体" w:eastAsia="'宋体" w:cs="宋体"/>
                <w:kern w:val="0"/>
                <w:sz w:val="24"/>
              </w:rPr>
              <w:t>供应商项目经理：</w:t>
            </w:r>
          </w:p>
        </w:tc>
      </w:tr>
      <w:tr>
        <w:tblPrEx>
          <w:tblCellMar>
            <w:top w:w="15" w:type="dxa"/>
            <w:left w:w="108" w:type="dxa"/>
            <w:bottom w:w="0" w:type="dxa"/>
            <w:right w:w="108" w:type="dxa"/>
          </w:tblCellMar>
        </w:tblPrEx>
        <w:trPr>
          <w:trHeight w:val="328" w:hRule="atLeast"/>
        </w:trPr>
        <w:tc>
          <w:tcPr>
            <w:tcW w:w="2013" w:type="dxa"/>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724" w:type="dxa"/>
            <w:tcBorders>
              <w:top w:val="nil"/>
              <w:left w:val="nil"/>
              <w:bottom w:val="nil"/>
              <w:right w:val="nil"/>
            </w:tcBorders>
            <w:shd w:val="clear" w:color="auto" w:fill="auto"/>
            <w:noWrap/>
            <w:vAlign w:val="center"/>
          </w:tcPr>
          <w:p>
            <w:pPr>
              <w:widowControl/>
              <w:jc w:val="left"/>
              <w:rPr>
                <w:rFonts w:ascii="'宋体" w:hAnsi="宋体" w:eastAsia="'宋体" w:cs="宋体"/>
                <w:kern w:val="0"/>
                <w:sz w:val="24"/>
              </w:rPr>
            </w:pPr>
          </w:p>
        </w:tc>
        <w:tc>
          <w:tcPr>
            <w:tcW w:w="1288"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826"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651"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937"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51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551"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r>
      <w:tr>
        <w:tblPrEx>
          <w:tblCellMar>
            <w:top w:w="15" w:type="dxa"/>
            <w:left w:w="108" w:type="dxa"/>
            <w:bottom w:w="0" w:type="dxa"/>
            <w:right w:w="108" w:type="dxa"/>
          </w:tblCellMar>
        </w:tblPrEx>
        <w:trPr>
          <w:trHeight w:val="553" w:hRule="atLeast"/>
        </w:trPr>
        <w:tc>
          <w:tcPr>
            <w:tcW w:w="5502" w:type="dxa"/>
            <w:gridSpan w:val="5"/>
            <w:tcBorders>
              <w:top w:val="nil"/>
              <w:left w:val="single" w:color="auto" w:sz="4" w:space="0"/>
              <w:bottom w:val="nil"/>
              <w:right w:val="nil"/>
            </w:tcBorders>
            <w:shd w:val="clear" w:color="auto" w:fill="auto"/>
            <w:noWrap/>
            <w:vAlign w:val="center"/>
          </w:tcPr>
          <w:p>
            <w:pPr>
              <w:widowControl/>
              <w:jc w:val="left"/>
              <w:rPr>
                <w:rFonts w:ascii="'宋体" w:hAnsi="宋体" w:eastAsia="'宋体" w:cs="宋体"/>
                <w:kern w:val="0"/>
                <w:sz w:val="24"/>
              </w:rPr>
            </w:pPr>
            <w:r>
              <w:rPr>
                <w:rFonts w:ascii="Times New Roman" w:hAnsi="Times New Roman" w:eastAsia="'宋体" w:cs="Times New Roman"/>
                <w:kern w:val="0"/>
                <w:sz w:val="24"/>
              </w:rPr>
              <w:t xml:space="preserve">  </w:t>
            </w:r>
            <w:r>
              <w:rPr>
                <w:rFonts w:hint="eastAsia" w:ascii="'宋体" w:hAnsi="宋体" w:eastAsia="'宋体" w:cs="宋体"/>
                <w:kern w:val="0"/>
                <w:sz w:val="24"/>
              </w:rPr>
              <w:t>日</w:t>
            </w:r>
            <w:r>
              <w:rPr>
                <w:rFonts w:ascii="Times New Roman" w:hAnsi="Times New Roman" w:eastAsia="'宋体" w:cs="Times New Roman"/>
                <w:kern w:val="0"/>
                <w:sz w:val="24"/>
              </w:rPr>
              <w:t xml:space="preserve">    </w:t>
            </w:r>
            <w:r>
              <w:rPr>
                <w:rFonts w:hint="eastAsia" w:ascii="'宋体" w:hAnsi="宋体" w:eastAsia="'宋体" w:cs="宋体"/>
                <w:kern w:val="0"/>
                <w:sz w:val="24"/>
              </w:rPr>
              <w:t>期：</w:t>
            </w:r>
            <w:r>
              <w:rPr>
                <w:rFonts w:ascii="Times New Roman" w:hAnsi="Times New Roman" w:eastAsia="'宋体" w:cs="Times New Roman"/>
                <w:kern w:val="0"/>
                <w:sz w:val="24"/>
              </w:rPr>
              <w:t xml:space="preserve">             </w:t>
            </w:r>
          </w:p>
        </w:tc>
        <w:tc>
          <w:tcPr>
            <w:tcW w:w="4998" w:type="dxa"/>
            <w:gridSpan w:val="3"/>
            <w:tcBorders>
              <w:top w:val="nil"/>
              <w:left w:val="nil"/>
              <w:bottom w:val="nil"/>
              <w:right w:val="single" w:color="000000" w:sz="4" w:space="0"/>
            </w:tcBorders>
            <w:shd w:val="clear" w:color="auto" w:fill="auto"/>
            <w:noWrap/>
            <w:vAlign w:val="center"/>
          </w:tcPr>
          <w:p>
            <w:pPr>
              <w:widowControl/>
              <w:jc w:val="left"/>
              <w:rPr>
                <w:rFonts w:ascii="'宋体" w:hAnsi="宋体" w:eastAsia="'宋体" w:cs="宋体"/>
                <w:kern w:val="0"/>
                <w:sz w:val="24"/>
              </w:rPr>
            </w:pPr>
            <w:r>
              <w:rPr>
                <w:rFonts w:hint="eastAsia" w:ascii="'宋体" w:hAnsi="宋体" w:eastAsia="'宋体" w:cs="宋体"/>
                <w:kern w:val="0"/>
                <w:sz w:val="24"/>
              </w:rPr>
              <w:t>日</w:t>
            </w:r>
            <w:r>
              <w:rPr>
                <w:rFonts w:ascii="Times New Roman" w:hAnsi="Times New Roman" w:eastAsia="'宋体" w:cs="Times New Roman"/>
                <w:kern w:val="0"/>
                <w:sz w:val="24"/>
              </w:rPr>
              <w:t xml:space="preserve">    </w:t>
            </w:r>
            <w:r>
              <w:rPr>
                <w:rFonts w:hint="eastAsia" w:ascii="'宋体" w:hAnsi="宋体" w:eastAsia="'宋体" w:cs="宋体"/>
                <w:kern w:val="0"/>
                <w:sz w:val="24"/>
              </w:rPr>
              <w:t>期：</w:t>
            </w:r>
            <w:r>
              <w:rPr>
                <w:rFonts w:ascii="Times New Roman" w:hAnsi="Times New Roman" w:eastAsia="'宋体" w:cs="Times New Roman"/>
                <w:kern w:val="0"/>
                <w:sz w:val="24"/>
              </w:rPr>
              <w:t xml:space="preserve">             </w:t>
            </w:r>
          </w:p>
        </w:tc>
      </w:tr>
      <w:tr>
        <w:tblPrEx>
          <w:tblCellMar>
            <w:top w:w="15" w:type="dxa"/>
            <w:left w:w="108" w:type="dxa"/>
            <w:bottom w:w="0" w:type="dxa"/>
            <w:right w:w="108" w:type="dxa"/>
          </w:tblCellMar>
        </w:tblPrEx>
        <w:trPr>
          <w:trHeight w:val="258" w:hRule="atLeast"/>
        </w:trPr>
        <w:tc>
          <w:tcPr>
            <w:tcW w:w="2013" w:type="dxa"/>
            <w:tcBorders>
              <w:top w:val="nil"/>
              <w:left w:val="single" w:color="auto" w:sz="4" w:space="0"/>
              <w:bottom w:val="single" w:color="auto" w:sz="4" w:space="0"/>
              <w:right w:val="nil"/>
            </w:tcBorders>
            <w:shd w:val="clear" w:color="auto" w:fill="auto"/>
            <w:noWrap/>
            <w:vAlign w:val="center"/>
          </w:tcPr>
          <w:p>
            <w:pPr>
              <w:widowControl/>
              <w:jc w:val="left"/>
              <w:rPr>
                <w:rFonts w:ascii="Times New Roman" w:hAnsi="Times New Roman" w:eastAsia="宋体" w:cs="Times New Roman"/>
                <w:kern w:val="0"/>
                <w:sz w:val="24"/>
              </w:rPr>
            </w:pPr>
            <w:r>
              <w:rPr>
                <w:rFonts w:ascii="Times New Roman" w:hAnsi="Times New Roman" w:eastAsia="宋体" w:cs="Times New Roman"/>
                <w:kern w:val="0"/>
                <w:sz w:val="24"/>
              </w:rPr>
              <w:t>　</w:t>
            </w:r>
          </w:p>
        </w:tc>
        <w:tc>
          <w:tcPr>
            <w:tcW w:w="724"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288"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826"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651" w:type="dxa"/>
            <w:tcBorders>
              <w:top w:val="nil"/>
              <w:left w:val="nil"/>
              <w:bottom w:val="single" w:color="auto" w:sz="4" w:space="0"/>
              <w:right w:val="nil"/>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c>
          <w:tcPr>
            <w:tcW w:w="1937" w:type="dxa"/>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rPr>
            </w:pPr>
            <w:r>
              <w:rPr>
                <w:rFonts w:hint="eastAsia" w:ascii="宋体" w:hAnsi="宋体" w:eastAsia="宋体" w:cs="宋体"/>
                <w:kern w:val="0"/>
                <w:sz w:val="24"/>
              </w:rPr>
              <w:t>　</w:t>
            </w:r>
          </w:p>
        </w:tc>
        <w:tc>
          <w:tcPr>
            <w:tcW w:w="1510" w:type="dxa"/>
            <w:tcBorders>
              <w:top w:val="nil"/>
              <w:left w:val="nil"/>
              <w:bottom w:val="single" w:color="auto" w:sz="4" w:space="0"/>
              <w:right w:val="nil"/>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c>
          <w:tcPr>
            <w:tcW w:w="1551" w:type="dxa"/>
            <w:tcBorders>
              <w:top w:val="nil"/>
              <w:left w:val="nil"/>
              <w:bottom w:val="single" w:color="auto" w:sz="4" w:space="0"/>
              <w:right w:val="single" w:color="auto" w:sz="4" w:space="0"/>
            </w:tcBorders>
            <w:shd w:val="clear" w:color="auto" w:fill="auto"/>
            <w:noWrap/>
            <w:vAlign w:val="center"/>
          </w:tcPr>
          <w:p>
            <w:pPr>
              <w:widowControl/>
              <w:jc w:val="left"/>
              <w:rPr>
                <w:rFonts w:ascii="Arial" w:hAnsi="Arial" w:eastAsia="宋体" w:cs="Arial"/>
                <w:kern w:val="0"/>
                <w:sz w:val="24"/>
              </w:rPr>
            </w:pPr>
            <w:r>
              <w:rPr>
                <w:rFonts w:ascii="Arial" w:hAnsi="Arial" w:eastAsia="宋体" w:cs="Arial"/>
                <w:kern w:val="0"/>
                <w:sz w:val="24"/>
              </w:rPr>
              <w:t>　</w:t>
            </w:r>
          </w:p>
        </w:tc>
      </w:tr>
      <w:tr>
        <w:tblPrEx>
          <w:tblCellMar>
            <w:top w:w="15" w:type="dxa"/>
            <w:left w:w="108" w:type="dxa"/>
            <w:bottom w:w="0" w:type="dxa"/>
            <w:right w:w="108" w:type="dxa"/>
          </w:tblCellMar>
        </w:tblPrEx>
        <w:trPr>
          <w:trHeight w:val="346" w:hRule="atLeast"/>
        </w:trPr>
        <w:tc>
          <w:tcPr>
            <w:tcW w:w="10500" w:type="dxa"/>
            <w:gridSpan w:val="8"/>
            <w:tcBorders>
              <w:top w:val="nil"/>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说明：考核分数≥80分，视为合格，不予以扣减；考核总分低于80分，每低一分扣减当期服务费用500元（如考核分数为75，则扣2500元）；考核分数＜70分的，采购人有权终止合同。</w:t>
            </w:r>
          </w:p>
        </w:tc>
      </w:tr>
    </w:tbl>
    <w:p>
      <w:pPr>
        <w:pStyle w:val="9"/>
        <w:ind w:left="0" w:leftChars="0" w:firstLine="0" w:firstLineChars="0"/>
        <w:rPr>
          <w:rFonts w:hint="eastAsia" w:ascii="宋体" w:hAnsi="宋体" w:eastAsia="宋体" w:cs="宋体"/>
          <w:sz w:val="44"/>
          <w:szCs w:val="44"/>
          <w:lang w:val="en-US" w:eastAsia="zh-CN"/>
        </w:rPr>
      </w:pPr>
    </w:p>
    <w:p>
      <w:pPr>
        <w:pStyle w:val="9"/>
        <w:ind w:left="0" w:leftChars="0" w:firstLine="0" w:firstLineChars="0"/>
        <w:rPr>
          <w:rFonts w:hint="eastAsia" w:ascii="宋体" w:hAnsi="宋体" w:eastAsia="宋体" w:cs="宋体"/>
          <w:sz w:val="44"/>
          <w:szCs w:val="44"/>
          <w:lang w:val="en-US" w:eastAsia="zh-CN"/>
        </w:rPr>
      </w:pPr>
    </w:p>
    <w:p>
      <w:pPr>
        <w:pStyle w:val="9"/>
        <w:ind w:left="0" w:leftChars="0" w:firstLine="0" w:firstLineChars="0"/>
        <w:rPr>
          <w:rFonts w:hint="eastAsia" w:ascii="宋体" w:hAnsi="宋体" w:eastAsia="宋体" w:cs="宋体"/>
          <w:sz w:val="44"/>
          <w:szCs w:val="44"/>
          <w:lang w:val="en-US" w:eastAsia="zh-CN"/>
        </w:rPr>
      </w:pPr>
    </w:p>
    <w:p>
      <w:pPr>
        <w:pStyle w:val="9"/>
        <w:ind w:left="0" w:leftChars="0" w:firstLine="0" w:firstLineChars="0"/>
        <w:rPr>
          <w:rFonts w:hint="eastAsia" w:ascii="宋体" w:hAnsi="宋体" w:eastAsia="宋体" w:cs="宋体"/>
          <w:sz w:val="44"/>
          <w:szCs w:val="44"/>
          <w:lang w:val="en-US" w:eastAsia="zh-CN"/>
        </w:rPr>
      </w:pPr>
    </w:p>
    <w:p>
      <w:pPr>
        <w:pStyle w:val="9"/>
        <w:ind w:left="0" w:leftChars="0" w:firstLine="0" w:firstLineChars="0"/>
        <w:rPr>
          <w:rFonts w:hint="eastAsia" w:ascii="宋体" w:hAnsi="宋体" w:eastAsia="宋体" w:cs="宋体"/>
          <w:sz w:val="44"/>
          <w:szCs w:val="44"/>
          <w:lang w:val="en-US" w:eastAsia="zh-CN"/>
        </w:rPr>
      </w:pPr>
    </w:p>
    <w:p>
      <w:pPr>
        <w:pStyle w:val="9"/>
        <w:ind w:left="0" w:leftChars="0" w:firstLine="0" w:firstLineChars="0"/>
        <w:rPr>
          <w:rFonts w:hint="eastAsia" w:ascii="宋体" w:hAnsi="宋体" w:eastAsia="宋体" w:cs="宋体"/>
          <w:sz w:val="44"/>
          <w:szCs w:val="44"/>
          <w:lang w:val="en-US" w:eastAsia="zh-CN"/>
        </w:rPr>
      </w:pPr>
    </w:p>
    <w:p>
      <w:pPr>
        <w:pStyle w:val="9"/>
        <w:ind w:left="0" w:leftChars="0" w:firstLine="0" w:firstLineChars="0"/>
        <w:rPr>
          <w:rFonts w:hint="eastAsia" w:ascii="宋体" w:hAnsi="宋体" w:eastAsia="宋体" w:cs="宋体"/>
          <w:sz w:val="44"/>
          <w:szCs w:val="44"/>
          <w:lang w:val="en-US" w:eastAsia="zh-CN"/>
        </w:rPr>
      </w:pPr>
    </w:p>
    <w:p>
      <w:pPr>
        <w:pStyle w:val="9"/>
        <w:ind w:left="0" w:leftChars="0" w:firstLine="0" w:firstLineChars="0"/>
        <w:rPr>
          <w:rFonts w:hint="eastAsia" w:ascii="宋体" w:hAnsi="宋体" w:eastAsia="宋体" w:cs="宋体"/>
          <w:sz w:val="44"/>
          <w:szCs w:val="44"/>
          <w:lang w:val="en-US" w:eastAsia="zh-CN"/>
        </w:rPr>
      </w:pPr>
    </w:p>
    <w:p>
      <w:pPr>
        <w:pStyle w:val="9"/>
        <w:ind w:left="0" w:leftChars="0" w:firstLine="0" w:firstLineChars="0"/>
        <w:rPr>
          <w:rFonts w:hint="eastAsia" w:ascii="宋体" w:hAnsi="宋体" w:eastAsia="宋体" w:cs="宋体"/>
          <w:sz w:val="44"/>
          <w:szCs w:val="44"/>
          <w:lang w:val="en-US" w:eastAsia="zh-CN"/>
        </w:rPr>
      </w:pPr>
    </w:p>
    <w:p>
      <w:pPr>
        <w:pStyle w:val="9"/>
        <w:ind w:left="0" w:leftChars="0" w:firstLine="0" w:firstLineChars="0"/>
        <w:rPr>
          <w:rFonts w:hint="eastAsia" w:ascii="宋体" w:hAnsi="宋体" w:eastAsia="宋体" w:cs="宋体"/>
          <w:sz w:val="44"/>
          <w:szCs w:val="44"/>
          <w:lang w:val="en-US" w:eastAsia="zh-CN"/>
        </w:rPr>
      </w:pPr>
    </w:p>
    <w:p>
      <w:pPr>
        <w:pStyle w:val="4"/>
        <w:numPr>
          <w:ilvl w:val="0"/>
          <w:numId w:val="3"/>
        </w:numPr>
        <w:bidi w:val="0"/>
        <w:jc w:val="center"/>
        <w:rPr>
          <w:rFonts w:hint="eastAsia"/>
          <w:lang w:val="en-US" w:eastAsia="zh-CN"/>
        </w:rPr>
      </w:pPr>
      <w:bookmarkStart w:id="5" w:name="_Toc32635"/>
      <w:r>
        <w:rPr>
          <w:rFonts w:hint="eastAsia"/>
          <w:lang w:val="en-US" w:eastAsia="zh-CN"/>
        </w:rPr>
        <w:t>评分标准</w:t>
      </w:r>
      <w:bookmarkEnd w:id="5"/>
    </w:p>
    <w:p>
      <w:pPr>
        <w:widowControl w:val="0"/>
        <w:numPr>
          <w:ilvl w:val="0"/>
          <w:numId w:val="0"/>
        </w:numPr>
        <w:jc w:val="both"/>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分值权重：</w:t>
      </w:r>
    </w:p>
    <w:tbl>
      <w:tblPr>
        <w:tblStyle w:val="18"/>
        <w:tblW w:w="6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81" w:type="dxa"/>
            <w:noWrap w:val="0"/>
            <w:vAlign w:val="center"/>
          </w:tcPr>
          <w:p>
            <w:pPr>
              <w:pStyle w:val="16"/>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lang w:val="en-US" w:eastAsia="zh-CN"/>
              </w:rPr>
              <w:t>商务</w:t>
            </w:r>
            <w:r>
              <w:rPr>
                <w:rFonts w:hint="eastAsia" w:ascii="仿宋" w:hAnsi="仿宋" w:eastAsia="仿宋" w:cs="仿宋"/>
                <w:color w:val="000000"/>
                <w:sz w:val="24"/>
              </w:rPr>
              <w:t>技术评审</w:t>
            </w:r>
          </w:p>
        </w:tc>
        <w:tc>
          <w:tcPr>
            <w:tcW w:w="2182" w:type="dxa"/>
            <w:noWrap w:val="0"/>
            <w:vAlign w:val="center"/>
          </w:tcPr>
          <w:p>
            <w:pPr>
              <w:pStyle w:val="16"/>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价格评审</w:t>
            </w:r>
          </w:p>
        </w:tc>
        <w:tc>
          <w:tcPr>
            <w:tcW w:w="2182" w:type="dxa"/>
            <w:noWrap w:val="0"/>
            <w:vAlign w:val="center"/>
          </w:tcPr>
          <w:p>
            <w:pPr>
              <w:pStyle w:val="16"/>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181" w:type="dxa"/>
            <w:noWrap w:val="0"/>
            <w:vAlign w:val="center"/>
          </w:tcPr>
          <w:p>
            <w:pPr>
              <w:pStyle w:val="16"/>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55%</w:t>
            </w:r>
          </w:p>
        </w:tc>
        <w:tc>
          <w:tcPr>
            <w:tcW w:w="2182" w:type="dxa"/>
            <w:noWrap w:val="0"/>
            <w:vAlign w:val="center"/>
          </w:tcPr>
          <w:p>
            <w:pPr>
              <w:pStyle w:val="16"/>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0%</w:t>
            </w:r>
          </w:p>
        </w:tc>
        <w:tc>
          <w:tcPr>
            <w:tcW w:w="2182" w:type="dxa"/>
            <w:noWrap w:val="0"/>
            <w:vAlign w:val="center"/>
          </w:tcPr>
          <w:p>
            <w:pPr>
              <w:pStyle w:val="16"/>
              <w:spacing w:after="0" w:afterLines="-2147483648" w:line="360" w:lineRule="auto"/>
              <w:ind w:firstLine="0" w:firstLineChars="0"/>
              <w:jc w:val="center"/>
              <w:rPr>
                <w:rFonts w:ascii="仿宋" w:hAnsi="仿宋" w:eastAsia="仿宋" w:cs="仿宋"/>
                <w:color w:val="000000"/>
                <w:sz w:val="24"/>
              </w:rPr>
            </w:pPr>
            <w:r>
              <w:rPr>
                <w:rFonts w:hint="eastAsia" w:ascii="仿宋" w:hAnsi="仿宋" w:eastAsia="仿宋" w:cs="仿宋"/>
                <w:color w:val="000000"/>
                <w:sz w:val="24"/>
              </w:rPr>
              <w:t>100%</w:t>
            </w:r>
          </w:p>
        </w:tc>
      </w:tr>
    </w:tbl>
    <w:p>
      <w:pPr>
        <w:rPr>
          <w:rFonts w:hint="eastAsia"/>
        </w:rPr>
      </w:pPr>
    </w:p>
    <w:p>
      <w:pPr>
        <w:pStyle w:val="25"/>
        <w:rPr>
          <w:rFonts w:hint="eastAsia"/>
        </w:rPr>
      </w:pPr>
    </w:p>
    <w:tbl>
      <w:tblPr>
        <w:tblStyle w:val="18"/>
        <w:tblpPr w:leftFromText="180" w:rightFromText="180" w:vertAnchor="text" w:horzAnchor="page" w:tblpXSpec="center" w:tblpY="82"/>
        <w:tblOverlap w:val="never"/>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099"/>
        <w:gridCol w:w="1140"/>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300" w:lineRule="exact"/>
              <w:jc w:val="center"/>
              <w:rPr>
                <w:rFonts w:hint="eastAsia" w:ascii="宋体" w:hAnsi="宋体" w:eastAsia="宋体" w:cs="宋体"/>
                <w:b/>
                <w:bCs/>
                <w:sz w:val="21"/>
                <w:szCs w:val="21"/>
                <w:lang w:val="en-US" w:eastAsia="zh-CN" w:bidi="ar-SA"/>
              </w:rPr>
            </w:pPr>
            <w:r>
              <w:rPr>
                <w:rFonts w:hint="eastAsia" w:ascii="宋体" w:hAnsi="宋体" w:cs="宋体"/>
                <w:b/>
                <w:bCs/>
                <w:szCs w:val="21"/>
              </w:rPr>
              <w:t>序号</w:t>
            </w:r>
          </w:p>
        </w:tc>
        <w:tc>
          <w:tcPr>
            <w:tcW w:w="1099" w:type="dxa"/>
            <w:vAlign w:val="center"/>
          </w:tcPr>
          <w:p>
            <w:pPr>
              <w:spacing w:line="300" w:lineRule="exact"/>
              <w:jc w:val="center"/>
              <w:rPr>
                <w:rFonts w:hint="eastAsia" w:ascii="宋体" w:hAnsi="宋体" w:eastAsia="宋体" w:cs="宋体"/>
                <w:sz w:val="21"/>
                <w:szCs w:val="21"/>
                <w:lang w:val="en-US" w:eastAsia="zh-CN" w:bidi="ar-SA"/>
              </w:rPr>
            </w:pPr>
            <w:r>
              <w:rPr>
                <w:rFonts w:hint="eastAsia" w:ascii="宋体" w:hAnsi="宋体" w:cs="宋体"/>
                <w:b/>
                <w:bCs/>
                <w:szCs w:val="21"/>
              </w:rPr>
              <w:t>评审项目</w:t>
            </w:r>
          </w:p>
        </w:tc>
        <w:tc>
          <w:tcPr>
            <w:tcW w:w="1140" w:type="dxa"/>
            <w:vAlign w:val="center"/>
          </w:tcPr>
          <w:p>
            <w:pPr>
              <w:spacing w:line="300" w:lineRule="exact"/>
              <w:jc w:val="center"/>
              <w:rPr>
                <w:rFonts w:hint="eastAsia" w:ascii="宋体" w:hAnsi="宋体" w:eastAsia="宋体" w:cs="宋体"/>
                <w:sz w:val="21"/>
                <w:szCs w:val="21"/>
                <w:lang w:val="en-US" w:eastAsia="zh-CN" w:bidi="ar-SA"/>
              </w:rPr>
            </w:pPr>
            <w:r>
              <w:rPr>
                <w:rFonts w:hint="eastAsia" w:ascii="宋体" w:hAnsi="宋体" w:cs="宋体"/>
                <w:b/>
                <w:bCs/>
                <w:szCs w:val="21"/>
              </w:rPr>
              <w:t>分配分数</w:t>
            </w:r>
          </w:p>
        </w:tc>
        <w:tc>
          <w:tcPr>
            <w:tcW w:w="7181" w:type="dxa"/>
            <w:vAlign w:val="center"/>
          </w:tcPr>
          <w:p>
            <w:pPr>
              <w:spacing w:line="300" w:lineRule="exact"/>
              <w:jc w:val="center"/>
              <w:rPr>
                <w:rFonts w:hint="eastAsia" w:ascii="宋体" w:hAnsi="宋体" w:eastAsia="宋体" w:cs="宋体"/>
                <w:b/>
                <w:bCs/>
                <w:sz w:val="21"/>
                <w:szCs w:val="21"/>
                <w:lang w:val="en-US" w:eastAsia="zh-CN" w:bidi="ar-SA"/>
              </w:rPr>
            </w:pPr>
            <w:r>
              <w:rPr>
                <w:rFonts w:hint="eastAsia" w:ascii="宋体" w:hAnsi="宋体" w:cs="宋体"/>
                <w:b/>
                <w:bCs/>
                <w:szCs w:val="21"/>
              </w:rPr>
              <w:t>评议内容及评分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1</w:t>
            </w:r>
          </w:p>
        </w:tc>
        <w:tc>
          <w:tcPr>
            <w:tcW w:w="1099"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用户需求响应程度</w:t>
            </w:r>
          </w:p>
        </w:tc>
        <w:tc>
          <w:tcPr>
            <w:tcW w:w="1140"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25</w:t>
            </w:r>
          </w:p>
        </w:tc>
        <w:tc>
          <w:tcPr>
            <w:tcW w:w="7181" w:type="dxa"/>
            <w:vAlign w:val="center"/>
          </w:tcPr>
          <w:p>
            <w:pPr>
              <w:spacing w:line="300" w:lineRule="exact"/>
              <w:rPr>
                <w:rFonts w:hint="eastAsia" w:ascii="Arial" w:hAnsi="Arial" w:cs="Arial"/>
              </w:rPr>
            </w:pPr>
            <w:r>
              <w:rPr>
                <w:rFonts w:hint="eastAsia" w:ascii="Arial" w:hAnsi="Arial" w:cs="Arial"/>
              </w:rPr>
              <w:t>根据“Web应用精细化安全防御服务响应表”对用户需求书中的技术条款响应程度进行评审，完全满足得25分。一项不满足（负偏离）扣2分，扣完为止。</w:t>
            </w:r>
          </w:p>
          <w:p>
            <w:pPr>
              <w:spacing w:line="300" w:lineRule="exact"/>
              <w:rPr>
                <w:rFonts w:hint="eastAsia" w:ascii="Arial" w:hAnsi="Arial" w:eastAsia="宋体" w:cs="Arial"/>
                <w:b/>
                <w:bCs/>
                <w:sz w:val="21"/>
                <w:lang w:val="en-US" w:eastAsia="zh-CN" w:bidi="ar-SA"/>
              </w:rPr>
            </w:pPr>
            <w:r>
              <w:rPr>
                <w:rFonts w:hint="eastAsia" w:ascii="Arial" w:hAnsi="Arial" w:cs="Arial"/>
                <w:b/>
                <w:bCs/>
              </w:rPr>
              <w:t>注：以“Web应用精细化安全防御服务响应表”及应招标文件要求提供的相关证明材料作为评审依据。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300" w:lineRule="exact"/>
              <w:jc w:val="center"/>
              <w:rPr>
                <w:rFonts w:hint="eastAsia" w:ascii="Arial" w:hAnsi="Arial" w:eastAsia="宋体" w:cs="Arial"/>
                <w:sz w:val="21"/>
                <w:lang w:val="en-US" w:eastAsia="zh-CN" w:bidi="ar-SA"/>
              </w:rPr>
            </w:pPr>
            <w:r>
              <w:rPr>
                <w:rFonts w:ascii="Arial" w:hAnsi="Arial" w:cs="Arial"/>
              </w:rPr>
              <w:t>2</w:t>
            </w:r>
          </w:p>
        </w:tc>
        <w:tc>
          <w:tcPr>
            <w:tcW w:w="1099"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对项目的理解</w:t>
            </w:r>
          </w:p>
        </w:tc>
        <w:tc>
          <w:tcPr>
            <w:tcW w:w="1140"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9</w:t>
            </w:r>
          </w:p>
        </w:tc>
        <w:tc>
          <w:tcPr>
            <w:tcW w:w="7181" w:type="dxa"/>
            <w:vAlign w:val="center"/>
          </w:tcPr>
          <w:p>
            <w:pPr>
              <w:spacing w:line="300" w:lineRule="exact"/>
              <w:rPr>
                <w:rFonts w:hint="eastAsia" w:ascii="Arial" w:hAnsi="Arial" w:cs="Arial"/>
              </w:rPr>
            </w:pPr>
            <w:r>
              <w:rPr>
                <w:rFonts w:hint="eastAsia" w:ascii="Arial" w:hAnsi="Arial" w:cs="Arial"/>
              </w:rPr>
              <w:t>（1）准确把握项目目标，对项目重点难点分析到位，并能对项目要求进行正确和合理的阐述，完全满足且优于用户需求，得9分；</w:t>
            </w:r>
          </w:p>
          <w:p>
            <w:pPr>
              <w:spacing w:line="300" w:lineRule="exact"/>
              <w:rPr>
                <w:rFonts w:hint="eastAsia" w:ascii="Arial" w:hAnsi="Arial" w:cs="Arial"/>
              </w:rPr>
            </w:pPr>
            <w:r>
              <w:rPr>
                <w:rFonts w:hint="eastAsia" w:ascii="Arial" w:hAnsi="Arial" w:cs="Arial"/>
              </w:rPr>
              <w:t>（2）基本把握项目目标，对项目重点难点进行分析，并能对项目要求进行基本阐述，满足用户需求得6分；</w:t>
            </w:r>
          </w:p>
          <w:p>
            <w:pPr>
              <w:spacing w:line="300" w:lineRule="exact"/>
              <w:rPr>
                <w:rFonts w:hint="eastAsia" w:ascii="Arial" w:hAnsi="Arial" w:cs="Arial"/>
              </w:rPr>
            </w:pPr>
            <w:r>
              <w:rPr>
                <w:rFonts w:hint="eastAsia" w:ascii="Arial" w:hAnsi="Arial" w:cs="Arial"/>
              </w:rPr>
              <w:t>（3）对项目理解一般，认识一般,未能对项目要求进行简单阐述，基本满足用户需求，得2分；</w:t>
            </w:r>
          </w:p>
          <w:p>
            <w:pPr>
              <w:spacing w:line="300" w:lineRule="exact"/>
              <w:rPr>
                <w:rFonts w:hint="eastAsia" w:ascii="Arial" w:hAnsi="Arial" w:eastAsia="宋体" w:cs="Arial"/>
                <w:sz w:val="21"/>
                <w:lang w:val="en-US" w:eastAsia="zh-CN" w:bidi="ar-SA"/>
              </w:rPr>
            </w:pPr>
            <w:r>
              <w:rPr>
                <w:rFonts w:hint="eastAsia" w:ascii="Arial" w:hAnsi="Arial" w:cs="Arial"/>
              </w:rPr>
              <w:t>（4）没有相关内容的，得0分。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3</w:t>
            </w:r>
          </w:p>
        </w:tc>
        <w:tc>
          <w:tcPr>
            <w:tcW w:w="1099"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项目实施方案</w:t>
            </w:r>
            <w:r>
              <w:rPr>
                <w:rFonts w:ascii="Arial" w:hAnsi="Arial" w:cs="Arial"/>
              </w:rPr>
              <w:t>匹配及适用性</w:t>
            </w:r>
          </w:p>
        </w:tc>
        <w:tc>
          <w:tcPr>
            <w:tcW w:w="1140"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15</w:t>
            </w:r>
          </w:p>
        </w:tc>
        <w:tc>
          <w:tcPr>
            <w:tcW w:w="7181" w:type="dxa"/>
            <w:vAlign w:val="center"/>
          </w:tcPr>
          <w:p>
            <w:pPr>
              <w:spacing w:line="300" w:lineRule="exact"/>
              <w:rPr>
                <w:rFonts w:hint="eastAsia" w:ascii="Arial" w:hAnsi="Arial" w:cs="Arial"/>
              </w:rPr>
            </w:pPr>
            <w:r>
              <w:rPr>
                <w:rFonts w:hint="eastAsia" w:ascii="Arial" w:hAnsi="Arial" w:cs="Arial"/>
              </w:rPr>
              <w:t>（1）项目实施方案</w:t>
            </w:r>
            <w:r>
              <w:rPr>
                <w:rFonts w:ascii="Arial" w:hAnsi="Arial" w:cs="Arial"/>
              </w:rPr>
              <w:t>非常好、匹配及适用性非常强、成熟度非常高，得</w:t>
            </w:r>
            <w:r>
              <w:rPr>
                <w:rFonts w:hint="eastAsia" w:ascii="Arial" w:hAnsi="Arial" w:cs="Arial"/>
              </w:rPr>
              <w:t>15</w:t>
            </w:r>
            <w:r>
              <w:rPr>
                <w:rFonts w:ascii="Arial" w:hAnsi="Arial" w:cs="Arial"/>
              </w:rPr>
              <w:t>分；</w:t>
            </w:r>
          </w:p>
          <w:p>
            <w:pPr>
              <w:spacing w:line="300" w:lineRule="exact"/>
              <w:rPr>
                <w:rFonts w:hint="eastAsia" w:ascii="Arial" w:hAnsi="Arial" w:cs="Arial"/>
              </w:rPr>
            </w:pPr>
            <w:r>
              <w:rPr>
                <w:rFonts w:hint="eastAsia" w:ascii="Arial" w:hAnsi="Arial" w:cs="Arial"/>
              </w:rPr>
              <w:t>（2）项目实施方案</w:t>
            </w:r>
            <w:r>
              <w:rPr>
                <w:rFonts w:ascii="Arial" w:hAnsi="Arial" w:cs="Arial"/>
              </w:rPr>
              <w:t>较好、匹配及适用性较强、成熟度较高，得</w:t>
            </w:r>
            <w:r>
              <w:rPr>
                <w:rFonts w:hint="eastAsia" w:ascii="Arial" w:hAnsi="Arial" w:cs="Arial"/>
              </w:rPr>
              <w:t>10</w:t>
            </w:r>
            <w:r>
              <w:rPr>
                <w:rFonts w:ascii="Arial" w:hAnsi="Arial" w:cs="Arial"/>
              </w:rPr>
              <w:t>分；</w:t>
            </w:r>
          </w:p>
          <w:p>
            <w:pPr>
              <w:spacing w:line="300" w:lineRule="exact"/>
              <w:rPr>
                <w:rFonts w:hint="eastAsia" w:ascii="Arial" w:hAnsi="Arial" w:cs="Arial"/>
              </w:rPr>
            </w:pPr>
            <w:r>
              <w:rPr>
                <w:rFonts w:hint="eastAsia" w:ascii="Arial" w:hAnsi="Arial" w:cs="Arial"/>
              </w:rPr>
              <w:t>（3）项目实施方案</w:t>
            </w:r>
            <w:r>
              <w:rPr>
                <w:rFonts w:ascii="Arial" w:hAnsi="Arial" w:cs="Arial"/>
              </w:rPr>
              <w:t>一般、匹配及适用性一般、成熟度一般，得</w:t>
            </w:r>
            <w:r>
              <w:rPr>
                <w:rFonts w:hint="eastAsia" w:ascii="Arial" w:hAnsi="Arial" w:cs="Arial"/>
              </w:rPr>
              <w:t>6</w:t>
            </w:r>
            <w:r>
              <w:rPr>
                <w:rFonts w:ascii="Arial" w:hAnsi="Arial" w:cs="Arial"/>
              </w:rPr>
              <w:t>分；</w:t>
            </w:r>
          </w:p>
          <w:p>
            <w:pPr>
              <w:spacing w:line="300" w:lineRule="exact"/>
              <w:rPr>
                <w:rFonts w:hint="eastAsia" w:ascii="Arial" w:hAnsi="Arial" w:eastAsia="宋体" w:cs="Arial"/>
                <w:sz w:val="21"/>
                <w:lang w:val="en-US" w:eastAsia="zh-CN" w:bidi="ar-SA"/>
              </w:rPr>
            </w:pPr>
            <w:r>
              <w:rPr>
                <w:rFonts w:hint="eastAsia" w:ascii="Arial" w:hAnsi="Arial" w:cs="Arial"/>
              </w:rPr>
              <w:t>（4）项目实施方案</w:t>
            </w:r>
            <w:r>
              <w:rPr>
                <w:rFonts w:ascii="Arial" w:hAnsi="Arial" w:cs="Arial"/>
              </w:rPr>
              <w:t>差、匹配及适用性弱、成熟度低，得0分</w:t>
            </w: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4</w:t>
            </w:r>
          </w:p>
        </w:tc>
        <w:tc>
          <w:tcPr>
            <w:tcW w:w="1099"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交付及验收情况</w:t>
            </w:r>
          </w:p>
        </w:tc>
        <w:tc>
          <w:tcPr>
            <w:tcW w:w="1140" w:type="dxa"/>
            <w:vAlign w:val="center"/>
          </w:tcPr>
          <w:p>
            <w:pPr>
              <w:tabs>
                <w:tab w:val="left" w:pos="0"/>
              </w:tabs>
              <w:spacing w:line="300" w:lineRule="exact"/>
              <w:jc w:val="center"/>
              <w:rPr>
                <w:rFonts w:hint="eastAsia" w:ascii="Arial" w:hAnsi="Arial" w:eastAsia="宋体" w:cs="Arial"/>
                <w:sz w:val="21"/>
                <w:lang w:val="en-US" w:eastAsia="zh-CN" w:bidi="ar-SA"/>
              </w:rPr>
            </w:pPr>
            <w:r>
              <w:rPr>
                <w:rFonts w:hint="eastAsia" w:ascii="Arial" w:hAnsi="Arial" w:cs="Arial"/>
              </w:rPr>
              <w:t>18</w:t>
            </w:r>
          </w:p>
        </w:tc>
        <w:tc>
          <w:tcPr>
            <w:tcW w:w="7181" w:type="dxa"/>
            <w:vAlign w:val="center"/>
          </w:tcPr>
          <w:p>
            <w:pPr>
              <w:spacing w:line="300" w:lineRule="exact"/>
              <w:rPr>
                <w:rFonts w:hint="eastAsia" w:ascii="Arial" w:hAnsi="Arial" w:cs="Arial"/>
              </w:rPr>
            </w:pPr>
            <w:r>
              <w:rPr>
                <w:rFonts w:hint="eastAsia" w:ascii="Arial" w:hAnsi="Arial" w:cs="Arial"/>
              </w:rPr>
              <w:t>供应商需对项目的交付要求、验收要求作出响应</w:t>
            </w:r>
          </w:p>
          <w:p>
            <w:pPr>
              <w:spacing w:line="300" w:lineRule="exact"/>
              <w:rPr>
                <w:rFonts w:hint="eastAsia" w:ascii="Arial" w:hAnsi="Arial" w:cs="Arial"/>
              </w:rPr>
            </w:pPr>
            <w:r>
              <w:rPr>
                <w:rFonts w:hint="eastAsia" w:ascii="Arial" w:hAnsi="Arial" w:cs="Arial"/>
              </w:rPr>
              <w:t>（1）项目交付及验收方案完整，安排合理，能清晰列明交付、验收阶段的工作内容；项目进度控制、质量保障与管理、项目实施推进计划等 满足“服务供应商维护要求”，得18分；</w:t>
            </w:r>
          </w:p>
          <w:p>
            <w:pPr>
              <w:spacing w:line="300" w:lineRule="exact"/>
              <w:rPr>
                <w:rFonts w:hint="eastAsia" w:ascii="Arial" w:hAnsi="Arial" w:cs="Arial"/>
              </w:rPr>
            </w:pPr>
            <w:r>
              <w:rPr>
                <w:rFonts w:hint="eastAsia" w:ascii="Arial" w:hAnsi="Arial" w:cs="Arial"/>
              </w:rPr>
              <w:t>（2）项目交付及验收方案较为完整，安排较为合理，能基本列明交付、验收阶段的工作内容；项目进度控制、质量保障与管理、项目实施推进计划等 满足“服务供应商维护要求”，得13分；</w:t>
            </w:r>
          </w:p>
          <w:p>
            <w:pPr>
              <w:spacing w:line="300" w:lineRule="exact"/>
              <w:rPr>
                <w:rFonts w:hint="eastAsia" w:ascii="Arial" w:hAnsi="Arial" w:cs="Arial"/>
              </w:rPr>
            </w:pPr>
            <w:r>
              <w:rPr>
                <w:rFonts w:hint="eastAsia" w:ascii="Arial" w:hAnsi="Arial" w:cs="Arial"/>
              </w:rPr>
              <w:t>（3）项目交付及验收方案一般，安排一般，对各验收阶段的工作内容有基本描述或有缺失，内容较为简单，缺乏针对性，执行性较差；难以保证项目后续的实施质量，得8分；</w:t>
            </w:r>
          </w:p>
          <w:p>
            <w:pPr>
              <w:spacing w:line="300" w:lineRule="exact"/>
              <w:rPr>
                <w:rFonts w:hint="eastAsia" w:ascii="Arial" w:hAnsi="Arial" w:eastAsia="宋体" w:cs="Arial"/>
                <w:sz w:val="21"/>
                <w:lang w:val="en-US" w:eastAsia="zh-CN" w:bidi="ar-SA"/>
              </w:rPr>
            </w:pPr>
            <w:r>
              <w:rPr>
                <w:rFonts w:hint="eastAsia" w:ascii="Arial" w:hAnsi="Arial" w:cs="Arial"/>
              </w:rPr>
              <w:t>（4）无项目交付、验收，得0分。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5</w:t>
            </w:r>
          </w:p>
        </w:tc>
        <w:tc>
          <w:tcPr>
            <w:tcW w:w="1099"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培训服务情况</w:t>
            </w:r>
          </w:p>
        </w:tc>
        <w:tc>
          <w:tcPr>
            <w:tcW w:w="1140" w:type="dxa"/>
            <w:vAlign w:val="center"/>
          </w:tcPr>
          <w:p>
            <w:pPr>
              <w:tabs>
                <w:tab w:val="left" w:pos="0"/>
              </w:tabs>
              <w:spacing w:line="300" w:lineRule="exact"/>
              <w:jc w:val="center"/>
              <w:rPr>
                <w:rFonts w:hint="eastAsia" w:ascii="Arial" w:hAnsi="Arial" w:eastAsia="宋体" w:cs="Arial"/>
                <w:sz w:val="21"/>
                <w:lang w:val="en-US" w:eastAsia="zh-CN" w:bidi="ar-SA"/>
              </w:rPr>
            </w:pPr>
            <w:r>
              <w:rPr>
                <w:rFonts w:hint="eastAsia" w:ascii="Arial" w:hAnsi="Arial" w:cs="Arial"/>
              </w:rPr>
              <w:t>1</w:t>
            </w:r>
            <w:r>
              <w:rPr>
                <w:rFonts w:ascii="Arial" w:hAnsi="Arial" w:cs="Arial"/>
              </w:rPr>
              <w:t>0</w:t>
            </w:r>
          </w:p>
        </w:tc>
        <w:tc>
          <w:tcPr>
            <w:tcW w:w="7181" w:type="dxa"/>
            <w:vAlign w:val="center"/>
          </w:tcPr>
          <w:p>
            <w:pPr>
              <w:spacing w:line="300" w:lineRule="exact"/>
              <w:rPr>
                <w:rFonts w:ascii="Arial" w:hAnsi="Arial" w:cs="Arial"/>
              </w:rPr>
            </w:pPr>
            <w:r>
              <w:rPr>
                <w:rFonts w:hint="eastAsia" w:ascii="Arial" w:hAnsi="Arial" w:cs="Arial"/>
              </w:rPr>
              <w:t>供应商需对项目交付后的培训服务需求作出响应</w:t>
            </w:r>
          </w:p>
          <w:p>
            <w:pPr>
              <w:spacing w:line="300" w:lineRule="exact"/>
              <w:rPr>
                <w:rFonts w:ascii="Arial" w:hAnsi="Arial" w:cs="Arial"/>
              </w:rPr>
            </w:pPr>
            <w:r>
              <w:rPr>
                <w:rFonts w:hint="eastAsia" w:ascii="Arial" w:hAnsi="Arial" w:cs="Arial"/>
              </w:rPr>
              <w:t>（</w:t>
            </w:r>
            <w:r>
              <w:rPr>
                <w:rFonts w:ascii="Arial" w:hAnsi="Arial" w:cs="Arial"/>
              </w:rPr>
              <w:t>1</w:t>
            </w:r>
            <w:r>
              <w:rPr>
                <w:rFonts w:hint="eastAsia" w:ascii="Arial" w:hAnsi="Arial" w:cs="Arial"/>
              </w:rPr>
              <w:t>）培训方案完整、培训时间详细、人员工作安排能结合实际、科学有序、执行性强，得1</w:t>
            </w:r>
            <w:r>
              <w:rPr>
                <w:rFonts w:ascii="Arial" w:hAnsi="Arial" w:cs="Arial"/>
              </w:rPr>
              <w:t>0</w:t>
            </w:r>
            <w:r>
              <w:rPr>
                <w:rFonts w:hint="eastAsia" w:ascii="Arial" w:hAnsi="Arial" w:cs="Arial"/>
              </w:rPr>
              <w:t>分；</w:t>
            </w:r>
          </w:p>
          <w:p>
            <w:pPr>
              <w:spacing w:line="300" w:lineRule="exact"/>
              <w:rPr>
                <w:rFonts w:ascii="Arial" w:hAnsi="Arial" w:cs="Arial"/>
              </w:rPr>
            </w:pPr>
            <w:r>
              <w:rPr>
                <w:rFonts w:hint="eastAsia" w:ascii="Arial" w:hAnsi="Arial" w:cs="Arial"/>
              </w:rPr>
              <w:t>（</w:t>
            </w:r>
            <w:r>
              <w:rPr>
                <w:rFonts w:ascii="Arial" w:hAnsi="Arial" w:cs="Arial"/>
              </w:rPr>
              <w:t>2</w:t>
            </w:r>
            <w:r>
              <w:rPr>
                <w:rFonts w:hint="eastAsia" w:ascii="Arial" w:hAnsi="Arial" w:cs="Arial"/>
              </w:rPr>
              <w:t>）培训方案较为完整有效，有培训时间安排和人员工作安排，基本能结合实际，保证项目后续培训的实施，得8分；</w:t>
            </w:r>
          </w:p>
          <w:p>
            <w:pPr>
              <w:spacing w:line="300" w:lineRule="exact"/>
              <w:rPr>
                <w:rFonts w:ascii="Arial" w:hAnsi="Arial" w:cs="Arial"/>
              </w:rPr>
            </w:pPr>
            <w:r>
              <w:rPr>
                <w:rFonts w:hint="eastAsia" w:ascii="Arial" w:hAnsi="Arial" w:cs="Arial"/>
              </w:rPr>
              <w:t>（</w:t>
            </w:r>
            <w:r>
              <w:rPr>
                <w:rFonts w:ascii="Arial" w:hAnsi="Arial" w:cs="Arial"/>
              </w:rPr>
              <w:t>3</w:t>
            </w:r>
            <w:r>
              <w:rPr>
                <w:rFonts w:hint="eastAsia" w:ascii="Arial" w:hAnsi="Arial" w:cs="Arial"/>
              </w:rPr>
              <w:t>）培训方案一般，培训安排和人员安排内容简单或有缺失，难以保证项目后续培训的实施，得3分；</w:t>
            </w:r>
          </w:p>
          <w:p>
            <w:pPr>
              <w:spacing w:line="300" w:lineRule="exact"/>
              <w:rPr>
                <w:rFonts w:hint="eastAsia" w:ascii="Arial" w:hAnsi="Arial" w:eastAsia="宋体" w:cs="Arial"/>
                <w:sz w:val="21"/>
                <w:lang w:val="en-US" w:eastAsia="zh-CN" w:bidi="ar-SA"/>
              </w:rPr>
            </w:pPr>
            <w:r>
              <w:rPr>
                <w:rFonts w:hint="eastAsia" w:ascii="Arial" w:hAnsi="Arial" w:cs="Arial"/>
              </w:rPr>
              <w:t>（4）无培训方案，得0分。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300" w:lineRule="exact"/>
              <w:jc w:val="center"/>
              <w:rPr>
                <w:rFonts w:hint="eastAsia" w:ascii="Arial" w:hAnsi="Arial" w:eastAsia="宋体" w:cs="Arial"/>
                <w:sz w:val="21"/>
                <w:lang w:val="en-US" w:eastAsia="zh-CN" w:bidi="ar-SA"/>
              </w:rPr>
            </w:pPr>
            <w:r>
              <w:rPr>
                <w:rFonts w:hint="eastAsia" w:ascii="Arial" w:hAnsi="Arial" w:cs="Arial"/>
              </w:rPr>
              <w:t>6</w:t>
            </w:r>
          </w:p>
        </w:tc>
        <w:tc>
          <w:tcPr>
            <w:tcW w:w="1099" w:type="dxa"/>
            <w:vAlign w:val="center"/>
          </w:tcPr>
          <w:p>
            <w:pPr>
              <w:tabs>
                <w:tab w:val="left" w:pos="0"/>
              </w:tabs>
              <w:snapToGrid w:val="0"/>
              <w:spacing w:line="300" w:lineRule="exact"/>
              <w:jc w:val="center"/>
              <w:rPr>
                <w:rFonts w:hint="eastAsia" w:ascii="Arial" w:hAnsi="Arial" w:eastAsia="宋体" w:cs="Arial"/>
                <w:sz w:val="21"/>
                <w:lang w:val="en-US" w:eastAsia="zh-CN" w:bidi="ar-SA"/>
              </w:rPr>
            </w:pPr>
            <w:r>
              <w:rPr>
                <w:rFonts w:hint="eastAsia" w:ascii="Arial" w:hAnsi="Arial" w:cs="Arial"/>
              </w:rPr>
              <w:t>维护服务情况</w:t>
            </w:r>
          </w:p>
        </w:tc>
        <w:tc>
          <w:tcPr>
            <w:tcW w:w="1140" w:type="dxa"/>
            <w:vAlign w:val="center"/>
          </w:tcPr>
          <w:p>
            <w:pPr>
              <w:tabs>
                <w:tab w:val="left" w:pos="0"/>
              </w:tabs>
              <w:snapToGrid w:val="0"/>
              <w:spacing w:line="300" w:lineRule="exact"/>
              <w:jc w:val="center"/>
              <w:rPr>
                <w:rFonts w:hint="eastAsia" w:ascii="Arial" w:hAnsi="Arial" w:eastAsia="宋体" w:cs="Arial"/>
                <w:sz w:val="21"/>
                <w:lang w:val="en-US" w:eastAsia="zh-CN" w:bidi="ar-SA"/>
              </w:rPr>
            </w:pPr>
            <w:r>
              <w:rPr>
                <w:rFonts w:hint="eastAsia" w:ascii="Arial" w:hAnsi="Arial" w:cs="Arial"/>
              </w:rPr>
              <w:t>13</w:t>
            </w:r>
          </w:p>
        </w:tc>
        <w:tc>
          <w:tcPr>
            <w:tcW w:w="7181" w:type="dxa"/>
            <w:vAlign w:val="center"/>
          </w:tcPr>
          <w:p>
            <w:pPr>
              <w:spacing w:line="300" w:lineRule="exact"/>
              <w:rPr>
                <w:rFonts w:hint="eastAsia" w:ascii="Arial" w:hAnsi="Arial" w:cs="Arial"/>
              </w:rPr>
            </w:pPr>
            <w:r>
              <w:rPr>
                <w:rFonts w:hint="eastAsia" w:ascii="Arial" w:hAnsi="Arial" w:cs="Arial"/>
              </w:rPr>
              <w:t>（1）售后维护服务满足“Web应用精细化安全防御服务项用户需求”中的“第六项 维护服务时间和人员要求”，服务完善，服务内容优越，针对性强，售后维护服务人员组织结构合理、技术人员资历要求全部满足、技术支持保障到位，得13分；</w:t>
            </w:r>
          </w:p>
          <w:p>
            <w:pPr>
              <w:spacing w:line="300" w:lineRule="exact"/>
              <w:rPr>
                <w:rFonts w:hint="eastAsia" w:ascii="Arial" w:hAnsi="Arial" w:cs="Arial"/>
              </w:rPr>
            </w:pPr>
            <w:r>
              <w:rPr>
                <w:rFonts w:hint="eastAsia" w:ascii="Arial" w:hAnsi="Arial" w:cs="Arial"/>
              </w:rPr>
              <w:t>（2）售后维护服务基本满足“Web应用精细化安全防御服务项目用户需求”中的“第六项 维护服务时间和人员要求”，服务体系基本完善，服务内容齐全，针对性较强，售后服务人员组织结构较合理、技术人员资历要求满足，技术支持保障较到位，得8分；</w:t>
            </w:r>
          </w:p>
          <w:p>
            <w:pPr>
              <w:spacing w:line="300" w:lineRule="exact"/>
              <w:rPr>
                <w:rFonts w:hint="eastAsia" w:ascii="Arial" w:hAnsi="Arial" w:cs="Arial"/>
              </w:rPr>
            </w:pPr>
            <w:r>
              <w:rPr>
                <w:rFonts w:hint="eastAsia" w:ascii="Arial" w:hAnsi="Arial" w:cs="Arial"/>
              </w:rPr>
              <w:t>（3）售后维护服务部分满足满足“Web应用精细化安全防御服务项目用户需求”中的“第六项 维护服务时间和人员要求”，服务体系完善程度一般，服务内容不全，针对性一般，技术人员资历要求部分满足、技术支持保障一般，得3分；</w:t>
            </w:r>
          </w:p>
          <w:p>
            <w:pPr>
              <w:spacing w:line="300" w:lineRule="exact"/>
              <w:rPr>
                <w:rFonts w:hint="eastAsia" w:ascii="Arial" w:hAnsi="Arial" w:eastAsia="宋体" w:cs="Arial"/>
                <w:sz w:val="21"/>
                <w:lang w:val="en-US" w:eastAsia="zh-CN" w:bidi="ar-SA"/>
              </w:rPr>
            </w:pPr>
            <w:r>
              <w:rPr>
                <w:rFonts w:hint="eastAsia" w:ascii="Arial" w:hAnsi="Arial" w:cs="Arial"/>
              </w:rPr>
              <w:t>（4）售后维护服务少部分满足“Web应用精细化安全防御服务项目用户需求”中的“第六项 维护服务时间和人员要求”，服务体系完善程度差，服务内容不全，针对性差，技术人员资历要求不满足、技术支持保障差，得0分。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pPr>
              <w:spacing w:line="300" w:lineRule="exact"/>
              <w:jc w:val="center"/>
              <w:rPr>
                <w:rFonts w:hint="eastAsia" w:ascii="Arial" w:hAnsi="Arial" w:eastAsia="宋体" w:cs="Arial"/>
                <w:b/>
                <w:bCs/>
                <w:sz w:val="21"/>
                <w:lang w:val="en-US" w:eastAsia="zh-CN" w:bidi="ar-SA"/>
              </w:rPr>
            </w:pPr>
            <w:r>
              <w:rPr>
                <w:rFonts w:hint="eastAsia" w:ascii="Arial" w:hAnsi="Arial" w:cs="Arial"/>
                <w:b/>
                <w:bCs/>
              </w:rPr>
              <w:t>合计</w:t>
            </w:r>
          </w:p>
        </w:tc>
        <w:tc>
          <w:tcPr>
            <w:tcW w:w="1099" w:type="dxa"/>
            <w:vAlign w:val="center"/>
          </w:tcPr>
          <w:p>
            <w:pPr>
              <w:spacing w:line="300" w:lineRule="exact"/>
              <w:jc w:val="center"/>
              <w:rPr>
                <w:rFonts w:hint="eastAsia" w:ascii="Arial" w:hAnsi="Arial" w:eastAsia="宋体" w:cs="Arial"/>
                <w:b/>
                <w:bCs/>
                <w:sz w:val="21"/>
                <w:lang w:val="en-US" w:eastAsia="zh-CN" w:bidi="ar-SA"/>
              </w:rPr>
            </w:pPr>
            <w:r>
              <w:rPr>
                <w:rFonts w:hint="eastAsia" w:ascii="Arial" w:hAnsi="Arial" w:cs="Arial"/>
                <w:b/>
                <w:bCs/>
              </w:rPr>
              <w:t>90</w:t>
            </w:r>
          </w:p>
        </w:tc>
        <w:tc>
          <w:tcPr>
            <w:tcW w:w="1140" w:type="dxa"/>
            <w:vAlign w:val="center"/>
          </w:tcPr>
          <w:p>
            <w:pPr>
              <w:spacing w:line="300" w:lineRule="exact"/>
              <w:rPr>
                <w:rFonts w:hint="eastAsia" w:ascii="Arial" w:hAnsi="Arial" w:eastAsia="宋体" w:cs="Arial"/>
                <w:b/>
                <w:bCs/>
                <w:sz w:val="21"/>
                <w:lang w:val="en-US" w:eastAsia="zh-CN" w:bidi="ar-SA"/>
              </w:rPr>
            </w:pPr>
          </w:p>
        </w:tc>
        <w:tc>
          <w:tcPr>
            <w:tcW w:w="7181" w:type="dxa"/>
          </w:tcPr>
          <w:p>
            <w:pPr>
              <w:rPr>
                <w:b/>
                <w:bCs/>
                <w:vertAlign w:val="baseline"/>
              </w:rPr>
            </w:pPr>
          </w:p>
        </w:tc>
      </w:tr>
    </w:tbl>
    <w:p>
      <w:pPr>
        <w:pStyle w:val="25"/>
        <w:rPr>
          <w:rFonts w:hint="eastAsia"/>
        </w:rPr>
      </w:pPr>
    </w:p>
    <w:p>
      <w:pPr>
        <w:pStyle w:val="25"/>
        <w:rPr>
          <w:rFonts w:hint="eastAsia"/>
        </w:rPr>
        <w:sectPr>
          <w:headerReference r:id="rId4" w:type="default"/>
          <w:footerReference r:id="rId5" w:type="default"/>
          <w:pgSz w:w="11907" w:h="16840"/>
          <w:pgMar w:top="1417" w:right="1134" w:bottom="1417" w:left="1134" w:header="567" w:footer="748" w:gutter="0"/>
          <w:cols w:space="0" w:num="1"/>
          <w:rtlGutter w:val="0"/>
          <w:docGrid w:linePitch="312" w:charSpace="0"/>
        </w:sect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numPr>
          <w:ilvl w:val="0"/>
          <w:numId w:val="3"/>
        </w:numPr>
        <w:bidi w:val="0"/>
        <w:ind w:left="0" w:leftChars="0" w:firstLine="0" w:firstLineChars="0"/>
        <w:jc w:val="center"/>
        <w:rPr>
          <w:rFonts w:hint="eastAsia"/>
          <w:lang w:val="en-US" w:eastAsia="zh-CN"/>
        </w:rPr>
      </w:pPr>
      <w:bookmarkStart w:id="6" w:name="_Toc26271"/>
      <w:r>
        <w:rPr>
          <w:rFonts w:hint="eastAsia"/>
          <w:lang w:val="en-US" w:eastAsia="zh-CN"/>
        </w:rPr>
        <w:t>报价文件格式</w:t>
      </w:r>
      <w:bookmarkEnd w:id="6"/>
    </w:p>
    <w:p>
      <w:pPr>
        <w:widowControl w:val="0"/>
        <w:numPr>
          <w:ilvl w:val="0"/>
          <w:numId w:val="0"/>
        </w:numPr>
        <w:jc w:val="both"/>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10"/>
        <w:jc w:val="both"/>
        <w:rPr>
          <w:rFonts w:hint="eastAsia" w:hAnsi="宋体"/>
          <w:b/>
          <w:color w:val="auto"/>
          <w:sz w:val="96"/>
          <w:szCs w:val="96"/>
          <w:lang w:val="en-US" w:eastAsia="zh-CN"/>
        </w:rPr>
      </w:pPr>
    </w:p>
    <w:p>
      <w:pPr>
        <w:pStyle w:val="10"/>
        <w:jc w:val="center"/>
        <w:rPr>
          <w:rFonts w:hint="eastAsia" w:hAnsi="宋体"/>
          <w:b/>
          <w:color w:val="auto"/>
          <w:sz w:val="96"/>
          <w:szCs w:val="96"/>
          <w:lang w:val="en-US" w:eastAsia="zh-CN"/>
        </w:rPr>
      </w:pPr>
    </w:p>
    <w:p>
      <w:pPr>
        <w:pStyle w:val="10"/>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10"/>
        <w:jc w:val="center"/>
        <w:rPr>
          <w:rFonts w:hAnsi="宋体"/>
          <w:b/>
          <w:color w:val="auto"/>
          <w:sz w:val="28"/>
          <w:szCs w:val="28"/>
        </w:rPr>
      </w:pPr>
    </w:p>
    <w:p>
      <w:pPr>
        <w:pStyle w:val="10"/>
        <w:jc w:val="both"/>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both"/>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3"/>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10"/>
        <w:ind w:firstLine="843" w:firstLineChars="300"/>
        <w:rPr>
          <w:rFonts w:hAnsi="宋体"/>
          <w:b/>
          <w:color w:val="auto"/>
          <w:sz w:val="28"/>
          <w:szCs w:val="28"/>
        </w:rPr>
      </w:pPr>
    </w:p>
    <w:p>
      <w:pPr>
        <w:pStyle w:val="10"/>
        <w:ind w:firstLine="843" w:firstLineChars="300"/>
        <w:rPr>
          <w:rFonts w:hAnsi="宋体"/>
          <w:b/>
          <w:color w:val="auto"/>
          <w:sz w:val="28"/>
          <w:szCs w:val="28"/>
        </w:rPr>
      </w:pPr>
    </w:p>
    <w:p>
      <w:pPr>
        <w:pStyle w:val="10"/>
        <w:ind w:firstLine="843" w:firstLineChars="300"/>
        <w:rPr>
          <w:rFonts w:hAnsi="宋体"/>
          <w:b/>
          <w:color w:val="auto"/>
          <w:sz w:val="28"/>
          <w:szCs w:val="28"/>
        </w:rPr>
      </w:pPr>
    </w:p>
    <w:p>
      <w:pPr>
        <w:pStyle w:val="10"/>
        <w:ind w:firstLine="843" w:firstLineChars="300"/>
        <w:rPr>
          <w:rFonts w:hAnsi="宋体"/>
          <w:b/>
          <w:color w:val="auto"/>
          <w:sz w:val="28"/>
          <w:szCs w:val="28"/>
        </w:rPr>
      </w:pPr>
    </w:p>
    <w:p>
      <w:pPr>
        <w:pStyle w:val="10"/>
        <w:spacing w:line="360" w:lineRule="auto"/>
        <w:jc w:val="center"/>
        <w:rPr>
          <w:rFonts w:hint="eastAsia" w:hAnsi="宋体"/>
          <w:b/>
          <w:color w:val="auto"/>
          <w:sz w:val="28"/>
          <w:szCs w:val="28"/>
        </w:rPr>
      </w:pPr>
      <w:r>
        <w:rPr>
          <w:rFonts w:hint="eastAsia" w:hAnsi="宋体"/>
          <w:b/>
          <w:color w:val="auto"/>
          <w:sz w:val="28"/>
          <w:szCs w:val="28"/>
        </w:rPr>
        <w:t>供应商名称：</w:t>
      </w:r>
    </w:p>
    <w:p>
      <w:pPr>
        <w:pStyle w:val="10"/>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10"/>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10"/>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22"/>
        <w:rPr>
          <w:rFonts w:hint="eastAsia"/>
          <w:lang w:val="en-US" w:eastAsia="zh-CN"/>
        </w:rPr>
      </w:pPr>
    </w:p>
    <w:p>
      <w:pPr>
        <w:pStyle w:val="22"/>
        <w:rPr>
          <w:rFonts w:hint="eastAsia"/>
          <w:lang w:val="en-US" w:eastAsia="zh-CN"/>
        </w:rPr>
      </w:pPr>
    </w:p>
    <w:p>
      <w:pPr>
        <w:numPr>
          <w:ilvl w:val="0"/>
          <w:numId w:val="0"/>
        </w:numPr>
        <w:bidi w:val="0"/>
        <w:ind w:leftChars="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auto"/>
          <w:sz w:val="24"/>
          <w:szCs w:val="24"/>
          <w:highlight w:val="none"/>
        </w:rPr>
        <w:br w:type="page"/>
      </w:r>
    </w:p>
    <w:p>
      <w:pPr>
        <w:pStyle w:val="8"/>
        <w:rPr>
          <w:rFonts w:hint="eastAsia" w:ascii="宋体" w:hAnsi="宋体" w:eastAsia="宋体" w:cs="宋体"/>
          <w:b/>
          <w:color w:val="000000" w:themeColor="text1"/>
          <w:sz w:val="24"/>
          <w:highlight w:val="none"/>
          <w14:textFill>
            <w14:solidFill>
              <w14:schemeClr w14:val="tx1"/>
            </w14:solidFill>
          </w14:textFill>
        </w:rPr>
      </w:pPr>
      <w:r>
        <w:rPr>
          <w:rFonts w:hint="eastAsia" w:ascii="Arial" w:hAnsi="Arial" w:cs="Arial"/>
          <w:b/>
          <w:bCs/>
        </w:rPr>
        <w:t>Web应用精细化安全防御服务响应表</w:t>
      </w:r>
    </w:p>
    <w:tbl>
      <w:tblPr>
        <w:tblStyle w:val="18"/>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2" w:leftChars="0" w:hanging="422" w:hangingChars="200"/>
              <w:jc w:val="center"/>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序号</w:t>
            </w:r>
          </w:p>
        </w:tc>
        <w:tc>
          <w:tcPr>
            <w:tcW w:w="5911" w:type="dxa"/>
            <w:vAlign w:val="center"/>
          </w:tcPr>
          <w:p>
            <w:pPr>
              <w:pStyle w:val="24"/>
              <w:keepNext w:val="0"/>
              <w:adjustRightInd/>
              <w:spacing w:before="120" w:beforeLines="50" w:after="120" w:afterLines="50" w:line="240" w:lineRule="auto"/>
              <w:textAlignment w:val="auto"/>
              <w:rPr>
                <w:rFonts w:hint="eastAsia" w:ascii="宋体" w:hAnsi="宋体" w:eastAsia="宋体" w:cs="宋体"/>
                <w:b/>
                <w:bCs/>
                <w:color w:val="auto"/>
                <w:kern w:val="0"/>
                <w:sz w:val="21"/>
                <w:szCs w:val="21"/>
                <w:highlight w:val="none"/>
                <w:lang w:val="zh-CN"/>
              </w:rPr>
            </w:pPr>
            <w:r>
              <w:rPr>
                <w:rFonts w:hint="eastAsia" w:ascii="宋体" w:hAnsi="宋体" w:cs="宋体"/>
                <w:b/>
                <w:bCs/>
                <w:snapToGrid/>
                <w:color w:val="auto"/>
                <w:spacing w:val="0"/>
                <w:sz w:val="21"/>
                <w:szCs w:val="21"/>
                <w:highlight w:val="none"/>
                <w:lang w:val="en-US" w:eastAsia="zh-CN"/>
              </w:rPr>
              <w:t>谈判</w:t>
            </w:r>
            <w:r>
              <w:rPr>
                <w:rFonts w:hint="eastAsia" w:ascii="宋体" w:hAnsi="宋体" w:eastAsia="宋体" w:cs="宋体"/>
                <w:b/>
                <w:bCs/>
                <w:snapToGrid/>
                <w:color w:val="auto"/>
                <w:spacing w:val="0"/>
                <w:sz w:val="21"/>
                <w:szCs w:val="21"/>
                <w:highlight w:val="none"/>
                <w:lang w:val="en-US" w:eastAsia="zh-CN"/>
              </w:rPr>
              <w:t>文件要求</w:t>
            </w:r>
          </w:p>
        </w:tc>
        <w:tc>
          <w:tcPr>
            <w:tcW w:w="1410" w:type="dxa"/>
            <w:vAlign w:val="center"/>
          </w:tcPr>
          <w:p>
            <w:pPr>
              <w:spacing w:before="120" w:beforeLines="50" w:after="120" w:afterLines="50"/>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Cs w:val="21"/>
                <w:highlight w:val="none"/>
              </w:rPr>
              <w:t>报价人应答</w:t>
            </w:r>
          </w:p>
        </w:tc>
        <w:tc>
          <w:tcPr>
            <w:tcW w:w="1582" w:type="dxa"/>
            <w:vAlign w:val="center"/>
          </w:tcPr>
          <w:p>
            <w:pPr>
              <w:spacing w:before="120" w:beforeLines="50" w:after="120" w:afterLines="50"/>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Cs w:val="21"/>
                <w:highlight w:val="none"/>
              </w:rPr>
              <w:t>响应或差异情况说明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3"/>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3"/>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10"/>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7"/>
        <w:tblpPr w:leftFromText="180" w:rightFromText="180" w:vertAnchor="text" w:horzAnchor="page" w:tblpXSpec="center" w:tblpY="205"/>
        <w:tblOverlap w:val="never"/>
        <w:tblW w:w="47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787"/>
        <w:gridCol w:w="1673"/>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337" w:type="dxa"/>
            <w:vAlign w:val="center"/>
          </w:tcPr>
          <w:p>
            <w:pPr>
              <w:adjustRightInd w:val="0"/>
              <w:snapToGrid w:val="0"/>
              <w:jc w:val="center"/>
              <w:rPr>
                <w:rFonts w:hint="default" w:ascii="宋体" w:hAnsi="宋体" w:eastAsia="宋体" w:cs="宋体"/>
                <w:b/>
                <w:bCs/>
                <w:color w:val="auto"/>
                <w:sz w:val="26"/>
                <w:szCs w:val="26"/>
                <w:lang w:val="en-US" w:eastAsia="zh-CN"/>
              </w:rPr>
            </w:pPr>
            <w:r>
              <w:rPr>
                <w:rFonts w:hint="eastAsia" w:ascii="宋体" w:hAnsi="宋体" w:eastAsia="宋体" w:cs="宋体"/>
                <w:b/>
                <w:color w:val="auto"/>
                <w:szCs w:val="21"/>
                <w:highlight w:val="none"/>
              </w:rPr>
              <w:t>序号</w:t>
            </w:r>
          </w:p>
        </w:tc>
        <w:tc>
          <w:tcPr>
            <w:tcW w:w="3787" w:type="dxa"/>
            <w:vAlign w:val="center"/>
          </w:tcPr>
          <w:p>
            <w:pPr>
              <w:pStyle w:val="24"/>
              <w:keepNext w:val="0"/>
              <w:spacing w:before="0" w:after="0" w:line="240" w:lineRule="auto"/>
              <w:rPr>
                <w:rFonts w:hint="eastAsia" w:ascii="宋体" w:hAnsi="宋体" w:eastAsia="宋体" w:cs="宋体"/>
                <w:b/>
                <w:bCs/>
                <w:color w:val="auto"/>
                <w:sz w:val="26"/>
                <w:szCs w:val="26"/>
              </w:rPr>
            </w:pPr>
            <w:r>
              <w:rPr>
                <w:rFonts w:hint="eastAsia" w:ascii="宋体" w:hAnsi="宋体" w:eastAsia="宋体" w:cs="宋体"/>
                <w:b/>
                <w:color w:val="auto"/>
                <w:spacing w:val="0"/>
                <w:kern w:val="2"/>
                <w:sz w:val="21"/>
                <w:szCs w:val="21"/>
                <w:highlight w:val="none"/>
              </w:rPr>
              <w:t>项目名称</w:t>
            </w:r>
          </w:p>
        </w:tc>
        <w:tc>
          <w:tcPr>
            <w:tcW w:w="1673" w:type="dxa"/>
            <w:vAlign w:val="center"/>
          </w:tcPr>
          <w:p>
            <w:pPr>
              <w:adjustRightInd w:val="0"/>
              <w:snapToGrid w:val="0"/>
              <w:jc w:val="center"/>
              <w:rPr>
                <w:rFonts w:hint="eastAsia" w:ascii="宋体" w:hAnsi="宋体" w:eastAsia="宋体" w:cs="宋体"/>
                <w:b/>
                <w:bCs/>
                <w:color w:val="auto"/>
                <w:sz w:val="26"/>
                <w:szCs w:val="26"/>
              </w:rPr>
            </w:pPr>
            <w:r>
              <w:rPr>
                <w:rFonts w:hint="eastAsia" w:ascii="宋体" w:hAnsi="宋体" w:eastAsia="宋体" w:cs="宋体"/>
                <w:b/>
                <w:color w:val="auto"/>
                <w:szCs w:val="21"/>
                <w:highlight w:val="none"/>
              </w:rPr>
              <w:t>报价</w:t>
            </w:r>
          </w:p>
        </w:tc>
        <w:tc>
          <w:tcPr>
            <w:tcW w:w="2061" w:type="dxa"/>
            <w:vAlign w:val="center"/>
          </w:tcPr>
          <w:p>
            <w:pPr>
              <w:adjustRightInd w:val="0"/>
              <w:snapToGrid w:val="0"/>
              <w:jc w:val="center"/>
              <w:rPr>
                <w:rFonts w:hint="eastAsia" w:ascii="宋体" w:hAnsi="宋体" w:eastAsia="宋体" w:cs="宋体"/>
                <w:b/>
                <w:bCs/>
                <w:color w:val="auto"/>
                <w:sz w:val="26"/>
                <w:szCs w:val="26"/>
              </w:rPr>
            </w:pPr>
            <w:r>
              <w:rPr>
                <w:rFonts w:hint="eastAsia" w:ascii="宋体" w:hAnsi="宋体" w:eastAsia="宋体" w:cs="宋体"/>
                <w:b/>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37" w:type="dxa"/>
            <w:vAlign w:val="center"/>
          </w:tcPr>
          <w:p>
            <w:pPr>
              <w:spacing w:line="560" w:lineRule="exact"/>
              <w:jc w:val="center"/>
              <w:rPr>
                <w:rFonts w:hint="eastAsia" w:ascii="宋体" w:hAnsi="宋体" w:eastAsia="宋体" w:cs="宋体"/>
                <w:b/>
                <w:color w:val="auto"/>
                <w:sz w:val="26"/>
                <w:szCs w:val="26"/>
              </w:rPr>
            </w:pPr>
          </w:p>
        </w:tc>
        <w:tc>
          <w:tcPr>
            <w:tcW w:w="3787" w:type="dxa"/>
            <w:vAlign w:val="center"/>
          </w:tcPr>
          <w:p>
            <w:pPr>
              <w:spacing w:line="560" w:lineRule="exact"/>
              <w:jc w:val="center"/>
              <w:rPr>
                <w:rFonts w:hint="eastAsia" w:ascii="宋体" w:hAnsi="宋体" w:eastAsia="宋体" w:cs="宋体"/>
                <w:color w:val="auto"/>
                <w:sz w:val="26"/>
                <w:szCs w:val="26"/>
              </w:rPr>
            </w:pPr>
          </w:p>
        </w:tc>
        <w:tc>
          <w:tcPr>
            <w:tcW w:w="1673" w:type="dxa"/>
            <w:vAlign w:val="center"/>
          </w:tcPr>
          <w:p>
            <w:pPr>
              <w:spacing w:line="560" w:lineRule="exact"/>
              <w:jc w:val="center"/>
              <w:rPr>
                <w:rFonts w:hint="eastAsia" w:ascii="宋体" w:hAnsi="宋体" w:eastAsia="宋体" w:cs="宋体"/>
                <w:color w:val="auto"/>
                <w:sz w:val="26"/>
                <w:szCs w:val="26"/>
              </w:rPr>
            </w:pPr>
          </w:p>
        </w:tc>
        <w:tc>
          <w:tcPr>
            <w:tcW w:w="2061" w:type="dxa"/>
            <w:vAlign w:val="center"/>
          </w:tcPr>
          <w:p>
            <w:pPr>
              <w:spacing w:line="560" w:lineRule="exact"/>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37" w:type="dxa"/>
            <w:vAlign w:val="center"/>
          </w:tcPr>
          <w:p>
            <w:pPr>
              <w:adjustRightInd w:val="0"/>
              <w:snapToGrid w:val="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报价总价</w:t>
            </w:r>
          </w:p>
        </w:tc>
        <w:tc>
          <w:tcPr>
            <w:tcW w:w="7521" w:type="dxa"/>
            <w:gridSpan w:val="3"/>
            <w:vAlign w:val="center"/>
          </w:tcPr>
          <w:p>
            <w:pPr>
              <w:spacing w:line="560" w:lineRule="exact"/>
              <w:jc w:val="center"/>
              <w:rPr>
                <w:rFonts w:hint="eastAsia" w:ascii="宋体" w:hAnsi="宋体" w:eastAsia="宋体" w:cs="宋体"/>
                <w:color w:val="auto"/>
                <w:sz w:val="26"/>
                <w:szCs w:val="26"/>
              </w:rPr>
            </w:pPr>
            <w:r>
              <w:rPr>
                <w:rFonts w:hint="eastAsia" w:ascii="宋体" w:hAnsi="宋体" w:eastAsia="宋体" w:cs="宋体"/>
                <w:b/>
                <w:bCs/>
                <w:color w:val="auto"/>
                <w:szCs w:val="21"/>
                <w:highlight w:val="none"/>
              </w:rPr>
              <w:t>大写：                          （小写：￥</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元）</w:t>
            </w:r>
          </w:p>
        </w:tc>
      </w:tr>
    </w:tbl>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8"/>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8"/>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lang w:val="en-US" w:eastAsia="zh-CN"/>
        </w:rPr>
        <w:t>报价时间：    年   月   日</w:t>
      </w:r>
      <w:r>
        <w:rPr>
          <w:rFonts w:hint="eastAsia" w:ascii="宋体" w:hAnsi="宋体" w:eastAsia="宋体" w:cs="宋体"/>
          <w:color w:val="FF0000"/>
          <w:sz w:val="24"/>
          <w:szCs w:val="24"/>
          <w:highlight w:val="none"/>
        </w:rPr>
        <w:br w:type="page"/>
      </w:r>
    </w:p>
    <w:p>
      <w:pPr>
        <w:pStyle w:val="10"/>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1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8"/>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tabs>
          <w:tab w:val="center" w:pos="4450"/>
          <w:tab w:val="left" w:pos="6396"/>
        </w:tabs>
        <w:jc w:val="center"/>
        <w:rPr>
          <w:rFonts w:hint="eastAsia" w:ascii="宋体" w:hAnsi="宋体" w:eastAsia="宋体" w:cs="宋体"/>
        </w:rPr>
      </w:pP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22"/>
        <w:rPr>
          <w:rFonts w:hint="eastAsia" w:ascii="宋体" w:hAnsi="宋体" w:eastAsia="宋体" w:cs="宋体"/>
          <w:b w:val="0"/>
          <w:bCs/>
          <w:color w:val="auto"/>
          <w:sz w:val="24"/>
          <w:szCs w:val="24"/>
          <w:highlight w:val="none"/>
        </w:rPr>
      </w:pPr>
    </w:p>
    <w:p>
      <w:pPr>
        <w:pStyle w:val="22"/>
        <w:rPr>
          <w:rFonts w:hint="eastAsia" w:ascii="宋体" w:hAnsi="宋体" w:eastAsia="宋体" w:cs="宋体"/>
          <w:b w:val="0"/>
          <w:bCs/>
          <w:color w:val="auto"/>
          <w:sz w:val="24"/>
          <w:szCs w:val="24"/>
          <w:highlight w:val="none"/>
        </w:rPr>
      </w:pPr>
    </w:p>
    <w:p>
      <w:pPr>
        <w:pStyle w:val="22"/>
        <w:ind w:left="0" w:leftChars="0" w:firstLine="0" w:firstLineChars="0"/>
        <w:rPr>
          <w:rFonts w:hint="eastAsia" w:ascii="宋体" w:hAnsi="宋体" w:eastAsia="宋体" w:cs="宋体"/>
          <w:b w:val="0"/>
          <w:bCs/>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0"/>
        </w:numPr>
        <w:ind w:leftChars="0"/>
        <w:rPr>
          <w:rFonts w:hint="eastAsia" w:ascii="宋体" w:hAnsi="宋体" w:eastAsia="宋体" w:cs="宋体"/>
          <w:color w:val="auto"/>
          <w:sz w:val="24"/>
          <w:szCs w:val="24"/>
          <w:highlight w:val="none"/>
        </w:rPr>
        <w:sectPr>
          <w:pgSz w:w="11907" w:h="16840"/>
          <w:pgMar w:top="1418" w:right="1418" w:bottom="1418" w:left="1418" w:header="567" w:footer="748" w:gutter="0"/>
          <w:cols w:space="720" w:num="1"/>
          <w:docGrid w:linePitch="312" w:charSpace="0"/>
        </w:sectPr>
      </w:pPr>
    </w:p>
    <w:p>
      <w:pPr>
        <w:pStyle w:val="5"/>
        <w:spacing w:before="120" w:after="12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3.拟为本项目实施服务主要人员情况表（自拟）</w:t>
      </w:r>
    </w:p>
    <w:p>
      <w:pPr>
        <w:pStyle w:val="5"/>
        <w:spacing w:before="120" w:beforeLines="0" w:after="120" w:afterLines="0"/>
        <w:rPr>
          <w:rFonts w:hint="eastAsia" w:ascii="宋体" w:hAnsi="宋体" w:eastAsia="宋体" w:cs="宋体"/>
          <w:b w:val="0"/>
          <w:bCs w:val="0"/>
          <w:color w:val="auto"/>
          <w:kern w:val="2"/>
          <w:sz w:val="24"/>
          <w:szCs w:val="24"/>
          <w:highlight w:val="none"/>
          <w:lang w:val="en-US" w:eastAsia="zh-CN" w:bidi="ar-SA"/>
        </w:rPr>
      </w:pPr>
      <w:bookmarkStart w:id="7" w:name="_Toc28958658"/>
      <w:bookmarkStart w:id="8" w:name="_Toc401823225"/>
      <w:bookmarkStart w:id="9" w:name="_Toc254949770"/>
      <w:bookmarkStart w:id="10" w:name="_Toc28061"/>
      <w:bookmarkStart w:id="11" w:name="_Toc62034106"/>
      <w:bookmarkStart w:id="12" w:name="_Toc79052261"/>
      <w:bookmarkStart w:id="13" w:name="_Toc55999941"/>
      <w:bookmarkStart w:id="14" w:name="_Toc282854490"/>
      <w:bookmarkStart w:id="15" w:name="_Toc278621010"/>
      <w:r>
        <w:rPr>
          <w:rFonts w:hint="eastAsia" w:ascii="宋体" w:hAnsi="宋体" w:eastAsia="宋体" w:cs="宋体"/>
          <w:b w:val="0"/>
          <w:bCs w:val="0"/>
          <w:color w:val="auto"/>
          <w:kern w:val="2"/>
          <w:sz w:val="24"/>
          <w:szCs w:val="24"/>
          <w:highlight w:val="none"/>
          <w:lang w:val="en-US" w:eastAsia="zh-CN" w:bidi="ar-SA"/>
        </w:rPr>
        <w:t>4.</w:t>
      </w:r>
      <w:bookmarkEnd w:id="7"/>
      <w:bookmarkEnd w:id="8"/>
      <w:bookmarkEnd w:id="9"/>
      <w:bookmarkEnd w:id="10"/>
      <w:bookmarkEnd w:id="11"/>
      <w:bookmarkEnd w:id="12"/>
      <w:bookmarkEnd w:id="13"/>
      <w:r>
        <w:rPr>
          <w:rFonts w:hint="eastAsia" w:ascii="宋体" w:hAnsi="宋体" w:eastAsia="宋体" w:cs="宋体"/>
          <w:b w:val="0"/>
          <w:bCs w:val="0"/>
          <w:color w:val="auto"/>
          <w:kern w:val="2"/>
          <w:sz w:val="24"/>
          <w:szCs w:val="24"/>
          <w:highlight w:val="none"/>
          <w:lang w:val="en-US" w:eastAsia="zh-CN" w:bidi="ar-SA"/>
        </w:rPr>
        <w:t>项目实施（服务）方案（自拟）</w:t>
      </w:r>
    </w:p>
    <w:p>
      <w:pPr>
        <w:pStyle w:val="5"/>
        <w:spacing w:before="120" w:beforeLines="0" w:after="120" w:afterLines="0"/>
        <w:rPr>
          <w:rFonts w:hint="default" w:ascii="宋体" w:hAnsi="宋体" w:eastAsia="宋体" w:cs="宋体"/>
          <w:b w:val="0"/>
          <w:bCs w:val="0"/>
          <w:color w:val="auto"/>
          <w:kern w:val="2"/>
          <w:sz w:val="24"/>
          <w:szCs w:val="24"/>
          <w:highlight w:val="none"/>
          <w:lang w:val="en-US" w:eastAsia="zh-CN" w:bidi="ar-SA"/>
        </w:rPr>
      </w:pPr>
      <w:bookmarkStart w:id="16" w:name="_Toc2377"/>
      <w:r>
        <w:rPr>
          <w:rFonts w:hint="eastAsia" w:ascii="宋体" w:hAnsi="宋体" w:eastAsia="宋体" w:cs="宋体"/>
          <w:b w:val="0"/>
          <w:bCs w:val="0"/>
          <w:color w:val="auto"/>
          <w:kern w:val="2"/>
          <w:sz w:val="24"/>
          <w:szCs w:val="24"/>
          <w:highlight w:val="none"/>
          <w:lang w:val="en-US" w:eastAsia="zh-CN" w:bidi="ar-SA"/>
        </w:rPr>
        <w:t>5.</w:t>
      </w:r>
      <w:bookmarkEnd w:id="14"/>
      <w:bookmarkEnd w:id="15"/>
      <w:bookmarkEnd w:id="16"/>
      <w:r>
        <w:rPr>
          <w:rFonts w:hint="eastAsia" w:ascii="宋体" w:hAnsi="宋体" w:eastAsia="宋体" w:cs="宋体"/>
          <w:b w:val="0"/>
          <w:bCs w:val="0"/>
          <w:color w:val="auto"/>
          <w:kern w:val="2"/>
          <w:sz w:val="24"/>
          <w:szCs w:val="24"/>
          <w:highlight w:val="none"/>
          <w:lang w:val="en-US" w:eastAsia="zh-CN" w:bidi="ar-SA"/>
        </w:rPr>
        <w:t>交付及验收方案（自拟）</w:t>
      </w:r>
    </w:p>
    <w:p>
      <w:pPr>
        <w:pStyle w:val="5"/>
        <w:spacing w:before="120" w:after="120"/>
        <w:rPr>
          <w:rFonts w:hint="default" w:ascii="宋体" w:hAnsi="宋体" w:eastAsia="宋体" w:cs="宋体"/>
          <w:b w:val="0"/>
          <w:bCs w:val="0"/>
          <w:color w:val="auto"/>
          <w:kern w:val="2"/>
          <w:sz w:val="24"/>
          <w:szCs w:val="24"/>
          <w:highlight w:val="none"/>
          <w:lang w:val="en-US" w:eastAsia="zh-CN" w:bidi="ar-SA"/>
        </w:rPr>
      </w:pPr>
      <w:bookmarkStart w:id="17" w:name="_Toc79052268"/>
      <w:bookmarkStart w:id="18" w:name="_Toc23490"/>
      <w:r>
        <w:rPr>
          <w:rFonts w:hint="eastAsia" w:ascii="宋体" w:hAnsi="宋体" w:eastAsia="宋体" w:cs="宋体"/>
          <w:b w:val="0"/>
          <w:bCs w:val="0"/>
          <w:color w:val="auto"/>
          <w:kern w:val="2"/>
          <w:sz w:val="24"/>
          <w:szCs w:val="24"/>
          <w:highlight w:val="none"/>
          <w:lang w:val="en-US" w:eastAsia="zh-CN" w:bidi="ar-SA"/>
        </w:rPr>
        <w:t>6.</w:t>
      </w:r>
      <w:bookmarkEnd w:id="17"/>
      <w:bookmarkEnd w:id="18"/>
      <w:r>
        <w:rPr>
          <w:rFonts w:hint="eastAsia" w:ascii="宋体" w:hAnsi="宋体" w:eastAsia="宋体" w:cs="宋体"/>
          <w:b w:val="0"/>
          <w:bCs w:val="0"/>
          <w:color w:val="auto"/>
          <w:kern w:val="2"/>
          <w:sz w:val="24"/>
          <w:szCs w:val="24"/>
          <w:highlight w:val="none"/>
          <w:lang w:val="en-US" w:eastAsia="zh-CN" w:bidi="ar-SA"/>
        </w:rPr>
        <w:t>承诺服务（自拟）</w:t>
      </w: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PMingLiU">
    <w:panose1 w:val="02020300000000000000"/>
    <w:charset w:val="88"/>
    <w:family w:val="roman"/>
    <w:pitch w:val="default"/>
    <w:sig w:usb0="00000003" w:usb1="082E0000" w:usb2="00000016" w:usb3="00000000" w:csb0="00100001" w:csb1="00000000"/>
  </w:font>
  <w:font w:name="华文宋体">
    <w:panose1 w:val="02010600040101010101"/>
    <w:charset w:val="86"/>
    <w:family w:val="auto"/>
    <w:pitch w:val="default"/>
    <w:sig w:usb0="00000287" w:usb1="080F0000" w:usb2="00000000" w:usb3="00000000" w:csb0="0004009F" w:csb1="DFD70000"/>
  </w:font>
  <w:font w:name="'宋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47</w:t>
    </w:r>
    <w:r>
      <w:fldChar w:fldCharType="end"/>
    </w:r>
  </w:p>
  <w:p>
    <w:pPr>
      <w:pStyle w:val="11"/>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FA944725"/>
    <w:multiLevelType w:val="singleLevel"/>
    <w:tmpl w:val="FA944725"/>
    <w:lvl w:ilvl="0" w:tentative="0">
      <w:start w:val="4"/>
      <w:numFmt w:val="decimal"/>
      <w:suff w:val="nothing"/>
      <w:lvlText w:val="%1、"/>
      <w:lvlJc w:val="left"/>
      <w:pPr>
        <w:ind w:left="480" w:firstLine="0"/>
      </w:pPr>
    </w:lvl>
  </w:abstractNum>
  <w:abstractNum w:abstractNumId="2">
    <w:nsid w:val="1DDA0179"/>
    <w:multiLevelType w:val="singleLevel"/>
    <w:tmpl w:val="1DDA0179"/>
    <w:lvl w:ilvl="0" w:tentative="0">
      <w:start w:val="6"/>
      <w:numFmt w:val="chineseCounting"/>
      <w:suff w:val="nothing"/>
      <w:lvlText w:val="%1、"/>
      <w:lvlJc w:val="left"/>
      <w:rPr>
        <w:rFonts w:hint="eastAsia"/>
      </w:rPr>
    </w:lvl>
  </w:abstractNum>
  <w:abstractNum w:abstractNumId="3">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4">
    <w:nsid w:val="6FEF5E58"/>
    <w:multiLevelType w:val="singleLevel"/>
    <w:tmpl w:val="6FEF5E58"/>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6AA18EE"/>
    <w:rsid w:val="0824491C"/>
    <w:rsid w:val="13F32450"/>
    <w:rsid w:val="174F240F"/>
    <w:rsid w:val="19BD0BCC"/>
    <w:rsid w:val="1A7850C9"/>
    <w:rsid w:val="21946261"/>
    <w:rsid w:val="26E9186E"/>
    <w:rsid w:val="2F5F117C"/>
    <w:rsid w:val="2FDE7907"/>
    <w:rsid w:val="4FF31247"/>
    <w:rsid w:val="57A12EDD"/>
    <w:rsid w:val="62951A17"/>
    <w:rsid w:val="73CD0149"/>
    <w:rsid w:val="75487EFE"/>
    <w:rsid w:val="78866507"/>
    <w:rsid w:val="79587DE9"/>
    <w:rsid w:val="79675089"/>
    <w:rsid w:val="7FA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qFormat/>
    <w:uiPriority w:val="0"/>
    <w:pPr>
      <w:keepNext/>
      <w:keepLines/>
      <w:widowControl/>
      <w:spacing w:before="260" w:after="260" w:line="413" w:lineRule="auto"/>
      <w:jc w:val="left"/>
      <w:outlineLvl w:val="1"/>
    </w:pPr>
    <w:rPr>
      <w:rFonts w:ascii="Arial" w:hAnsi="Arial" w:eastAsia="黑体"/>
      <w:b/>
      <w:bCs/>
      <w:kern w:val="0"/>
      <w:sz w:val="32"/>
      <w:szCs w:val="32"/>
    </w:rPr>
  </w:style>
  <w:style w:type="paragraph" w:styleId="7">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ind w:firstLine="420" w:firstLineChars="200"/>
    </w:pPr>
    <w:rPr>
      <w:color w:val="00000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Normal Indent"/>
    <w:basedOn w:val="1"/>
    <w:qFormat/>
    <w:uiPriority w:val="0"/>
    <w:pPr>
      <w:spacing w:line="360" w:lineRule="auto"/>
      <w:ind w:firstLine="420"/>
    </w:pPr>
    <w:rPr>
      <w:rFonts w:ascii="宋体"/>
    </w:rPr>
  </w:style>
  <w:style w:type="paragraph" w:styleId="8">
    <w:name w:val="Body Text"/>
    <w:basedOn w:val="1"/>
    <w:qFormat/>
    <w:uiPriority w:val="0"/>
    <w:pPr>
      <w:spacing w:line="360" w:lineRule="auto"/>
    </w:pPr>
    <w:rPr>
      <w:szCs w:val="20"/>
    </w:rPr>
  </w:style>
  <w:style w:type="paragraph" w:styleId="9">
    <w:name w:val="toc 5"/>
    <w:basedOn w:val="1"/>
    <w:next w:val="1"/>
    <w:qFormat/>
    <w:uiPriority w:val="0"/>
    <w:pPr>
      <w:ind w:left="840"/>
      <w:jc w:val="left"/>
    </w:pPr>
    <w:rPr>
      <w:rFonts w:ascii="Calibri" w:hAnsi="Calibri"/>
      <w:sz w:val="18"/>
      <w:szCs w:val="18"/>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4">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6">
    <w:name w:val="Body Text First Indent"/>
    <w:basedOn w:val="8"/>
    <w:next w:val="1"/>
    <w:qFormat/>
    <w:uiPriority w:val="0"/>
    <w:pPr>
      <w:spacing w:after="120" w:afterLines="0" w:line="240" w:lineRule="auto"/>
      <w:ind w:firstLine="420" w:firstLineChars="100"/>
    </w:pPr>
    <w:rPr>
      <w:szCs w:val="24"/>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rFonts w:ascii="Tahoma" w:hAnsi="Tahoma" w:eastAsia="宋体"/>
      <w:b/>
      <w:bCs/>
      <w:spacing w:val="10"/>
      <w:sz w:val="24"/>
      <w:lang w:val="en-US" w:eastAsia="zh-CN" w:bidi="ar-SA"/>
    </w:rPr>
  </w:style>
  <w:style w:type="character" w:styleId="21">
    <w:name w:val="page number"/>
    <w:basedOn w:val="19"/>
    <w:qFormat/>
    <w:uiPriority w:val="0"/>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4">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6339</Words>
  <Characters>6627</Characters>
  <Lines>0</Lines>
  <Paragraphs>0</Paragraphs>
  <TotalTime>0</TotalTime>
  <ScaleCrop>false</ScaleCrop>
  <LinksUpToDate>false</LinksUpToDate>
  <CharactersWithSpaces>6875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2023-08-25T07:19:55Z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E7BA3A01E01D4BD9B118B4C534D56E56</vt:lpwstr>
  </property>
</Properties>
</file>