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ascii="宋体" w:hAnsi="宋体" w:cs="宋体"/>
          <w:b/>
          <w:sz w:val="24"/>
        </w:rPr>
      </w:pPr>
    </w:p>
    <w:p>
      <w:pPr>
        <w:tabs>
          <w:tab w:val="left" w:pos="420"/>
          <w:tab w:val="left" w:pos="6660"/>
        </w:tabs>
        <w:spacing w:line="360" w:lineRule="auto"/>
        <w:jc w:val="center"/>
        <w:rPr>
          <w:rFonts w:ascii="宋体" w:hAnsi="宋体" w:cs="宋体"/>
          <w:b/>
          <w:sz w:val="24"/>
        </w:rPr>
      </w:pPr>
    </w:p>
    <w:p>
      <w:pPr>
        <w:pStyle w:val="61"/>
      </w:pPr>
    </w:p>
    <w:p>
      <w:pPr>
        <w:tabs>
          <w:tab w:val="left" w:pos="420"/>
          <w:tab w:val="left" w:pos="6660"/>
        </w:tabs>
        <w:spacing w:line="360" w:lineRule="auto"/>
        <w:jc w:val="center"/>
        <w:rPr>
          <w:rFonts w:ascii="宋体" w:hAnsi="宋体" w:cs="宋体"/>
          <w:b/>
          <w:sz w:val="72"/>
          <w:szCs w:val="72"/>
        </w:rPr>
      </w:pPr>
      <w:r>
        <w:rPr>
          <w:rFonts w:hint="eastAsia" w:ascii="宋体" w:hAnsi="宋体" w:cs="宋体"/>
          <w:b/>
          <w:sz w:val="72"/>
          <w:szCs w:val="72"/>
        </w:rPr>
        <w:t>谈 判 文 件</w:t>
      </w:r>
    </w:p>
    <w:p>
      <w:pPr>
        <w:widowControl/>
        <w:spacing w:line="360" w:lineRule="auto"/>
        <w:jc w:val="center"/>
        <w:rPr>
          <w:rFonts w:ascii="宋体" w:hAnsi="宋体" w:cs="宋体"/>
          <w:b/>
          <w:sz w:val="36"/>
          <w:szCs w:val="36"/>
        </w:rPr>
      </w:pPr>
    </w:p>
    <w:p>
      <w:pPr>
        <w:pStyle w:val="20"/>
        <w:rPr>
          <w:rFonts w:ascii="宋体" w:hAnsi="宋体" w:cs="宋体"/>
          <w:b/>
          <w:sz w:val="36"/>
          <w:szCs w:val="36"/>
        </w:rPr>
      </w:pPr>
    </w:p>
    <w:p>
      <w:pPr>
        <w:pStyle w:val="21"/>
        <w:rPr>
          <w:rFonts w:ascii="宋体" w:hAnsi="宋体" w:cs="宋体"/>
          <w:b/>
          <w:sz w:val="36"/>
          <w:szCs w:val="36"/>
        </w:rPr>
      </w:pPr>
    </w:p>
    <w:p>
      <w:pPr>
        <w:rPr>
          <w:rFonts w:ascii="宋体" w:hAnsi="宋体" w:cs="宋体"/>
          <w:b/>
          <w:sz w:val="36"/>
          <w:szCs w:val="36"/>
        </w:rPr>
      </w:pPr>
    </w:p>
    <w:p>
      <w:pPr>
        <w:pStyle w:val="20"/>
        <w:rPr>
          <w:rFonts w:ascii="宋体" w:hAnsi="宋体" w:cs="宋体"/>
          <w:b/>
          <w:sz w:val="36"/>
          <w:szCs w:val="36"/>
        </w:rPr>
      </w:pPr>
    </w:p>
    <w:p>
      <w:pPr>
        <w:pStyle w:val="21"/>
        <w:rPr>
          <w:rFonts w:ascii="宋体" w:hAnsi="宋体" w:cs="宋体"/>
          <w:b/>
          <w:sz w:val="36"/>
          <w:szCs w:val="36"/>
        </w:rPr>
      </w:pPr>
    </w:p>
    <w:p>
      <w:pPr>
        <w:rPr>
          <w:rFonts w:ascii="宋体" w:hAnsi="宋体" w:cs="宋体"/>
          <w:sz w:val="36"/>
          <w:szCs w:val="36"/>
        </w:rPr>
      </w:pPr>
    </w:p>
    <w:p>
      <w:pPr>
        <w:widowControl/>
        <w:spacing w:line="360" w:lineRule="auto"/>
        <w:jc w:val="center"/>
        <w:rPr>
          <w:rFonts w:ascii="宋体" w:hAnsi="宋体" w:cs="宋体"/>
          <w:b/>
          <w:sz w:val="36"/>
          <w:szCs w:val="36"/>
        </w:rPr>
      </w:pPr>
    </w:p>
    <w:p>
      <w:pPr>
        <w:shd w:val="clear" w:color="auto" w:fill="FFFFFF"/>
        <w:spacing w:line="360" w:lineRule="auto"/>
        <w:jc w:val="center"/>
        <w:textAlignment w:val="baseline"/>
        <w:rPr>
          <w:rFonts w:hint="default" w:ascii="宋体" w:hAnsi="宋体" w:cs="宋体"/>
          <w:b/>
          <w:bCs/>
          <w:sz w:val="36"/>
          <w:szCs w:val="36"/>
          <w:lang w:val="en-US" w:eastAsia="zh-CN"/>
        </w:rPr>
      </w:pPr>
      <w:r>
        <w:rPr>
          <w:rFonts w:hint="eastAsia" w:ascii="宋体" w:hAnsi="宋体" w:cs="宋体"/>
          <w:b/>
          <w:bCs/>
          <w:sz w:val="36"/>
          <w:szCs w:val="36"/>
        </w:rPr>
        <w:t>项目名称：中山市小榄人民医院</w:t>
      </w:r>
      <w:r>
        <w:rPr>
          <w:rFonts w:hint="eastAsia" w:ascii="宋体" w:hAnsi="宋体" w:cs="宋体"/>
          <w:b/>
          <w:bCs/>
          <w:sz w:val="36"/>
          <w:szCs w:val="36"/>
          <w:lang w:val="en-US" w:eastAsia="zh-CN"/>
        </w:rPr>
        <w:t>口腔科设备（一批）采购项目</w:t>
      </w:r>
    </w:p>
    <w:p>
      <w:pPr>
        <w:widowControl/>
        <w:spacing w:line="360" w:lineRule="auto"/>
        <w:jc w:val="center"/>
        <w:rPr>
          <w:rFonts w:ascii="宋体" w:hAnsi="宋体" w:cs="宋体"/>
          <w:b/>
          <w:sz w:val="36"/>
          <w:szCs w:val="36"/>
        </w:rPr>
      </w:pPr>
    </w:p>
    <w:p>
      <w:pPr>
        <w:widowControl/>
        <w:spacing w:line="360" w:lineRule="auto"/>
        <w:jc w:val="center"/>
        <w:rPr>
          <w:rFonts w:ascii="宋体" w:hAnsi="宋体" w:cs="宋体"/>
          <w:b/>
          <w:sz w:val="36"/>
          <w:szCs w:val="36"/>
        </w:rPr>
      </w:pPr>
    </w:p>
    <w:p>
      <w:pPr>
        <w:widowControl/>
        <w:spacing w:line="360" w:lineRule="auto"/>
        <w:ind w:firstLine="420"/>
        <w:rPr>
          <w:rFonts w:ascii="宋体" w:hAnsi="宋体" w:cs="宋体"/>
          <w:b/>
          <w:bCs/>
          <w:sz w:val="36"/>
          <w:szCs w:val="36"/>
          <w:u w:val="single"/>
        </w:rPr>
      </w:pPr>
    </w:p>
    <w:p>
      <w:pPr>
        <w:pStyle w:val="20"/>
        <w:rPr>
          <w:rFonts w:ascii="宋体" w:hAnsi="宋体" w:cs="宋体"/>
          <w:b/>
          <w:bCs/>
          <w:sz w:val="36"/>
          <w:szCs w:val="36"/>
          <w:u w:val="single"/>
        </w:rPr>
      </w:pPr>
    </w:p>
    <w:p>
      <w:pPr>
        <w:pStyle w:val="21"/>
        <w:rPr>
          <w:rFonts w:ascii="宋体" w:hAnsi="宋体" w:cs="宋体"/>
          <w:sz w:val="36"/>
          <w:szCs w:val="36"/>
        </w:rPr>
      </w:pPr>
    </w:p>
    <w:p>
      <w:pPr>
        <w:spacing w:line="360" w:lineRule="auto"/>
        <w:rPr>
          <w:rFonts w:ascii="宋体" w:hAnsi="宋体" w:cs="宋体"/>
          <w:b/>
          <w:bCs/>
          <w:sz w:val="36"/>
          <w:szCs w:val="36"/>
        </w:rPr>
      </w:pPr>
    </w:p>
    <w:p>
      <w:pPr>
        <w:tabs>
          <w:tab w:val="left" w:pos="0"/>
          <w:tab w:val="left" w:pos="426"/>
        </w:tabs>
        <w:wordWrap w:val="0"/>
        <w:spacing w:line="360" w:lineRule="auto"/>
        <w:ind w:firstLine="723" w:firstLineChars="200"/>
        <w:jc w:val="center"/>
        <w:rPr>
          <w:rFonts w:hint="eastAsia" w:ascii="宋体" w:hAnsi="宋体" w:cs="宋体"/>
          <w:b/>
          <w:bCs/>
          <w:sz w:val="36"/>
          <w:szCs w:val="36"/>
        </w:rPr>
      </w:pPr>
      <w:r>
        <w:rPr>
          <w:rFonts w:hint="eastAsia" w:ascii="宋体" w:hAnsi="宋体" w:cs="宋体"/>
          <w:b/>
          <w:bCs/>
          <w:sz w:val="36"/>
          <w:szCs w:val="36"/>
        </w:rPr>
        <w:t>202</w:t>
      </w:r>
      <w:r>
        <w:rPr>
          <w:rFonts w:hint="eastAsia" w:ascii="宋体" w:hAnsi="宋体" w:cs="宋体"/>
          <w:b/>
          <w:bCs/>
          <w:sz w:val="36"/>
          <w:szCs w:val="36"/>
          <w:lang w:val="en-US" w:eastAsia="zh-CN"/>
        </w:rPr>
        <w:t>3</w:t>
      </w:r>
      <w:r>
        <w:rPr>
          <w:rFonts w:hint="eastAsia" w:ascii="宋体" w:hAnsi="宋体" w:cs="宋体"/>
          <w:b/>
          <w:bCs/>
          <w:sz w:val="36"/>
          <w:szCs w:val="36"/>
        </w:rPr>
        <w:t>年</w:t>
      </w:r>
      <w:r>
        <w:rPr>
          <w:rFonts w:hint="eastAsia" w:ascii="宋体" w:hAnsi="宋体" w:cs="宋体"/>
          <w:b/>
          <w:bCs/>
          <w:sz w:val="36"/>
          <w:szCs w:val="36"/>
          <w:lang w:val="en-US" w:eastAsia="zh-CN"/>
        </w:rPr>
        <w:t>8</w:t>
      </w:r>
      <w:r>
        <w:rPr>
          <w:rFonts w:hint="eastAsia" w:ascii="宋体" w:hAnsi="宋体" w:cs="宋体"/>
          <w:b/>
          <w:bCs/>
          <w:sz w:val="36"/>
          <w:szCs w:val="36"/>
        </w:rPr>
        <w:t>月</w:t>
      </w:r>
    </w:p>
    <w:p>
      <w:pPr>
        <w:pStyle w:val="20"/>
      </w:pPr>
    </w:p>
    <w:p>
      <w:pPr>
        <w:spacing w:line="360" w:lineRule="auto"/>
        <w:rPr>
          <w:rFonts w:ascii="宋体" w:hAnsi="宋体" w:cs="宋体"/>
          <w:sz w:val="24"/>
        </w:rPr>
      </w:pPr>
    </w:p>
    <w:p>
      <w:pPr>
        <w:pStyle w:val="61"/>
        <w:ind w:left="0" w:leftChars="0" w:firstLine="0" w:firstLineChars="0"/>
      </w:pPr>
    </w:p>
    <w:sdt>
      <w:sdtPr>
        <w:rPr>
          <w:rFonts w:hint="eastAsia" w:ascii="宋体" w:hAnsi="宋体" w:eastAsia="黑体" w:cs="宋体"/>
          <w:b/>
          <w:bCs/>
          <w:spacing w:val="40"/>
          <w:kern w:val="0"/>
          <w:sz w:val="48"/>
          <w:szCs w:val="48"/>
          <w:u w:val="single"/>
        </w:rPr>
        <w:id w:val="147466740"/>
        <w:docPartObj>
          <w:docPartGallery w:val="Table of Contents"/>
          <w:docPartUnique/>
        </w:docPartObj>
      </w:sdtPr>
      <w:sdtEndPr>
        <w:rPr>
          <w:rFonts w:hint="eastAsia" w:ascii="宋体" w:hAnsi="宋体" w:eastAsia="黑体" w:cs="宋体"/>
          <w:b/>
          <w:bCs/>
          <w:spacing w:val="40"/>
          <w:kern w:val="0"/>
          <w:sz w:val="24"/>
          <w:szCs w:val="24"/>
          <w:u w:val="single"/>
        </w:rPr>
      </w:sdtEndPr>
      <w:sdtContent>
        <w:p>
          <w:pPr>
            <w:jc w:val="center"/>
            <w:rPr>
              <w:rFonts w:ascii="宋体" w:hAnsi="宋体" w:cs="宋体"/>
              <w:b/>
              <w:bCs/>
              <w:sz w:val="48"/>
              <w:szCs w:val="48"/>
            </w:rPr>
          </w:pPr>
          <w:r>
            <w:rPr>
              <w:rFonts w:hint="eastAsia" w:ascii="宋体" w:hAnsi="宋体" w:cs="宋体"/>
              <w:b/>
              <w:bCs/>
              <w:sz w:val="48"/>
              <w:szCs w:val="48"/>
            </w:rPr>
            <w:t>目录</w:t>
          </w:r>
        </w:p>
        <w:p>
          <w:pPr>
            <w:pStyle w:val="20"/>
            <w:rPr>
              <w:rFonts w:ascii="宋体" w:hAnsi="宋体" w:cs="宋体"/>
              <w:sz w:val="24"/>
              <w:szCs w:val="24"/>
            </w:rPr>
          </w:pPr>
        </w:p>
        <w:p>
          <w:pPr>
            <w:pStyle w:val="21"/>
            <w:rPr>
              <w:rFonts w:ascii="宋体" w:hAnsi="宋体" w:cs="宋体"/>
              <w:sz w:val="24"/>
              <w:szCs w:val="24"/>
            </w:rPr>
          </w:pPr>
        </w:p>
        <w:p>
          <w:pPr>
            <w:rPr>
              <w:rFonts w:ascii="宋体" w:hAnsi="宋体" w:cs="宋体"/>
              <w:sz w:val="24"/>
            </w:rPr>
          </w:pPr>
        </w:p>
        <w:p>
          <w:pPr>
            <w:pStyle w:val="20"/>
            <w:rPr>
              <w:rFonts w:ascii="宋体" w:hAnsi="宋体" w:cs="宋体"/>
              <w:sz w:val="24"/>
              <w:szCs w:val="24"/>
            </w:rPr>
          </w:pPr>
        </w:p>
        <w:p>
          <w:pPr>
            <w:pStyle w:val="21"/>
            <w:rPr>
              <w:rFonts w:ascii="宋体" w:hAnsi="宋体" w:cs="宋体"/>
              <w:sz w:val="24"/>
              <w:szCs w:val="24"/>
            </w:rPr>
          </w:pPr>
        </w:p>
        <w:p>
          <w:pPr>
            <w:rPr>
              <w:rFonts w:ascii="宋体" w:hAnsi="宋体" w:cs="宋体"/>
              <w:sz w:val="24"/>
            </w:rPr>
          </w:pPr>
        </w:p>
        <w:p>
          <w:pPr>
            <w:pStyle w:val="20"/>
            <w:rPr>
              <w:rFonts w:ascii="宋体" w:hAnsi="宋体" w:cs="宋体"/>
              <w:sz w:val="24"/>
              <w:szCs w:val="24"/>
            </w:rPr>
          </w:pPr>
        </w:p>
        <w:p>
          <w:pPr>
            <w:pStyle w:val="21"/>
            <w:rPr>
              <w:rFonts w:ascii="宋体" w:hAnsi="宋体" w:cs="宋体"/>
            </w:rPr>
          </w:pPr>
        </w:p>
        <w:p>
          <w:pPr>
            <w:pStyle w:val="33"/>
            <w:tabs>
              <w:tab w:val="right" w:leader="dot" w:pos="10546"/>
              <w:tab w:val="clear" w:pos="9540"/>
            </w:tabs>
          </w:pPr>
          <w:r>
            <w:rPr>
              <w:rFonts w:hint="eastAsia" w:cs="宋体"/>
              <w:sz w:val="24"/>
              <w:szCs w:val="24"/>
            </w:rPr>
            <w:fldChar w:fldCharType="begin"/>
          </w:r>
          <w:r>
            <w:rPr>
              <w:rFonts w:hint="eastAsia" w:cs="宋体"/>
              <w:sz w:val="24"/>
              <w:szCs w:val="24"/>
            </w:rPr>
            <w:instrText xml:space="preserve">TOC \o "1-1" \h \u </w:instrText>
          </w:r>
          <w:r>
            <w:rPr>
              <w:rFonts w:hint="eastAsia" w:cs="宋体"/>
              <w:sz w:val="24"/>
              <w:szCs w:val="24"/>
            </w:rPr>
            <w:fldChar w:fldCharType="separate"/>
          </w:r>
          <w:r>
            <w:fldChar w:fldCharType="begin"/>
          </w:r>
          <w:r>
            <w:instrText xml:space="preserve"> HYPERLINK \l "_Toc24434" </w:instrText>
          </w:r>
          <w:r>
            <w:fldChar w:fldCharType="separate"/>
          </w:r>
          <w:r>
            <w:rPr>
              <w:rFonts w:hint="eastAsia"/>
            </w:rPr>
            <w:t>第一部分  谈判邀请函</w:t>
          </w:r>
          <w:r>
            <w:tab/>
          </w:r>
          <w:r>
            <w:fldChar w:fldCharType="begin"/>
          </w:r>
          <w:r>
            <w:instrText xml:space="preserve"> PAGEREF _Toc24434 \h </w:instrText>
          </w:r>
          <w:r>
            <w:fldChar w:fldCharType="separate"/>
          </w:r>
          <w:r>
            <w:t>3</w:t>
          </w:r>
          <w:r>
            <w:fldChar w:fldCharType="end"/>
          </w:r>
          <w:r>
            <w:fldChar w:fldCharType="end"/>
          </w:r>
        </w:p>
        <w:p>
          <w:pPr>
            <w:pStyle w:val="33"/>
            <w:tabs>
              <w:tab w:val="right" w:leader="dot" w:pos="10546"/>
              <w:tab w:val="clear" w:pos="9540"/>
            </w:tabs>
          </w:pPr>
          <w:r>
            <w:fldChar w:fldCharType="begin"/>
          </w:r>
          <w:r>
            <w:instrText xml:space="preserve"> HYPERLINK \l "_Toc12623" </w:instrText>
          </w:r>
          <w:r>
            <w:fldChar w:fldCharType="separate"/>
          </w:r>
          <w:r>
            <w:rPr>
              <w:rFonts w:hint="eastAsia"/>
            </w:rPr>
            <w:t>第二部分　采购需求书</w:t>
          </w:r>
          <w:r>
            <w:tab/>
          </w:r>
          <w:r>
            <w:fldChar w:fldCharType="begin"/>
          </w:r>
          <w:r>
            <w:instrText xml:space="preserve"> PAGEREF _Toc12623 \h </w:instrText>
          </w:r>
          <w:r>
            <w:fldChar w:fldCharType="separate"/>
          </w:r>
          <w:r>
            <w:t>6</w:t>
          </w:r>
          <w:r>
            <w:fldChar w:fldCharType="end"/>
          </w:r>
          <w:r>
            <w:fldChar w:fldCharType="end"/>
          </w:r>
        </w:p>
        <w:p>
          <w:pPr>
            <w:pStyle w:val="33"/>
            <w:tabs>
              <w:tab w:val="right" w:leader="dot" w:pos="10546"/>
              <w:tab w:val="clear" w:pos="9540"/>
            </w:tabs>
          </w:pPr>
          <w:r>
            <w:fldChar w:fldCharType="begin"/>
          </w:r>
          <w:r>
            <w:instrText xml:space="preserve"> HYPERLINK \l "_Toc32635" </w:instrText>
          </w:r>
          <w:r>
            <w:fldChar w:fldCharType="separate"/>
          </w:r>
          <w:r>
            <w:rPr>
              <w:rFonts w:hint="eastAsia"/>
            </w:rPr>
            <w:t>第三部分  评分标准</w:t>
          </w:r>
          <w:r>
            <w:tab/>
          </w:r>
          <w:r>
            <w:rPr>
              <w:rFonts w:hint="eastAsia"/>
            </w:rPr>
            <w:t>11</w:t>
          </w:r>
          <w:r>
            <w:rPr>
              <w:rFonts w:hint="eastAsia"/>
            </w:rPr>
            <w:fldChar w:fldCharType="end"/>
          </w:r>
        </w:p>
        <w:p>
          <w:pPr>
            <w:pStyle w:val="33"/>
            <w:tabs>
              <w:tab w:val="right" w:leader="dot" w:pos="10546"/>
              <w:tab w:val="clear" w:pos="9540"/>
            </w:tabs>
          </w:pPr>
          <w:r>
            <w:fldChar w:fldCharType="begin"/>
          </w:r>
          <w:r>
            <w:instrText xml:space="preserve"> HYPERLINK \l "_Toc26271" </w:instrText>
          </w:r>
          <w:r>
            <w:fldChar w:fldCharType="separate"/>
          </w:r>
          <w:r>
            <w:rPr>
              <w:rFonts w:hint="eastAsia"/>
            </w:rPr>
            <w:t>第四部分　报价文件格式</w:t>
          </w:r>
          <w:r>
            <w:tab/>
          </w:r>
          <w:r>
            <w:rPr>
              <w:rFonts w:hint="eastAsia"/>
            </w:rPr>
            <w:t>17</w:t>
          </w:r>
          <w:r>
            <w:rPr>
              <w:rFonts w:hint="eastAsia"/>
            </w:rPr>
            <w:fldChar w:fldCharType="end"/>
          </w:r>
        </w:p>
        <w:p>
          <w:pPr>
            <w:pStyle w:val="37"/>
            <w:tabs>
              <w:tab w:val="left" w:pos="8163"/>
            </w:tabs>
            <w:rPr>
              <w:rFonts w:ascii="宋体" w:hAnsi="宋体" w:eastAsia="宋体" w:cs="宋体"/>
              <w:sz w:val="24"/>
              <w:szCs w:val="24"/>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szCs w:val="24"/>
            </w:rPr>
            <w:fldChar w:fldCharType="end"/>
          </w:r>
        </w:p>
      </w:sdtContent>
    </w:sdt>
    <w:p>
      <w:pPr>
        <w:pStyle w:val="2"/>
        <w:numPr>
          <w:ilvl w:val="0"/>
          <w:numId w:val="1"/>
        </w:numPr>
        <w:jc w:val="center"/>
        <w:rPr>
          <w:rFonts w:hint="eastAsia"/>
        </w:rPr>
      </w:pPr>
      <w:bookmarkStart w:id="0" w:name="_Toc26272340"/>
      <w:bookmarkStart w:id="1" w:name="_Toc24434"/>
      <w:r>
        <w:rPr>
          <w:rFonts w:hint="eastAsia"/>
        </w:rPr>
        <w:t xml:space="preserve"> </w:t>
      </w:r>
      <w:bookmarkEnd w:id="0"/>
      <w:r>
        <w:rPr>
          <w:rFonts w:hint="eastAsia"/>
        </w:rPr>
        <w:t>谈判邀请函</w:t>
      </w:r>
      <w:bookmarkEnd w:id="1"/>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lang w:val="en-US" w:eastAsia="zh-CN"/>
        </w:rPr>
      </w:pPr>
      <w:r>
        <w:rPr>
          <w:rFonts w:hint="eastAsia" w:ascii="仿宋_GB2312" w:hAnsi="仿宋_GB2312" w:eastAsia="仿宋_GB2312" w:cs="仿宋_GB2312"/>
          <w:kern w:val="2"/>
          <w:sz w:val="28"/>
          <w:szCs w:val="28"/>
          <w:lang w:val="en-US" w:eastAsia="zh-CN" w:bidi="ar-SA"/>
        </w:rPr>
        <w:t>1.项目名称：中山市小榄人民医院口腔科设备（一批）采购项目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2.采购方式：院内谈判（综合评分最优）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3.采购需求：</w:t>
      </w:r>
    </w:p>
    <w:tbl>
      <w:tblPr>
        <w:tblStyle w:val="5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77"/>
        <w:gridCol w:w="3730"/>
        <w:gridCol w:w="1087"/>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9" w:hRule="atLeast"/>
          <w:jc w:val="center"/>
        </w:trPr>
        <w:tc>
          <w:tcPr>
            <w:tcW w:w="677"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序号</w:t>
            </w:r>
          </w:p>
        </w:tc>
        <w:tc>
          <w:tcPr>
            <w:tcW w:w="3730"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项目名称</w:t>
            </w:r>
          </w:p>
        </w:tc>
        <w:tc>
          <w:tcPr>
            <w:tcW w:w="1087"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数量</w:t>
            </w:r>
          </w:p>
        </w:tc>
        <w:tc>
          <w:tcPr>
            <w:tcW w:w="2132"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简要技术或服务要求</w:t>
            </w:r>
          </w:p>
        </w:tc>
        <w:tc>
          <w:tcPr>
            <w:tcW w:w="2132"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2" w:hRule="atLeast"/>
          <w:jc w:val="center"/>
        </w:trPr>
        <w:tc>
          <w:tcPr>
            <w:tcW w:w="677"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3730"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口腔科设备</w:t>
            </w:r>
          </w:p>
        </w:tc>
        <w:tc>
          <w:tcPr>
            <w:tcW w:w="1087"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一批</w:t>
            </w:r>
          </w:p>
        </w:tc>
        <w:tc>
          <w:tcPr>
            <w:tcW w:w="2132"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详见用户需求</w:t>
            </w:r>
          </w:p>
        </w:tc>
        <w:tc>
          <w:tcPr>
            <w:tcW w:w="2132"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375500元</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lang w:val="en-US" w:eastAsia="zh-CN"/>
        </w:rPr>
      </w:pPr>
      <w:r>
        <w:rPr>
          <w:rFonts w:hint="eastAsia" w:ascii="仿宋_GB2312" w:hAnsi="仿宋_GB2312" w:eastAsia="仿宋_GB2312" w:cs="仿宋_GB2312"/>
          <w:kern w:val="2"/>
          <w:sz w:val="28"/>
          <w:szCs w:val="28"/>
          <w:lang w:val="en-US" w:eastAsia="zh-CN" w:bidi="ar-SA"/>
        </w:rPr>
        <w:t>供应商的资格要求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1.响应供应商应具备《政府采购法》第二十二条规定的条件。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2.响应供应商须是在中华人民共和国境内注册的法人或其他组织，并独立于采购人和采购代理机构。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b w:val="0"/>
          <w:bCs/>
          <w:color w:val="000000"/>
          <w:sz w:val="28"/>
          <w:szCs w:val="28"/>
          <w:lang w:eastAsia="zh-CN"/>
        </w:rPr>
        <w:t>单位负责人为同一人或者存在直接控股、关联关系的不同</w:t>
      </w:r>
      <w:r>
        <w:rPr>
          <w:rFonts w:hint="eastAsia" w:ascii="仿宋_GB2312" w:hAnsi="仿宋_GB2312" w:eastAsia="仿宋_GB2312" w:cs="仿宋_GB2312"/>
          <w:b w:val="0"/>
          <w:bCs/>
          <w:color w:val="000000"/>
          <w:sz w:val="28"/>
          <w:szCs w:val="28"/>
          <w:lang w:val="en-US" w:eastAsia="zh-CN"/>
        </w:rPr>
        <w:t>报价</w:t>
      </w:r>
      <w:r>
        <w:rPr>
          <w:rFonts w:hint="eastAsia" w:ascii="仿宋_GB2312" w:hAnsi="仿宋_GB2312" w:eastAsia="仿宋_GB2312" w:cs="仿宋_GB2312"/>
          <w:b w:val="0"/>
          <w:bCs/>
          <w:color w:val="000000"/>
          <w:sz w:val="28"/>
          <w:szCs w:val="28"/>
          <w:lang w:eastAsia="zh-CN"/>
        </w:rPr>
        <w:t>人，不得参加同一合同项下的</w:t>
      </w:r>
      <w:r>
        <w:rPr>
          <w:rFonts w:hint="eastAsia" w:ascii="仿宋_GB2312" w:hAnsi="仿宋_GB2312" w:eastAsia="仿宋_GB2312" w:cs="仿宋_GB2312"/>
          <w:b w:val="0"/>
          <w:bCs/>
          <w:color w:val="000000"/>
          <w:sz w:val="28"/>
          <w:szCs w:val="28"/>
          <w:lang w:val="en-US" w:eastAsia="zh-CN"/>
        </w:rPr>
        <w:t>采购</w:t>
      </w:r>
      <w:r>
        <w:rPr>
          <w:rFonts w:hint="eastAsia" w:ascii="仿宋_GB2312" w:hAnsi="仿宋_GB2312" w:eastAsia="仿宋_GB2312" w:cs="仿宋_GB2312"/>
          <w:b w:val="0"/>
          <w:bCs/>
          <w:color w:val="000000"/>
          <w:sz w:val="28"/>
          <w:szCs w:val="28"/>
          <w:lang w:eastAsia="zh-CN"/>
        </w:rPr>
        <w:t>活动</w:t>
      </w:r>
      <w:r>
        <w:rPr>
          <w:rFonts w:hint="eastAsia" w:ascii="仿宋_GB2312" w:hAnsi="仿宋_GB2312" w:eastAsia="仿宋_GB2312" w:cs="仿宋_GB2312"/>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b w:val="0"/>
          <w:bCs/>
          <w:color w:val="000000"/>
          <w:sz w:val="28"/>
          <w:szCs w:val="28"/>
          <w:lang w:val="en-US" w:eastAsia="zh-CN"/>
        </w:rPr>
        <w:t>响应</w:t>
      </w:r>
      <w:r>
        <w:rPr>
          <w:rFonts w:hint="eastAsia" w:ascii="仿宋_GB2312" w:hAnsi="仿宋_GB2312" w:eastAsia="仿宋_GB2312" w:cs="仿宋_GB2312"/>
          <w:b w:val="0"/>
          <w:bCs/>
          <w:color w:val="000000"/>
          <w:sz w:val="28"/>
          <w:szCs w:val="28"/>
        </w:rPr>
        <w:t>供应商应该符合《医疗器械经营质量管理规范》和《医疗器械监督管理条例》规定，并结合本项目特性提供有效的医疗器械产品注册/备案证明材料和投标供应商的经营许可/备案证明材料。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5.</w:t>
      </w:r>
      <w:r>
        <w:rPr>
          <w:rFonts w:hint="eastAsia" w:ascii="仿宋_GB2312" w:hAnsi="仿宋_GB2312" w:eastAsia="仿宋_GB2312" w:cs="仿宋_GB2312"/>
          <w:b w:val="0"/>
          <w:bCs/>
          <w:color w:val="000000"/>
          <w:sz w:val="28"/>
          <w:szCs w:val="28"/>
        </w:rPr>
        <w:t>响应供应商必须出具合法的针对本项目的授权书</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lang w:val="en-US" w:eastAsia="zh-CN"/>
        </w:rPr>
        <w:t>如有）。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6.本项目不接受联合体形式报价。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递交响应文件截止时间、递交方式</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递交响应文件截止时间：</w:t>
      </w:r>
      <w:r>
        <w:rPr>
          <w:rFonts w:hint="eastAsia" w:ascii="仿宋_GB2312" w:hAnsi="仿宋_GB2312" w:eastAsia="仿宋_GB2312" w:cs="仿宋_GB2312"/>
          <w:kern w:val="2"/>
          <w:sz w:val="28"/>
          <w:szCs w:val="28"/>
          <w:u w:val="single"/>
          <w:lang w:val="en-US" w:eastAsia="zh-CN" w:bidi="ar-SA"/>
        </w:rPr>
        <w:t>2023</w:t>
      </w:r>
      <w:r>
        <w:rPr>
          <w:rFonts w:hint="eastAsia" w:ascii="仿宋_GB2312" w:hAnsi="仿宋_GB2312" w:eastAsia="仿宋_GB2312" w:cs="仿宋_GB2312"/>
          <w:kern w:val="2"/>
          <w:sz w:val="28"/>
          <w:szCs w:val="28"/>
          <w:lang w:val="en-US" w:eastAsia="zh-CN" w:bidi="ar-SA"/>
        </w:rPr>
        <w:t>年</w:t>
      </w:r>
      <w:r>
        <w:rPr>
          <w:rFonts w:hint="eastAsia" w:ascii="仿宋_GB2312" w:hAnsi="仿宋_GB2312" w:eastAsia="仿宋_GB2312" w:cs="仿宋_GB2312"/>
          <w:kern w:val="2"/>
          <w:sz w:val="28"/>
          <w:szCs w:val="28"/>
          <w:u w:val="single"/>
          <w:lang w:val="en-US" w:eastAsia="zh-CN" w:bidi="ar-SA"/>
        </w:rPr>
        <w:t>08</w:t>
      </w:r>
      <w:r>
        <w:rPr>
          <w:rFonts w:hint="eastAsia" w:ascii="仿宋_GB2312" w:hAnsi="仿宋_GB2312" w:eastAsia="仿宋_GB2312" w:cs="仿宋_GB2312"/>
          <w:kern w:val="2"/>
          <w:sz w:val="28"/>
          <w:szCs w:val="28"/>
          <w:lang w:val="en-US" w:eastAsia="zh-CN" w:bidi="ar-SA"/>
        </w:rPr>
        <w:t xml:space="preserve"> 月</w:t>
      </w:r>
      <w:r>
        <w:rPr>
          <w:rFonts w:hint="eastAsia" w:ascii="仿宋_GB2312" w:hAnsi="仿宋_GB2312" w:eastAsia="仿宋_GB2312" w:cs="仿宋_GB2312"/>
          <w:kern w:val="2"/>
          <w:sz w:val="28"/>
          <w:szCs w:val="28"/>
          <w:u w:val="single"/>
          <w:lang w:val="en-US" w:eastAsia="zh-CN" w:bidi="ar-SA"/>
        </w:rPr>
        <w:t>30</w:t>
      </w:r>
      <w:r>
        <w:rPr>
          <w:rFonts w:hint="eastAsia" w:ascii="仿宋_GB2312" w:hAnsi="仿宋_GB2312" w:eastAsia="仿宋_GB2312" w:cs="仿宋_GB2312"/>
          <w:kern w:val="2"/>
          <w:sz w:val="28"/>
          <w:szCs w:val="28"/>
          <w:lang w:val="en-US" w:eastAsia="zh-CN" w:bidi="ar-SA"/>
        </w:rPr>
        <w:t>日17:00（北京时间）</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响应文件递交方式（</w:t>
      </w:r>
      <w:r>
        <w:rPr>
          <w:rFonts w:hint="eastAsia" w:ascii="仿宋_GB2312" w:hAnsi="仿宋_GB2312" w:eastAsia="仿宋_GB2312" w:cs="仿宋_GB2312"/>
          <w:b/>
          <w:bCs/>
          <w:kern w:val="2"/>
          <w:sz w:val="28"/>
          <w:szCs w:val="28"/>
          <w:lang w:val="en-US" w:eastAsia="zh-CN" w:bidi="ar-SA"/>
        </w:rPr>
        <w:t>方式①和方式②缺一不可</w:t>
      </w:r>
      <w:r>
        <w:rPr>
          <w:rFonts w:hint="eastAsia" w:ascii="仿宋_GB2312" w:hAnsi="仿宋_GB2312" w:eastAsia="仿宋_GB2312" w:cs="仿宋_GB2312"/>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①电子邮件：yxzb3777@126.com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②文件邮寄：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收件人：梁老师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收件电话：0760-88662120-1617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收件地址：广东省中山市小榄镇菊城大道中65号（小榄人民医院采购部）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公告期限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自本公告发布之日起五个工作日（公示时间2023年8月24日至2023年8月30</w:t>
      </w:r>
      <w:bookmarkStart w:id="6" w:name="_GoBack"/>
      <w:bookmarkEnd w:id="6"/>
      <w:r>
        <w:rPr>
          <w:rFonts w:hint="eastAsia" w:ascii="仿宋_GB2312" w:hAnsi="仿宋_GB2312" w:eastAsia="仿宋_GB2312" w:cs="仿宋_GB2312"/>
          <w:kern w:val="2"/>
          <w:sz w:val="28"/>
          <w:szCs w:val="28"/>
          <w:lang w:val="en-US" w:eastAsia="zh-CN" w:bidi="ar-SA"/>
        </w:rPr>
        <w:t>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响应文件要求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请各供应商按照以下要求提供完整的响应文件（</w:t>
      </w:r>
      <w:r>
        <w:rPr>
          <w:rFonts w:hint="eastAsia" w:ascii="仿宋_GB2312" w:hAnsi="仿宋_GB2312" w:eastAsia="仿宋_GB2312" w:cs="仿宋_GB2312"/>
          <w:b/>
          <w:bCs/>
          <w:kern w:val="2"/>
          <w:sz w:val="28"/>
          <w:szCs w:val="28"/>
          <w:lang w:val="en-US" w:eastAsia="zh-CN" w:bidi="ar-SA"/>
        </w:rPr>
        <w:t>一式4份，一正3副</w:t>
      </w:r>
      <w:r>
        <w:rPr>
          <w:rFonts w:hint="eastAsia" w:ascii="仿宋_GB2312" w:hAnsi="仿宋_GB2312" w:eastAsia="仿宋_GB2312" w:cs="仿宋_GB2312"/>
          <w:kern w:val="2"/>
          <w:sz w:val="28"/>
          <w:szCs w:val="28"/>
          <w:lang w:val="en-US" w:eastAsia="zh-CN" w:bidi="ar-SA"/>
        </w:rPr>
        <w:t>），供采购人进行预审核：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1.报价文件（详见第四部分）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以上文件均需盖公章。</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预审通过后，采购人以电子邮件方式通知供应商进入下一阶段流程。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其他补充事宜</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如纸质资料与电子资料存在不一致，以纸质盖章资料为准。</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本项目不接受联合体响应。</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递交响应文件截止前，需提供完整的响应文件供采购人预审，资料不全或不通过者，报名无效。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监督部门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联系人：曾老师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联系电话：0760-88662120-1621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地 址：中山市小榄镇菊城大道中65号内科大楼九楼纪委监察室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中山市小榄人民医院</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2023</w:t>
      </w:r>
      <w:r>
        <w:rPr>
          <w:rFonts w:hint="eastAsia" w:ascii="仿宋_GB2312" w:hAnsi="仿宋_GB2312" w:eastAsia="仿宋_GB2312" w:cs="仿宋_GB2312"/>
          <w:b w:val="0"/>
          <w:bCs/>
          <w:color w:val="000000" w:themeColor="text1"/>
          <w:sz w:val="28"/>
          <w:szCs w:val="28"/>
          <w14:textFill>
            <w14:solidFill>
              <w14:schemeClr w14:val="tx1"/>
            </w14:solidFill>
          </w14:textFill>
        </w:rPr>
        <w:t>年</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08</w:t>
      </w:r>
      <w:r>
        <w:rPr>
          <w:rFonts w:hint="eastAsia" w:ascii="仿宋_GB2312" w:hAnsi="仿宋_GB2312" w:eastAsia="仿宋_GB2312" w:cs="仿宋_GB2312"/>
          <w:b w:val="0"/>
          <w:bCs/>
          <w:color w:val="000000" w:themeColor="text1"/>
          <w:sz w:val="28"/>
          <w:szCs w:val="28"/>
          <w14:textFill>
            <w14:solidFill>
              <w14:schemeClr w14:val="tx1"/>
            </w14:solidFill>
          </w14:textFill>
        </w:rPr>
        <w:t>月</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23</w:t>
      </w:r>
      <w:r>
        <w:rPr>
          <w:rFonts w:hint="eastAsia" w:ascii="仿宋_GB2312" w:hAnsi="仿宋_GB2312" w:eastAsia="仿宋_GB2312" w:cs="仿宋_GB2312"/>
          <w:b w:val="0"/>
          <w:bCs/>
          <w:color w:val="000000" w:themeColor="text1"/>
          <w:sz w:val="28"/>
          <w:szCs w:val="28"/>
          <w14:textFill>
            <w14:solidFill>
              <w14:schemeClr w14:val="tx1"/>
            </w14:solidFill>
          </w14:textFill>
        </w:rPr>
        <w:t>日</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pStyle w:val="46"/>
        <w:shd w:val="clear" w:color="auto" w:fill="FFFFFF"/>
        <w:snapToGrid w:val="0"/>
        <w:spacing w:beforeAutospacing="0" w:afterAutospacing="0" w:line="360" w:lineRule="auto"/>
        <w:jc w:val="left"/>
        <w:textAlignment w:val="baseline"/>
        <w:rPr>
          <w:rFonts w:ascii="宋体" w:hAnsi="宋体" w:cs="宋体"/>
          <w:sz w:val="24"/>
        </w:rPr>
      </w:pPr>
      <w:r>
        <w:rPr>
          <w:rFonts w:hint="eastAsia" w:ascii="仿宋_GB2312" w:hAnsi="仿宋_GB2312" w:eastAsia="仿宋_GB2312" w:cs="仿宋_GB2312"/>
          <w:kern w:val="2"/>
          <w:sz w:val="28"/>
          <w:szCs w:val="28"/>
          <w:lang w:val="en-US" w:eastAsia="zh-CN" w:bidi="ar-SA"/>
        </w:rPr>
        <w:t>附件：谈判文件</w:t>
      </w:r>
    </w:p>
    <w:p>
      <w:pPr>
        <w:spacing w:line="360" w:lineRule="auto"/>
        <w:jc w:val="center"/>
        <w:rPr>
          <w:rFonts w:ascii="宋体" w:hAnsi="宋体" w:cs="宋体"/>
          <w:sz w:val="24"/>
        </w:rPr>
      </w:pPr>
    </w:p>
    <w:p>
      <w:pPr>
        <w:pStyle w:val="2"/>
        <w:jc w:val="center"/>
        <w:rPr>
          <w:rFonts w:hint="eastAsia"/>
        </w:rPr>
      </w:pPr>
      <w:bookmarkStart w:id="2" w:name="_Toc26272341"/>
      <w:bookmarkStart w:id="3" w:name="_Toc12623"/>
    </w:p>
    <w:p>
      <w:pPr>
        <w:pStyle w:val="2"/>
        <w:jc w:val="center"/>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9"/>
        <w:rPr>
          <w:rFonts w:hint="eastAsia"/>
        </w:rPr>
      </w:pPr>
    </w:p>
    <w:p>
      <w:pPr>
        <w:rPr>
          <w:rFonts w:hint="eastAsia"/>
        </w:rPr>
      </w:pPr>
    </w:p>
    <w:p>
      <w:pPr>
        <w:pStyle w:val="49"/>
        <w:rPr>
          <w:rFonts w:hint="eastAsia"/>
        </w:rPr>
      </w:pPr>
    </w:p>
    <w:p>
      <w:pPr>
        <w:pStyle w:val="2"/>
        <w:jc w:val="center"/>
        <w:rPr>
          <w:rFonts w:ascii="宋体" w:hAnsi="宋体" w:cs="宋体"/>
          <w:b/>
          <w:sz w:val="24"/>
          <w:lang w:val="zh-CN"/>
        </w:rPr>
      </w:pPr>
      <w:r>
        <w:rPr>
          <w:rFonts w:hint="eastAsia"/>
        </w:rPr>
        <w:t>第二部分　</w:t>
      </w:r>
      <w:bookmarkEnd w:id="2"/>
      <w:r>
        <w:rPr>
          <w:rFonts w:hint="eastAsia"/>
        </w:rPr>
        <w:t>采购需求书</w:t>
      </w:r>
      <w:bookmarkEnd w:id="3"/>
    </w:p>
    <w:p>
      <w:pPr>
        <w:numPr>
          <w:ilvl w:val="0"/>
          <w:numId w:val="5"/>
        </w:numPr>
        <w:spacing w:line="440" w:lineRule="exac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总则：</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3.本项目不接受联合体、中标供应商不得以任何方式转包本项目。</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6.本文的“质保期”是指中标标的物经约定的验收机构完成验收之日起算，截止中标人承诺的期限。</w:t>
      </w:r>
    </w:p>
    <w:p>
      <w:pPr>
        <w:numPr>
          <w:ilvl w:val="0"/>
          <w:numId w:val="5"/>
        </w:numPr>
        <w:spacing w:line="440" w:lineRule="exact"/>
        <w:rPr>
          <w:sz w:val="28"/>
          <w:szCs w:val="28"/>
          <w:highlight w:val="none"/>
        </w:rPr>
      </w:pPr>
      <w:r>
        <w:rPr>
          <w:rFonts w:hint="eastAsia" w:ascii="仿宋" w:hAnsi="仿宋" w:eastAsia="仿宋" w:cs="仿宋"/>
          <w:b/>
          <w:color w:val="000000"/>
          <w:sz w:val="28"/>
          <w:szCs w:val="28"/>
          <w:highlight w:val="none"/>
        </w:rPr>
        <w:t>基本需求</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028"/>
        <w:gridCol w:w="1654"/>
        <w:gridCol w:w="165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95" w:type="pct"/>
            <w:noWrap w:val="0"/>
            <w:vAlign w:val="top"/>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631"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设备名称</w:t>
            </w:r>
          </w:p>
        </w:tc>
        <w:tc>
          <w:tcPr>
            <w:tcW w:w="891"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数量（套）</w:t>
            </w:r>
          </w:p>
        </w:tc>
        <w:tc>
          <w:tcPr>
            <w:tcW w:w="891"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预算单价</w:t>
            </w:r>
          </w:p>
        </w:tc>
        <w:tc>
          <w:tcPr>
            <w:tcW w:w="891"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pct"/>
            <w:noWrap w:val="0"/>
            <w:vAlign w:val="center"/>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63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牙科微动力系统（带动力锯）</w:t>
            </w:r>
          </w:p>
        </w:tc>
        <w:tc>
          <w:tcPr>
            <w:tcW w:w="89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 </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83000</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pct"/>
            <w:noWrap w:val="0"/>
            <w:vAlign w:val="center"/>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63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牙科微动力系统（不带动力锯）</w:t>
            </w:r>
          </w:p>
        </w:tc>
        <w:tc>
          <w:tcPr>
            <w:tcW w:w="89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5 </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8500</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3</w:t>
            </w:r>
          </w:p>
        </w:tc>
        <w:tc>
          <w:tcPr>
            <w:tcW w:w="163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超声喷砂牙周治疗仪</w:t>
            </w:r>
          </w:p>
        </w:tc>
        <w:tc>
          <w:tcPr>
            <w:tcW w:w="89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 </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49000</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4</w:t>
            </w:r>
          </w:p>
        </w:tc>
        <w:tc>
          <w:tcPr>
            <w:tcW w:w="163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根管马达</w:t>
            </w:r>
          </w:p>
        </w:tc>
        <w:tc>
          <w:tcPr>
            <w:tcW w:w="89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4 </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9500</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5</w:t>
            </w:r>
          </w:p>
        </w:tc>
        <w:tc>
          <w:tcPr>
            <w:tcW w:w="163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热牙胶充填器</w:t>
            </w:r>
          </w:p>
        </w:tc>
        <w:tc>
          <w:tcPr>
            <w:tcW w:w="89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3 </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38000</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108" w:type="pct"/>
            <w:gridSpan w:val="4"/>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合计</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375，500.00</w:t>
            </w:r>
          </w:p>
        </w:tc>
      </w:tr>
    </w:tbl>
    <w:p>
      <w:pPr>
        <w:spacing w:line="440" w:lineRule="exact"/>
        <w:rPr>
          <w:rFonts w:ascii="仿宋" w:hAnsi="仿宋" w:eastAsia="仿宋" w:cs="仿宋"/>
          <w:b/>
          <w:color w:val="000000"/>
          <w:sz w:val="28"/>
          <w:szCs w:val="28"/>
          <w:highlight w:val="none"/>
        </w:rPr>
      </w:pPr>
    </w:p>
    <w:p>
      <w:pPr>
        <w:numPr>
          <w:ilvl w:val="0"/>
          <w:numId w:val="5"/>
        </w:numPr>
        <w:spacing w:line="360" w:lineRule="auto"/>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技术参数及配置要求：</w:t>
      </w:r>
    </w:p>
    <w:p>
      <w:pPr>
        <w:spacing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1）牙科微动力系统（带动力锯）</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双供水方式：自供水、外接生理盐水冷却（无菌冷却）。</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2、马达转速范围：100～40000转/分钟。</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3、马达参数：扭矩≥2.5N.CM，抖动≤0.02mm、噪音&lt;45dB。</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4、工作温升：&lt;8℃。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插电即用：无需外接水气管线。</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6、供应电压：BF型电气安全设计，90～260V宽电压设计，频率：50/60HZ。</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7、马达类型：直流无刷电机，含内喷水装置、高光LED灯（色温5000-5500K）。</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冷却系统：内置风冷系统。</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9、多功能脚踏：程序切换、正/反转、水开关控制、无级变速控制。</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10、操控系统：触控程序设置调节系统+故障自诊+保护系统。</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11、功能模式：微创拔牙、1：1高速、1：5高速种模式可自动切换。</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12、马达规格：重量75g以下、直径22mm以内，有内置光纤。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13、消毒方式：马达可承受135℃高温高压灭菌。</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w:t>
      </w:r>
      <w:r>
        <w:rPr>
          <w:rFonts w:hint="eastAsia" w:ascii="仿宋" w:hAnsi="仿宋" w:eastAsia="仿宋" w:cs="仿宋"/>
          <w:b/>
          <w:bCs/>
          <w:sz w:val="28"/>
          <w:szCs w:val="28"/>
          <w:highlight w:val="none"/>
        </w:rPr>
        <w:t>配置要求</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 主机 1台</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 电源线 1根</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 水箱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 支撑杆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 脚踏挂钩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 马达带管线 1根</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 手机托架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 熔断器 2个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9、 无菌输液管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10、牙科弯手机   各型号8把</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11、小推车 1台</w:t>
      </w:r>
    </w:p>
    <w:p>
      <w:pPr>
        <w:spacing w:line="360" w:lineRule="auto"/>
        <w:rPr>
          <w:rFonts w:hint="eastAsia" w:ascii="仿宋" w:hAnsi="仿宋" w:eastAsia="仿宋" w:cs="仿宋"/>
          <w:b/>
          <w:color w:val="000000"/>
          <w:sz w:val="28"/>
          <w:szCs w:val="28"/>
          <w:highlight w:val="none"/>
        </w:rPr>
      </w:pPr>
    </w:p>
    <w:p>
      <w:pPr>
        <w:spacing w:line="36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2）牙科微动力系统（不带动力锯）</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有“拔牙模式”和“修复模式”两大模式，≥6个预设程序；拔牙模式可以配合蠕动泵和外接水弯机实现灭菌生理盐水进行拔牙（含1:1，1:3，1:4.2，1:5转速比）。修复模式可连接内水道弯机进行修复操作（含16:1，1:1，1:4.2，1:5转速比）</w:t>
      </w:r>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2、增速弯机采用优质轴承，延长使用寿命。</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3、含不锈钢电磁阀，一键关水；</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≥3.5英寸LCD显示屏可触控并显示当前转速、转速比、正反转等信息。</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5、DSP处理器控制，数据处理更快。</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6、采用无刷电机驱动，电机寿命更持久。</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7、使用高亮LED灯，视野清晰。</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屏幕安装支架具有随停功能，可以随时手动调节屏幕俯仰角度；</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配置要求</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配件清单</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1、显示器1个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2、驱动模块1个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3、马达1个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4、马达消毒塞 1枚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5、马达消毒铝套1个      </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6、1:3牙科弯手机1个</w:t>
      </w:r>
    </w:p>
    <w:p>
      <w:pPr>
        <w:spacing w:line="360" w:lineRule="auto"/>
        <w:rPr>
          <w:rFonts w:hint="eastAsia" w:ascii="仿宋" w:hAnsi="仿宋" w:eastAsia="仿宋" w:cs="仿宋"/>
          <w:sz w:val="28"/>
          <w:szCs w:val="28"/>
          <w:highlight w:val="none"/>
        </w:rPr>
      </w:pPr>
    </w:p>
    <w:p>
      <w:pPr>
        <w:numPr>
          <w:ilvl w:val="0"/>
          <w:numId w:val="6"/>
        </w:numPr>
        <w:spacing w:line="36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超声喷砂牙周治疗仪</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1.具备龈上、龈下喷砂洁治，舒适洁牙，牙周治疗，根管治疗功能。</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2.根据所选用工作手柄自动切换工作模式。</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3.前面板采用触控液晶屏，功能选择、工作状态指示简洁清晰。</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4.工作尖椭圆形振动轨迹，治疗、抛光一起完成，工作尖振幅小，实现无痛治疗。</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5.</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双水路切换，可实现自动供水，也可使用外接水路供水。</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6.供水提示灯设计，更直观观察供水方式。</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7.采用钛合金工作尖，不伤牙骨质、牙釉质。</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8.自动供水模式下可以使用双氧水、次氯酸钠、洗必泰等专用药液，提高临床治疗效果。</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9.</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水路加热功能，≥300W功率加热，可实现喷砂洁治模式下，加热水路，提高洁治舒适度。</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10.</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≥四档温度调节，按需控制洁治水温。</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11.采用全自动频率跟踪系统，自动搜索最佳工作状态，机器性能更稳定。</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12.喷砂手柄采用三段式设计，装卸简单，便于清洁和维护。</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13.超声手柄和喷砂手柄可自由拔插，能在≥134℃高温和≥0.22MPa高压环境中进行灭菌处理。</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14.喷砂手柄尾线可拆卸，便于清洁疏通和维护。</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15.超声手柄尾线接口和喷砂手柄尾线接口带有防滑纹，便于操作。</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16.</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全透明漏斗形粉罐，粉罐可360°旋转，能够实时观察砂粉流动情况。</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17.龈上、龈下独立喷砂粉罐，清晰显示砂粉刻度。</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18.龈下喷嘴四孔设计，三孔出砂一孔出水，可实现360°旋转。</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19.工作过程采用微电脑全自动控制，操作方便简介，效率高。</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20.内置变压器，内部水电分离，更加安全。</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21.具备清洁模式。</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22.单功能有线脚踏和多功能无线脚踏双脚踏配置。</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23.多功能脚踏，标准模型、无水模式、清洗模式、增强模式四种脚踏功能模式。</w:t>
      </w:r>
    </w:p>
    <w:p>
      <w:pPr>
        <w:spacing w:line="360" w:lineRule="auto"/>
        <w:rPr>
          <w:rStyle w:val="390"/>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1.主机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2.电源线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3.无线脚踏开关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4.有线脚踏开关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5.超声手柄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 </w:t>
      </w:r>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6.工作尖</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7.限力扳手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8.喷砂手柄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w:t>
      </w:r>
    </w:p>
    <w:p>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喷砂手柄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9.粉罐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10.水瓶600ml     1 </w:t>
      </w:r>
    </w:p>
    <w:p>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水瓶1400ml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11.牙科喷砂粉     2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12.牙周消毒盒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13.喷砂消毒盒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14.编织管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15.通针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16.过滤器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17.橡胶套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18.根管扳手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19.LED灯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20.喷嘴          10</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 喷嘴扳手      1</w:t>
      </w:r>
    </w:p>
    <w:p>
      <w:pPr>
        <w:spacing w:line="360" w:lineRule="auto"/>
        <w:rPr>
          <w:rFonts w:hint="eastAsia" w:ascii="仿宋" w:hAnsi="仿宋" w:eastAsia="仿宋" w:cs="仿宋"/>
          <w:color w:val="000000"/>
          <w:sz w:val="28"/>
          <w:szCs w:val="28"/>
          <w:highlight w:val="none"/>
        </w:rPr>
      </w:pPr>
    </w:p>
    <w:p>
      <w:pPr>
        <w:spacing w:line="360" w:lineRule="auto"/>
        <w:rPr>
          <w:rFonts w:hint="eastAsia" w:ascii="仿宋" w:hAnsi="仿宋" w:eastAsia="仿宋" w:cs="仿宋"/>
          <w:color w:val="000000"/>
          <w:sz w:val="28"/>
          <w:szCs w:val="28"/>
          <w:highlight w:val="none"/>
        </w:rPr>
      </w:pPr>
    </w:p>
    <w:p>
      <w:pPr>
        <w:numPr>
          <w:ilvl w:val="0"/>
          <w:numId w:val="6"/>
        </w:numPr>
        <w:spacing w:line="36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根管马达</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1.手机马达：重量小于等于100g（包含电缆线重量）。</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2.减速比为16：1的弯机头</w:t>
      </w:r>
    </w:p>
    <w:p>
      <w:pPr>
        <w:spacing w:line="360" w:lineRule="auto"/>
        <w:ind w:left="142" w:right="-340" w:rightChars="-162" w:hanging="165" w:hangingChars="59"/>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color w:val="000000"/>
          <w:sz w:val="28"/>
          <w:szCs w:val="28"/>
          <w:highlight w:val="none"/>
        </w:rPr>
        <w:t xml:space="preserve"> ▲</w:t>
      </w:r>
      <w:r>
        <w:rPr>
          <w:rFonts w:hint="eastAsia" w:ascii="仿宋" w:hAnsi="仿宋" w:eastAsia="仿宋" w:cs="仿宋"/>
          <w:sz w:val="28"/>
          <w:szCs w:val="28"/>
          <w:highlight w:val="none"/>
        </w:rPr>
        <w:t>马达可以调节的程序：转速，扭矩，减速比三个数据为一组，马达可以保存9个程序或以上。</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color w:val="000000"/>
          <w:sz w:val="28"/>
          <w:szCs w:val="28"/>
          <w:highlight w:val="none"/>
        </w:rPr>
        <w:t xml:space="preserve"> ▲</w:t>
      </w:r>
      <w:r>
        <w:rPr>
          <w:rFonts w:hint="eastAsia" w:ascii="仿宋" w:hAnsi="仿宋" w:eastAsia="仿宋" w:cs="仿宋"/>
          <w:sz w:val="28"/>
          <w:szCs w:val="28"/>
          <w:highlight w:val="none"/>
        </w:rPr>
        <w:t>转速可调节范围：120 – 800 rpm</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5.扭矩可调节范围：0.6~5.2Ncm</w:t>
      </w:r>
    </w:p>
    <w:p>
      <w:pPr>
        <w:spacing w:line="360" w:lineRule="auto"/>
        <w:ind w:left="240" w:hanging="280" w:hangingChars="100"/>
        <w:rPr>
          <w:rFonts w:hint="eastAsia" w:ascii="仿宋" w:hAnsi="仿宋" w:eastAsia="仿宋" w:cs="仿宋"/>
          <w:sz w:val="28"/>
          <w:szCs w:val="28"/>
          <w:highlight w:val="none"/>
        </w:rPr>
      </w:pPr>
      <w:r>
        <w:rPr>
          <w:rFonts w:hint="eastAsia" w:ascii="仿宋" w:hAnsi="仿宋" w:eastAsia="仿宋" w:cs="仿宋"/>
          <w:sz w:val="28"/>
          <w:szCs w:val="28"/>
          <w:highlight w:val="none"/>
        </w:rPr>
        <w:t>6.马达含有自动反转功能（挫在根管内遇到的阻力大于马达的设定值时，锉自动停止逆时针转出根管，有效防止断针）。</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7.同时兼容我院现有的镍钛器械。</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8.马达机头≥6个方向调节、无论前牙后牙上颌下颌均能轻松预备。</w:t>
      </w:r>
    </w:p>
    <w:p>
      <w:pPr>
        <w:pStyle w:val="61"/>
        <w:spacing w:line="360" w:lineRule="auto"/>
        <w:ind w:firstLine="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1．控制主机 1部</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2．AC充电器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3．电动马达手机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4．弯机头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5．机头座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6．F类喷嘴（用于润滑）1个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7．马达机头连接线1条</w:t>
      </w:r>
    </w:p>
    <w:p>
      <w:pPr>
        <w:spacing w:line="360" w:lineRule="auto"/>
        <w:rPr>
          <w:rFonts w:hint="eastAsia" w:ascii="仿宋" w:hAnsi="仿宋" w:eastAsia="仿宋" w:cs="仿宋"/>
          <w:color w:val="000000"/>
          <w:sz w:val="28"/>
          <w:szCs w:val="28"/>
          <w:highlight w:val="none"/>
        </w:rPr>
      </w:pPr>
    </w:p>
    <w:p>
      <w:pPr>
        <w:spacing w:line="36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）热牙胶充填器</w:t>
      </w:r>
    </w:p>
    <w:p>
      <w:pPr>
        <w:pStyle w:val="391"/>
        <w:numPr>
          <w:ilvl w:val="0"/>
          <w:numId w:val="7"/>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加热手柄要求：</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用于根尖三分之一的充填，可以填副根管和侧枝根管；</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主机上有LED显示，显示即刻温度；</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sz w:val="28"/>
          <w:szCs w:val="28"/>
          <w:highlight w:val="none"/>
        </w:rPr>
        <w:t>▲</w:t>
      </w:r>
      <w:r>
        <w:rPr>
          <w:rFonts w:hint="eastAsia" w:ascii="仿宋" w:hAnsi="仿宋" w:eastAsia="仿宋" w:cs="仿宋"/>
          <w:bCs/>
          <w:sz w:val="28"/>
          <w:szCs w:val="28"/>
          <w:highlight w:val="none"/>
        </w:rPr>
        <w:t>操作温度：100度-230度可调；</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枪尖的温度能自主精确控制；</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加热超过4秒，自动断电。</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停止加热5秒，10秒报时。</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枪尖的温度一旦下降，加热电源智能补充热能；</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枪尖温度达到设定的温度，加热电源自动关闭到低的水平，保持预设温度；</w:t>
      </w:r>
    </w:p>
    <w:p>
      <w:pPr>
        <w:pStyle w:val="391"/>
        <w:numPr>
          <w:ilvl w:val="0"/>
          <w:numId w:val="7"/>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充填手柄要求：</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用于根管上部三分之二充填；</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数控电脑精确控制温度；</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温度精确，200度： </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温升快，≤60秒完成充填；</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均匀平衡输送热塑软化牙胶；</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充填子弹头有</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2种直径，</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3种规格。</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枪尖保持设定恒温；</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注射牙胶的速度可选；</w:t>
      </w:r>
    </w:p>
    <w:p>
      <w:pPr>
        <w:pStyle w:val="391"/>
        <w:numPr>
          <w:ilvl w:val="0"/>
          <w:numId w:val="7"/>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智能控制器（主机）要求：</w:t>
      </w:r>
    </w:p>
    <w:p>
      <w:pPr>
        <w:pStyle w:val="391"/>
        <w:numPr>
          <w:ilvl w:val="0"/>
          <w:numId w:val="10"/>
        </w:numPr>
        <w:spacing w:line="360" w:lineRule="auto"/>
        <w:jc w:val="left"/>
        <w:rPr>
          <w:rFonts w:hint="eastAsia" w:ascii="仿宋" w:hAnsi="仿宋" w:eastAsia="仿宋" w:cs="仿宋"/>
          <w:bCs/>
          <w:sz w:val="28"/>
          <w:szCs w:val="28"/>
          <w:highlight w:val="none"/>
        </w:rPr>
      </w:pP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带LCD视窗，显示各种信息和设定参数；</w:t>
      </w:r>
    </w:p>
    <w:p>
      <w:pPr>
        <w:pStyle w:val="391"/>
        <w:numPr>
          <w:ilvl w:val="0"/>
          <w:numId w:val="10"/>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人体工学触摸按键; </w:t>
      </w:r>
    </w:p>
    <w:p>
      <w:pPr>
        <w:pStyle w:val="391"/>
        <w:numPr>
          <w:ilvl w:val="0"/>
          <w:numId w:val="10"/>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台式设计，外形美观，表面光滑，易清洁；</w:t>
      </w:r>
    </w:p>
    <w:p>
      <w:pPr>
        <w:pStyle w:val="391"/>
        <w:numPr>
          <w:ilvl w:val="0"/>
          <w:numId w:val="10"/>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能连接并精确控制充填笔和枪；</w:t>
      </w:r>
    </w:p>
    <w:p>
      <w:pPr>
        <w:pStyle w:val="391"/>
        <w:numPr>
          <w:ilvl w:val="0"/>
          <w:numId w:val="10"/>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可控制左侧手柄可实现两种功能； </w:t>
      </w:r>
    </w:p>
    <w:p>
      <w:pPr>
        <w:pStyle w:val="391"/>
        <w:numPr>
          <w:ilvl w:val="0"/>
          <w:numId w:val="0"/>
        </w:numPr>
        <w:spacing w:line="360" w:lineRule="auto"/>
        <w:ind w:left="720" w:leftChars="0"/>
        <w:jc w:val="left"/>
        <w:rPr>
          <w:rFonts w:hint="eastAsia" w:ascii="仿宋" w:hAnsi="仿宋" w:eastAsia="仿宋" w:cs="仿宋"/>
          <w:bCs/>
          <w:sz w:val="28"/>
          <w:szCs w:val="28"/>
          <w:highlight w:val="none"/>
        </w:rPr>
      </w:pPr>
    </w:p>
    <w:p>
      <w:pPr>
        <w:pStyle w:val="391"/>
        <w:spacing w:line="360" w:lineRule="auto"/>
        <w:jc w:val="left"/>
        <w:rPr>
          <w:rFonts w:hint="eastAsia" w:ascii="仿宋" w:hAnsi="仿宋" w:eastAsia="宋体" w:cs="仿宋"/>
          <w:b/>
          <w:bCs/>
          <w:sz w:val="28"/>
          <w:szCs w:val="28"/>
          <w:highlight w:val="none"/>
          <w:lang w:eastAsia="zh-CN"/>
        </w:rPr>
      </w:pP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eastAsia="宋体"/>
          <w:sz w:val="28"/>
          <w:szCs w:val="28"/>
          <w:highlight w:val="none"/>
          <w:lang w:eastAsia="zh-CN"/>
        </w:rPr>
        <w:t>：</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主机：1台</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加热手柄：1支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加热手柄保护套：1支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加热手柄隔热套：2支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工作尖：1支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电源适配器线：1条</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使用说明书：1本</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充填手柄:1支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充填手柄保护套：1支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充填手柄隔热套：2只</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预弯器：1支</w:t>
      </w:r>
    </w:p>
    <w:p>
      <w:pPr>
        <w:spacing w:line="440" w:lineRule="exact"/>
        <w:rPr>
          <w:rFonts w:ascii="仿宋" w:hAnsi="仿宋" w:eastAsia="仿宋" w:cs="仿宋"/>
          <w:b/>
          <w:color w:val="000000"/>
          <w:sz w:val="28"/>
          <w:szCs w:val="28"/>
          <w:highlight w:val="none"/>
        </w:rPr>
      </w:pPr>
    </w:p>
    <w:p>
      <w:pPr>
        <w:pStyle w:val="61"/>
        <w:numPr>
          <w:ilvl w:val="0"/>
          <w:numId w:val="12"/>
        </w:numPr>
        <w:spacing w:line="440" w:lineRule="exact"/>
        <w:ind w:firstLineChars="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商务要求：</w:t>
      </w:r>
    </w:p>
    <w:p>
      <w:pPr>
        <w:spacing w:line="440" w:lineRule="exac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1.交货及安装、验收要求</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1.1交货地点：采购人指定地点。</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8"/>
          <w:szCs w:val="28"/>
          <w:highlight w:val="none"/>
          <w:u w:val="single"/>
        </w:rPr>
        <w:t xml:space="preserve">  30  </w:t>
      </w:r>
      <w:r>
        <w:rPr>
          <w:rFonts w:hint="eastAsia" w:ascii="仿宋" w:hAnsi="仿宋" w:eastAsia="仿宋" w:cs="仿宋"/>
          <w:color w:val="000000"/>
          <w:sz w:val="28"/>
          <w:szCs w:val="28"/>
          <w:highlight w:val="none"/>
        </w:rPr>
        <w:t>日内完成设备的安装调试。</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1.3合同设备交付时中标供应商应提供合同设备真实有效的生产日期，且保证合同设备的生产日期距交付时的时间差国产设备不超过3个月，进口设备不超过12个月。</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1.4中标供应商须保证中标后所提供的设备为原装、全新合格的产品。</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1.6验收方式：按《小榄镇公立医院政府采购和验收办法》。</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★1.7投标供应商须要在投标文件做出具承诺函，该承诺函包括但不限于以下内容:</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2.售后服务要求</w:t>
      </w:r>
    </w:p>
    <w:p>
      <w:pPr>
        <w:tabs>
          <w:tab w:val="left" w:pos="420"/>
        </w:tabs>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2.1中标供应商必须在中国境内有售后服务机构，并附有售后服务能力说明。</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★2.2中标供应商须提供设备原厂质保（设备原厂质量保修范围和保修期）至少为</w:t>
      </w:r>
      <w:r>
        <w:rPr>
          <w:rFonts w:hint="eastAsia" w:ascii="仿宋" w:hAnsi="仿宋" w:eastAsia="仿宋" w:cs="仿宋"/>
          <w:color w:val="000000"/>
          <w:sz w:val="28"/>
          <w:szCs w:val="28"/>
          <w:highlight w:val="none"/>
          <w:u w:val="single"/>
        </w:rPr>
        <w:t xml:space="preserve"> 1 </w:t>
      </w:r>
      <w:r>
        <w:rPr>
          <w:rFonts w:hint="eastAsia" w:ascii="仿宋" w:hAnsi="仿宋" w:eastAsia="仿宋" w:cs="仿宋"/>
          <w:color w:val="000000"/>
          <w:sz w:val="28"/>
          <w:szCs w:val="28"/>
          <w:highlight w:val="none"/>
        </w:rPr>
        <w:t>年。</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3.付款方式</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★3.1本合同的每笔款项以人民币转账方式支付，合同设备到采购人指定地点交付并完成安装，验收合格后，中标单位凭：</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（1）合同；</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（2）验收调试合格报告（加盖采购人公章）；</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（3）中标供应商开具的正式发票（加盖发票专用章）。</w:t>
      </w:r>
    </w:p>
    <w:p>
      <w:pPr>
        <w:rPr>
          <w:rFonts w:ascii="宋体" w:hAnsi="宋体" w:cs="宋体"/>
          <w:sz w:val="28"/>
          <w:szCs w:val="28"/>
        </w:rPr>
      </w:pPr>
      <w:r>
        <w:rPr>
          <w:rFonts w:hint="eastAsia" w:ascii="仿宋" w:hAnsi="仿宋" w:eastAsia="仿宋" w:cs="仿宋"/>
          <w:color w:val="000000"/>
          <w:sz w:val="28"/>
          <w:szCs w:val="28"/>
          <w:highlight w:val="none"/>
        </w:rPr>
        <w:t>★3.2</w:t>
      </w:r>
      <w:r>
        <w:rPr>
          <w:rFonts w:hint="eastAsia" w:ascii="仿宋" w:hAnsi="仿宋" w:eastAsia="仿宋" w:cs="仿宋"/>
          <w:sz w:val="28"/>
          <w:szCs w:val="28"/>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8"/>
          <w:szCs w:val="28"/>
          <w:highlight w:val="none"/>
          <w:u w:val="single"/>
          <w:lang w:val="en-US" w:eastAsia="zh-CN"/>
        </w:rPr>
        <w:t>质保期满</w:t>
      </w:r>
      <w:r>
        <w:rPr>
          <w:rFonts w:hint="eastAsia" w:ascii="仿宋" w:hAnsi="仿宋" w:eastAsia="仿宋" w:cs="仿宋"/>
          <w:sz w:val="28"/>
          <w:szCs w:val="28"/>
          <w:highlight w:val="none"/>
        </w:rPr>
        <w:t>后</w:t>
      </w:r>
      <w:r>
        <w:rPr>
          <w:rFonts w:hint="eastAsia"/>
          <w:sz w:val="28"/>
          <w:szCs w:val="28"/>
          <w:highlight w:val="none"/>
          <w:lang w:val="en-US" w:eastAsia="zh-CN"/>
        </w:rPr>
        <w:t>一次性</w:t>
      </w:r>
      <w:r>
        <w:rPr>
          <w:rFonts w:hint="eastAsia" w:ascii="仿宋" w:hAnsi="仿宋" w:eastAsia="仿宋" w:cs="仿宋"/>
          <w:sz w:val="28"/>
          <w:szCs w:val="28"/>
          <w:highlight w:val="none"/>
        </w:rPr>
        <w:t>无息支付。</w:t>
      </w:r>
    </w:p>
    <w:p>
      <w:pPr>
        <w:pStyle w:val="49"/>
        <w:rPr>
          <w:rFonts w:ascii="宋体" w:hAnsi="宋体" w:cs="宋体"/>
          <w:sz w:val="28"/>
          <w:szCs w:val="28"/>
        </w:rPr>
      </w:pPr>
    </w:p>
    <w:p>
      <w:pPr>
        <w:rPr>
          <w:sz w:val="28"/>
          <w:szCs w:val="28"/>
        </w:rPr>
      </w:pPr>
    </w:p>
    <w:p>
      <w:pPr>
        <w:rPr>
          <w:sz w:val="28"/>
          <w:szCs w:val="28"/>
        </w:rPr>
      </w:pPr>
    </w:p>
    <w:p>
      <w:pPr>
        <w:pStyle w:val="61"/>
        <w:rPr>
          <w:sz w:val="28"/>
          <w:szCs w:val="28"/>
        </w:rPr>
      </w:pPr>
    </w:p>
    <w:p>
      <w:pPr>
        <w:pStyle w:val="61"/>
        <w:rPr>
          <w:sz w:val="28"/>
          <w:szCs w:val="28"/>
        </w:rPr>
      </w:pPr>
    </w:p>
    <w:p>
      <w:pPr>
        <w:pStyle w:val="61"/>
        <w:rPr>
          <w:sz w:val="28"/>
          <w:szCs w:val="28"/>
        </w:rPr>
      </w:pPr>
    </w:p>
    <w:p>
      <w:pPr>
        <w:pStyle w:val="61"/>
        <w:ind w:left="0" w:leftChars="0" w:firstLine="0" w:firstLineChars="0"/>
      </w:pPr>
    </w:p>
    <w:p>
      <w:pPr>
        <w:pStyle w:val="2"/>
        <w:numPr>
          <w:ilvl w:val="0"/>
          <w:numId w:val="13"/>
        </w:numPr>
        <w:jc w:val="center"/>
      </w:pPr>
      <w:bookmarkStart w:id="4" w:name="_Toc32635"/>
      <w:r>
        <w:rPr>
          <w:rFonts w:hint="eastAsia"/>
        </w:rPr>
        <w:t>评分标准</w:t>
      </w:r>
      <w:bookmarkEnd w:id="4"/>
    </w:p>
    <w:p>
      <w:pPr>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一、</w:t>
      </w:r>
      <w:r>
        <w:rPr>
          <w:rFonts w:hint="eastAsia" w:ascii="仿宋" w:hAnsi="仿宋" w:eastAsia="仿宋" w:cs="仿宋"/>
          <w:b/>
          <w:sz w:val="28"/>
          <w:szCs w:val="28"/>
        </w:rPr>
        <w:t>评分方法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本项目采取综合评分法评标</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总分为100分，其中技术评分占</w:t>
      </w:r>
      <w:r>
        <w:rPr>
          <w:rFonts w:hint="eastAsia" w:ascii="仿宋" w:hAnsi="仿宋" w:eastAsia="仿宋" w:cs="仿宋"/>
          <w:b w:val="0"/>
          <w:bCs w:val="0"/>
          <w:sz w:val="28"/>
          <w:szCs w:val="28"/>
          <w:lang w:val="en-US" w:eastAsia="zh-CN"/>
        </w:rPr>
        <w:t>60</w:t>
      </w:r>
      <w:r>
        <w:rPr>
          <w:rFonts w:hint="eastAsia" w:ascii="仿宋" w:hAnsi="仿宋" w:eastAsia="仿宋" w:cs="仿宋"/>
          <w:b w:val="0"/>
          <w:bCs w:val="0"/>
          <w:sz w:val="28"/>
          <w:szCs w:val="28"/>
        </w:rPr>
        <w:t>分，商务评分占</w:t>
      </w: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分，价格评分占30分</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并列得分时，价格低者优先；得分相同，价格相同的，技术得分高者优先</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详见表1-3</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对满足了磋商文件全部实质性要求，且</w:t>
      </w:r>
      <w:r>
        <w:rPr>
          <w:rFonts w:hint="eastAsia" w:ascii="仿宋" w:hAnsi="仿宋" w:eastAsia="仿宋" w:cs="仿宋"/>
          <w:sz w:val="28"/>
          <w:szCs w:val="28"/>
        </w:rPr>
        <w:t>提交最后报价的响应文件，</w:t>
      </w:r>
      <w:r>
        <w:rPr>
          <w:rFonts w:hint="eastAsia" w:ascii="仿宋" w:hAnsi="仿宋" w:eastAsia="仿宋" w:cs="仿宋"/>
          <w:sz w:val="28"/>
          <w:szCs w:val="28"/>
          <w:highlight w:val="none"/>
        </w:rPr>
        <w:t>现场评审委员会专家</w:t>
      </w:r>
      <w:r>
        <w:rPr>
          <w:rFonts w:hint="eastAsia" w:ascii="仿宋" w:hAnsi="仿宋" w:eastAsia="仿宋" w:cs="仿宋"/>
          <w:sz w:val="28"/>
          <w:szCs w:val="28"/>
        </w:rPr>
        <w:t>将按评审因素的量化指标评审得分最高的供应商推荐为成交候选供应商。</w:t>
      </w:r>
    </w:p>
    <w:p>
      <w:pPr>
        <w:tabs>
          <w:tab w:val="left" w:pos="540"/>
          <w:tab w:val="left" w:pos="780"/>
        </w:tabs>
        <w:spacing w:line="360" w:lineRule="auto"/>
        <w:ind w:firstLine="975" w:firstLineChars="347"/>
        <w:jc w:val="center"/>
        <w:rPr>
          <w:rFonts w:hint="eastAsia" w:ascii="仿宋" w:hAnsi="仿宋" w:eastAsia="仿宋" w:cs="仿宋"/>
          <w:sz w:val="28"/>
          <w:szCs w:val="28"/>
        </w:rPr>
      </w:pPr>
      <w:r>
        <w:rPr>
          <w:rFonts w:hint="eastAsia" w:ascii="仿宋" w:hAnsi="仿宋" w:eastAsia="仿宋" w:cs="仿宋"/>
          <w:b/>
          <w:sz w:val="28"/>
          <w:szCs w:val="28"/>
        </w:rPr>
        <w:t>评标分值比例</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表一：</w:t>
      </w:r>
      <w:r>
        <w:rPr>
          <w:rFonts w:hint="eastAsia" w:ascii="仿宋" w:hAnsi="仿宋" w:eastAsia="仿宋" w:cs="仿宋"/>
          <w:color w:val="000000"/>
          <w:sz w:val="28"/>
          <w:szCs w:val="28"/>
          <w:highlight w:val="none"/>
        </w:rPr>
        <w:t>分值权重：</w:t>
      </w:r>
    </w:p>
    <w:tbl>
      <w:tblPr>
        <w:tblStyle w:val="51"/>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6"/>
        <w:gridCol w:w="2055"/>
        <w:gridCol w:w="258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2696"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商务评审</w:t>
            </w:r>
          </w:p>
        </w:tc>
        <w:tc>
          <w:tcPr>
            <w:tcW w:w="2055"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技术评审</w:t>
            </w:r>
          </w:p>
        </w:tc>
        <w:tc>
          <w:tcPr>
            <w:tcW w:w="2580"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价格评审</w:t>
            </w:r>
          </w:p>
        </w:tc>
        <w:tc>
          <w:tcPr>
            <w:tcW w:w="1935"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96"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2055"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60%</w:t>
            </w:r>
          </w:p>
        </w:tc>
        <w:tc>
          <w:tcPr>
            <w:tcW w:w="2580"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30%</w:t>
            </w:r>
          </w:p>
        </w:tc>
        <w:tc>
          <w:tcPr>
            <w:tcW w:w="1935"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100%</w:t>
            </w:r>
          </w:p>
        </w:tc>
      </w:tr>
    </w:tbl>
    <w:p>
      <w:pPr>
        <w:spacing w:line="440" w:lineRule="exact"/>
        <w:rPr>
          <w:rFonts w:hint="eastAsia" w:ascii="仿宋" w:hAnsi="仿宋" w:eastAsia="仿宋" w:cs="仿宋"/>
          <w:color w:val="000000"/>
          <w:sz w:val="28"/>
          <w:szCs w:val="28"/>
          <w:highlight w:val="none"/>
        </w:rPr>
      </w:pP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表二：商</w:t>
      </w:r>
      <w:r>
        <w:rPr>
          <w:rFonts w:hint="eastAsia" w:ascii="仿宋" w:hAnsi="仿宋" w:eastAsia="仿宋" w:cs="仿宋"/>
          <w:b/>
          <w:sz w:val="28"/>
          <w:szCs w:val="28"/>
        </w:rPr>
        <w:t>务部分评分表（</w:t>
      </w:r>
      <w:r>
        <w:rPr>
          <w:rFonts w:hint="eastAsia" w:ascii="仿宋" w:hAnsi="仿宋" w:eastAsia="仿宋" w:cs="仿宋"/>
          <w:b/>
          <w:sz w:val="28"/>
          <w:szCs w:val="28"/>
          <w:lang w:val="en-US" w:eastAsia="zh-CN"/>
        </w:rPr>
        <w:t>10</w:t>
      </w:r>
      <w:r>
        <w:rPr>
          <w:rFonts w:hint="eastAsia" w:ascii="仿宋" w:hAnsi="仿宋" w:eastAsia="仿宋" w:cs="仿宋"/>
          <w:b/>
          <w:sz w:val="28"/>
          <w:szCs w:val="28"/>
        </w:rPr>
        <w:t>分）</w:t>
      </w:r>
      <w:r>
        <w:rPr>
          <w:rFonts w:hint="eastAsia" w:ascii="仿宋" w:hAnsi="仿宋" w:eastAsia="仿宋" w:cs="仿宋"/>
          <w:color w:val="000000"/>
          <w:sz w:val="28"/>
          <w:szCs w:val="28"/>
          <w:highlight w:val="none"/>
        </w:rPr>
        <w:t>：</w:t>
      </w:r>
    </w:p>
    <w:tbl>
      <w:tblPr>
        <w:tblStyle w:val="51"/>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供应商</w:t>
            </w:r>
          </w:p>
          <w:p>
            <w:pPr>
              <w:wordWrap w:val="0"/>
              <w:jc w:val="center"/>
              <w:rPr>
                <w:rFonts w:hint="eastAsia" w:ascii="仿宋" w:hAnsi="仿宋" w:eastAsia="仿宋" w:cs="仿宋"/>
                <w:b/>
                <w:color w:val="000000"/>
                <w:sz w:val="28"/>
                <w:szCs w:val="28"/>
                <w:highlight w:val="none"/>
              </w:rPr>
            </w:pPr>
            <w:r>
              <w:rPr>
                <w:rFonts w:hint="eastAsia" w:ascii="仿宋" w:hAnsi="仿宋" w:eastAsia="仿宋" w:cs="仿宋"/>
                <w:b/>
                <w:bCs/>
                <w:color w:val="000000"/>
                <w:sz w:val="28"/>
                <w:szCs w:val="28"/>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根据投标人对用户需求中</w:t>
            </w:r>
            <w:r>
              <w:rPr>
                <w:rFonts w:hint="eastAsia" w:ascii="仿宋" w:hAnsi="仿宋" w:eastAsia="仿宋" w:cs="仿宋"/>
                <w:color w:val="000000"/>
                <w:sz w:val="28"/>
                <w:szCs w:val="28"/>
                <w:highlight w:val="none"/>
                <w:lang w:val="en-US" w:eastAsia="zh-CN"/>
              </w:rPr>
              <w:t>商务条款</w:t>
            </w:r>
            <w:r>
              <w:rPr>
                <w:rFonts w:hint="eastAsia" w:ascii="仿宋" w:hAnsi="仿宋" w:eastAsia="仿宋" w:cs="仿宋"/>
                <w:color w:val="000000"/>
                <w:sz w:val="28"/>
                <w:szCs w:val="28"/>
                <w:highlight w:val="none"/>
              </w:rPr>
              <w:t>的响应程度进行评分：负偏离在</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项以内（含</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项），每项扣1分；负偏离超过</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项的，得0分；完全响应得</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w:t>
            </w:r>
            <w:r>
              <w:rPr>
                <w:rFonts w:hint="eastAsia" w:ascii="仿宋" w:hAnsi="仿宋" w:eastAsia="仿宋" w:cs="仿宋"/>
                <w:color w:val="000000"/>
                <w:sz w:val="28"/>
                <w:szCs w:val="28"/>
                <w:highlight w:val="none"/>
                <w:lang w:val="en-US" w:eastAsia="zh-CN"/>
              </w:rPr>
              <w:t>商务条款</w:t>
            </w:r>
            <w:r>
              <w:rPr>
                <w:rFonts w:hint="eastAsia" w:ascii="仿宋" w:hAnsi="仿宋" w:eastAsia="仿宋" w:cs="仿宋"/>
                <w:color w:val="000000"/>
                <w:sz w:val="28"/>
                <w:szCs w:val="28"/>
                <w:highlight w:val="none"/>
              </w:rPr>
              <w:t>响应表”及应招标要求提供的相关证明材料作为评审依据。</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201</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年至今承接同类项目业绩（应同时满足以下条件： ①以投标人名义签订；② 合同标的为本项目同类设备），每提供1份得1分，本小项满分5分。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10</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p>
        </w:tc>
      </w:tr>
    </w:tbl>
    <w:p>
      <w:pPr>
        <w:spacing w:line="440" w:lineRule="exact"/>
        <w:rPr>
          <w:rFonts w:hint="eastAsia" w:ascii="仿宋" w:hAnsi="仿宋" w:eastAsia="仿宋" w:cs="仿宋"/>
          <w:color w:val="000000"/>
          <w:sz w:val="28"/>
          <w:szCs w:val="28"/>
          <w:highlight w:val="none"/>
          <w:lang w:val="en-US" w:eastAsia="zh-CN"/>
        </w:rPr>
      </w:pP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表三：</w:t>
      </w:r>
      <w:r>
        <w:rPr>
          <w:rFonts w:hint="eastAsia" w:ascii="仿宋" w:hAnsi="仿宋" w:eastAsia="仿宋" w:cs="仿宋"/>
          <w:b/>
          <w:sz w:val="28"/>
          <w:szCs w:val="28"/>
        </w:rPr>
        <w:t>技术评分表（</w:t>
      </w:r>
      <w:r>
        <w:rPr>
          <w:rFonts w:hint="eastAsia" w:ascii="仿宋" w:hAnsi="仿宋" w:eastAsia="仿宋" w:cs="仿宋"/>
          <w:b/>
          <w:sz w:val="28"/>
          <w:szCs w:val="28"/>
          <w:lang w:val="en-US" w:eastAsia="zh-CN"/>
        </w:rPr>
        <w:t>60</w:t>
      </w:r>
      <w:r>
        <w:rPr>
          <w:rFonts w:hint="eastAsia" w:ascii="仿宋" w:hAnsi="仿宋" w:eastAsia="仿宋" w:cs="仿宋"/>
          <w:b/>
          <w:sz w:val="28"/>
          <w:szCs w:val="28"/>
        </w:rPr>
        <w:t>分）</w:t>
      </w:r>
    </w:p>
    <w:tbl>
      <w:tblPr>
        <w:tblStyle w:val="5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序号</w:t>
            </w:r>
          </w:p>
        </w:tc>
        <w:tc>
          <w:tcPr>
            <w:tcW w:w="1032"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评分指标</w:t>
            </w:r>
          </w:p>
        </w:tc>
        <w:tc>
          <w:tcPr>
            <w:tcW w:w="441"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分值</w:t>
            </w:r>
          </w:p>
        </w:tc>
        <w:tc>
          <w:tcPr>
            <w:tcW w:w="6178"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评分范围</w:t>
            </w:r>
          </w:p>
        </w:tc>
        <w:tc>
          <w:tcPr>
            <w:tcW w:w="996"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供应商</w:t>
            </w:r>
          </w:p>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032"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一般条款响应程度</w:t>
            </w:r>
          </w:p>
        </w:tc>
        <w:tc>
          <w:tcPr>
            <w:tcW w:w="441"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27</w:t>
            </w:r>
          </w:p>
        </w:tc>
        <w:tc>
          <w:tcPr>
            <w:tcW w:w="6178"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根据投标人对用户需求中一般条款（非“</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”条款）的响应程度进行评分：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一般条款（非“</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”条款）负偏离在27项以内（含27项），每项扣1分；一般条款（非“</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”条款）负偏离超过27项的，得0分；完全响应得27分。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注：以“技术条款响应表”及应招标要求提供的相关证明材料作为评审依据。</w:t>
            </w:r>
          </w:p>
        </w:tc>
        <w:tc>
          <w:tcPr>
            <w:tcW w:w="996" w:type="dxa"/>
            <w:shd w:val="clear" w:color="000000" w:fill="auto"/>
            <w:noWrap w:val="0"/>
            <w:vAlign w:val="center"/>
          </w:tcPr>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根据项目特点设置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032"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重要条款响应程度</w:t>
            </w:r>
          </w:p>
        </w:tc>
        <w:tc>
          <w:tcPr>
            <w:tcW w:w="441"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6178" w:type="dxa"/>
            <w:shd w:val="clear" w:color="000000" w:fill="auto"/>
            <w:noWrap w:val="0"/>
            <w:vAlign w:val="center"/>
          </w:tcPr>
          <w:p>
            <w:pPr>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根据</w:t>
            </w:r>
            <w:r>
              <w:rPr>
                <w:rFonts w:hint="eastAsia" w:ascii="仿宋" w:hAnsi="仿宋" w:eastAsia="仿宋" w:cs="仿宋"/>
                <w:color w:val="000000"/>
                <w:sz w:val="28"/>
                <w:szCs w:val="28"/>
                <w:highlight w:val="none"/>
              </w:rPr>
              <w:t>投标人</w:t>
            </w:r>
            <w:r>
              <w:rPr>
                <w:rFonts w:hint="eastAsia" w:ascii="仿宋" w:hAnsi="仿宋" w:eastAsia="仿宋" w:cs="仿宋"/>
                <w:color w:val="000000"/>
                <w:sz w:val="28"/>
                <w:szCs w:val="28"/>
                <w:highlight w:val="none"/>
                <w:lang w:val="zh-CN"/>
              </w:rPr>
              <w:t>对用户需求中重要条款（“▲”条款）的响应程度进行评分：</w:t>
            </w:r>
          </w:p>
          <w:p>
            <w:pPr>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重要条款（“▲”条款）负偏离在</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zh-CN"/>
              </w:rPr>
              <w:t>项以内（含</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zh-CN"/>
              </w:rPr>
              <w:t>项），每项扣</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zh-CN"/>
              </w:rPr>
              <w:t>分；重要条款（“▲”条款）负偏离超过</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zh-CN"/>
              </w:rPr>
              <w:t>项的，得0分；</w:t>
            </w:r>
            <w:r>
              <w:rPr>
                <w:rFonts w:hint="eastAsia" w:ascii="仿宋" w:hAnsi="仿宋" w:eastAsia="仿宋" w:cs="仿宋"/>
                <w:color w:val="000000"/>
                <w:sz w:val="28"/>
                <w:szCs w:val="28"/>
                <w:highlight w:val="none"/>
              </w:rPr>
              <w:t>完全响应得9分</w:t>
            </w:r>
            <w:r>
              <w:rPr>
                <w:rFonts w:hint="eastAsia" w:ascii="仿宋" w:hAnsi="仿宋" w:eastAsia="仿宋" w:cs="仿宋"/>
                <w:color w:val="000000"/>
                <w:sz w:val="28"/>
                <w:szCs w:val="28"/>
                <w:highlight w:val="none"/>
                <w:lang w:val="zh-CN"/>
              </w:rPr>
              <w:t>。</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注：以“技术条款响应表”及应招标要求提供的相关证明材料作为评审依据。</w:t>
            </w:r>
          </w:p>
        </w:tc>
        <w:tc>
          <w:tcPr>
            <w:tcW w:w="996" w:type="dxa"/>
            <w:shd w:val="clear" w:color="000000" w:fill="auto"/>
            <w:noWrap w:val="0"/>
            <w:vAlign w:val="center"/>
          </w:tcPr>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根据项目特点设置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445"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032" w:type="dxa"/>
            <w:shd w:val="clear" w:color="000000" w:fill="auto"/>
            <w:noWrap w:val="0"/>
            <w:vAlign w:val="center"/>
          </w:tcPr>
          <w:p>
            <w:pPr>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所投设备配置、选型及供货能力</w:t>
            </w:r>
          </w:p>
        </w:tc>
        <w:tc>
          <w:tcPr>
            <w:tcW w:w="441"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6178"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1.所投设备配置、选型及性能完全满足用户需求，供货及时，能有稳定供货渠道的得8 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2.所投设备配置、选型、性能等能基本满足用户需求，但存在不足的得5分；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3.所投设备配置、选型、性能及供货能力等基本不满足用户需求的得 0分。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（备注：提供设备配置清单或体现供货能力的相关证明材料，如相关认证、技术说明书或有效检验报告等证明材料。不提供的不得分。）</w:t>
            </w:r>
          </w:p>
        </w:tc>
        <w:tc>
          <w:tcPr>
            <w:tcW w:w="996" w:type="dxa"/>
            <w:vMerge w:val="restart"/>
            <w:shd w:val="clear" w:color="000000" w:fill="auto"/>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032" w:type="dxa"/>
            <w:shd w:val="clear" w:color="000000" w:fill="auto"/>
            <w:noWrap w:val="0"/>
            <w:vAlign w:val="center"/>
          </w:tcPr>
          <w:p>
            <w:pPr>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设备技术支撑程度和可靠性</w:t>
            </w:r>
          </w:p>
        </w:tc>
        <w:tc>
          <w:tcPr>
            <w:tcW w:w="441"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6178" w:type="dxa"/>
            <w:shd w:val="clear" w:color="000000" w:fill="auto"/>
            <w:noWrap w:val="0"/>
            <w:vAlign w:val="center"/>
          </w:tcPr>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根据供应商所投设备的技术和可靠性（技术支撑程度、工作原理，自动化程度、运行稳定性程度等）进行评审。</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1.所投设备技术先进，可靠性强的，有较强的技术支持，工作原理先进，有较强的自动化能力，稳定运行性较强，得8分；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2.所投设备技术较先进，可靠性一般，有稳定的技术支持，工作原理较为先进，能自动化使用，有一定的稳定运行性，得5分；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3.所投设备技术一般，技术支持较为一般，工作原理简单，自动化能力一般，运行性较一般，得2分；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4.所投设备的技术差，可靠性差的，没有技术支持，工作原理较差，自动化能力较差，得0分。</w:t>
            </w:r>
          </w:p>
        </w:tc>
        <w:tc>
          <w:tcPr>
            <w:tcW w:w="996" w:type="dxa"/>
            <w:vMerge w:val="continue"/>
            <w:shd w:val="clear" w:color="000000" w:fill="auto"/>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032"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设备操作的实用性、拓展性</w:t>
            </w:r>
          </w:p>
        </w:tc>
        <w:tc>
          <w:tcPr>
            <w:tcW w:w="441"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6178" w:type="dxa"/>
            <w:shd w:val="clear" w:color="000000" w:fill="auto"/>
            <w:noWrap w:val="0"/>
            <w:vAlign w:val="center"/>
          </w:tcPr>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根据供应商所投设备</w:t>
            </w:r>
            <w:r>
              <w:rPr>
                <w:rFonts w:hint="eastAsia" w:ascii="仿宋" w:hAnsi="仿宋" w:eastAsia="仿宋" w:cs="仿宋"/>
                <w:color w:val="000000"/>
                <w:sz w:val="28"/>
                <w:szCs w:val="28"/>
                <w:highlight w:val="none"/>
                <w:lang w:val="zh-CN"/>
              </w:rPr>
              <w:t>操作的实用性（</w:t>
            </w:r>
            <w:r>
              <w:rPr>
                <w:rFonts w:hint="eastAsia" w:ascii="仿宋" w:hAnsi="仿宋" w:eastAsia="仿宋" w:cs="仿宋"/>
                <w:color w:val="000000"/>
                <w:sz w:val="28"/>
                <w:szCs w:val="28"/>
                <w:highlight w:val="none"/>
              </w:rPr>
              <w:t>操作便利性、维修简易性</w:t>
            </w:r>
            <w:r>
              <w:rPr>
                <w:rFonts w:hint="eastAsia" w:ascii="仿宋" w:hAnsi="仿宋" w:eastAsia="仿宋" w:cs="仿宋"/>
                <w:color w:val="000000"/>
                <w:sz w:val="28"/>
                <w:szCs w:val="28"/>
                <w:highlight w:val="none"/>
                <w:lang w:val="zh-CN"/>
              </w:rPr>
              <w:t>）、拓展性（功能后续可否随技术、采购人新需求等原因进行升级）</w:t>
            </w:r>
            <w:r>
              <w:rPr>
                <w:rFonts w:hint="eastAsia" w:ascii="仿宋" w:hAnsi="仿宋" w:eastAsia="仿宋" w:cs="仿宋"/>
                <w:color w:val="000000"/>
                <w:sz w:val="28"/>
                <w:szCs w:val="28"/>
                <w:highlight w:val="none"/>
              </w:rPr>
              <w:t>进行评审（须提供相关说明/证明材料）。</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1.所投设备</w:t>
            </w:r>
            <w:r>
              <w:rPr>
                <w:rFonts w:hint="eastAsia" w:ascii="仿宋" w:hAnsi="仿宋" w:eastAsia="仿宋" w:cs="仿宋"/>
                <w:color w:val="000000"/>
                <w:sz w:val="28"/>
                <w:szCs w:val="28"/>
                <w:highlight w:val="none"/>
                <w:lang w:val="zh-CN"/>
              </w:rPr>
              <w:t>操作</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lang w:val="zh-CN"/>
              </w:rPr>
              <w:t>实用性、拓展性</w:t>
            </w:r>
            <w:r>
              <w:rPr>
                <w:rFonts w:hint="eastAsia" w:ascii="仿宋" w:hAnsi="仿宋" w:eastAsia="仿宋" w:cs="仿宋"/>
                <w:color w:val="000000"/>
                <w:sz w:val="28"/>
                <w:szCs w:val="28"/>
                <w:highlight w:val="none"/>
              </w:rPr>
              <w:t>强的</w:t>
            </w:r>
            <w:r>
              <w:rPr>
                <w:rFonts w:hint="eastAsia" w:ascii="仿宋" w:hAnsi="仿宋" w:eastAsia="仿宋" w:cs="仿宋"/>
                <w:color w:val="000000"/>
                <w:sz w:val="28"/>
                <w:szCs w:val="28"/>
                <w:highlight w:val="none"/>
                <w:lang w:val="zh-CN"/>
              </w:rPr>
              <w:t>，得</w:t>
            </w:r>
            <w:r>
              <w:rPr>
                <w:rFonts w:hint="eastAsia" w:ascii="仿宋" w:hAnsi="仿宋" w:eastAsia="仿宋" w:cs="仿宋"/>
                <w:color w:val="000000"/>
                <w:sz w:val="28"/>
                <w:szCs w:val="28"/>
                <w:highlight w:val="none"/>
              </w:rPr>
              <w:t>8分；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2.所投设备</w:t>
            </w:r>
            <w:r>
              <w:rPr>
                <w:rFonts w:hint="eastAsia" w:ascii="仿宋" w:hAnsi="仿宋" w:eastAsia="仿宋" w:cs="仿宋"/>
                <w:color w:val="000000"/>
                <w:sz w:val="28"/>
                <w:szCs w:val="28"/>
                <w:highlight w:val="none"/>
                <w:lang w:val="zh-CN"/>
              </w:rPr>
              <w:t>操作的实用性、拓展性</w:t>
            </w:r>
            <w:r>
              <w:rPr>
                <w:rFonts w:hint="eastAsia" w:ascii="仿宋" w:hAnsi="仿宋" w:eastAsia="仿宋" w:cs="仿宋"/>
                <w:color w:val="000000"/>
                <w:sz w:val="28"/>
                <w:szCs w:val="28"/>
                <w:highlight w:val="none"/>
              </w:rPr>
              <w:t>较强</w:t>
            </w:r>
            <w:r>
              <w:rPr>
                <w:rFonts w:hint="eastAsia" w:ascii="仿宋" w:hAnsi="仿宋" w:eastAsia="仿宋" w:cs="仿宋"/>
                <w:color w:val="000000"/>
                <w:sz w:val="28"/>
                <w:szCs w:val="28"/>
                <w:highlight w:val="none"/>
                <w:lang w:val="zh-CN"/>
              </w:rPr>
              <w:t>的，得</w:t>
            </w:r>
            <w:r>
              <w:rPr>
                <w:rFonts w:hint="eastAsia" w:ascii="仿宋" w:hAnsi="仿宋" w:eastAsia="仿宋" w:cs="仿宋"/>
                <w:color w:val="000000"/>
                <w:sz w:val="28"/>
                <w:szCs w:val="28"/>
                <w:highlight w:val="none"/>
              </w:rPr>
              <w:t>5分；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3.所投设备</w:t>
            </w:r>
            <w:r>
              <w:rPr>
                <w:rFonts w:hint="eastAsia" w:ascii="仿宋" w:hAnsi="仿宋" w:eastAsia="仿宋" w:cs="仿宋"/>
                <w:color w:val="000000"/>
                <w:sz w:val="28"/>
                <w:szCs w:val="28"/>
                <w:highlight w:val="none"/>
                <w:lang w:val="zh-CN"/>
              </w:rPr>
              <w:t>操作的实用性、拓展性一般的，得</w:t>
            </w:r>
            <w:r>
              <w:rPr>
                <w:rFonts w:hint="eastAsia" w:ascii="仿宋" w:hAnsi="仿宋" w:eastAsia="仿宋" w:cs="仿宋"/>
                <w:color w:val="000000"/>
                <w:sz w:val="28"/>
                <w:szCs w:val="28"/>
                <w:highlight w:val="none"/>
              </w:rPr>
              <w:t>2分；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4.所投设备</w:t>
            </w:r>
            <w:r>
              <w:rPr>
                <w:rFonts w:hint="eastAsia" w:ascii="仿宋" w:hAnsi="仿宋" w:eastAsia="仿宋" w:cs="仿宋"/>
                <w:color w:val="000000"/>
                <w:sz w:val="28"/>
                <w:szCs w:val="28"/>
                <w:highlight w:val="none"/>
                <w:lang w:val="zh-CN"/>
              </w:rPr>
              <w:t>操作的实用性、拓展性差的，得</w:t>
            </w:r>
            <w:r>
              <w:rPr>
                <w:rFonts w:hint="eastAsia" w:ascii="仿宋" w:hAnsi="仿宋" w:eastAsia="仿宋" w:cs="仿宋"/>
                <w:color w:val="000000"/>
                <w:sz w:val="28"/>
                <w:szCs w:val="28"/>
                <w:highlight w:val="none"/>
              </w:rPr>
              <w:t>0分。</w:t>
            </w:r>
          </w:p>
        </w:tc>
        <w:tc>
          <w:tcPr>
            <w:tcW w:w="996" w:type="dxa"/>
            <w:shd w:val="clear" w:color="000000" w:fill="auto"/>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合计</w:t>
            </w:r>
          </w:p>
        </w:tc>
        <w:tc>
          <w:tcPr>
            <w:tcW w:w="441"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60</w:t>
            </w:r>
          </w:p>
        </w:tc>
        <w:tc>
          <w:tcPr>
            <w:tcW w:w="6178"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得分合计</w:t>
            </w:r>
          </w:p>
        </w:tc>
        <w:tc>
          <w:tcPr>
            <w:tcW w:w="996" w:type="dxa"/>
            <w:shd w:val="clear" w:color="000000" w:fill="auto"/>
            <w:noWrap w:val="0"/>
            <w:vAlign w:val="center"/>
          </w:tcPr>
          <w:p>
            <w:pPr>
              <w:rPr>
                <w:rFonts w:hint="eastAsia" w:ascii="仿宋" w:hAnsi="仿宋" w:eastAsia="仿宋" w:cs="仿宋"/>
                <w:color w:val="000000"/>
                <w:sz w:val="28"/>
                <w:szCs w:val="28"/>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05" w:leftChars="50" w:firstLine="210" w:firstLineChars="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价格的核准和评分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（1）评审</w:t>
      </w:r>
      <w:r>
        <w:rPr>
          <w:rFonts w:hint="eastAsia" w:ascii="仿宋" w:hAnsi="仿宋" w:eastAsia="仿宋" w:cs="仿宋"/>
          <w:sz w:val="28"/>
          <w:szCs w:val="28"/>
        </w:rPr>
        <w:t>小组对各供应商的报价，如存在报价的算术错误、缺项、单列项，则按下述原则进行校核、评审或作出必要的修正后的价格为核实价，如果出现多种处理原则所产生的结果不一致的情况，以最高的修正价作为核实价。</w:t>
      </w:r>
      <w:r>
        <w:rPr>
          <w:rFonts w:hint="eastAsia" w:ascii="仿宋" w:hAnsi="仿宋" w:eastAsia="仿宋" w:cs="仿宋"/>
          <w:sz w:val="28"/>
          <w:szCs w:val="28"/>
          <w:lang w:val="en-US" w:eastAsia="zh-CN"/>
        </w:rPr>
        <w:t>评审</w:t>
      </w:r>
      <w:r>
        <w:rPr>
          <w:rFonts w:hint="eastAsia" w:ascii="仿宋" w:hAnsi="仿宋" w:eastAsia="仿宋" w:cs="仿宋"/>
          <w:sz w:val="28"/>
          <w:szCs w:val="28"/>
        </w:rPr>
        <w:t>小组按下述原则调整的价格对其供应商具有约束力。如果供应商不接受修正后的价格，其报价将被拒绝：</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①响应文件中报价表内容与响应文件中明细表内容不一致的，以分项报价的汇总价为准；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②若响应文件中的大写金额和小写金额不一致时，以大写金额为准；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③当单价与数量的乘积与总价不一致时，以单价为准，并修正总价；单价金额小数点有明显错位的，应以总价为准，并修改单价；对不同文件文本响应文件的解释发生异议的，以中文文本为准。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④</w:t>
      </w:r>
      <w:r>
        <w:rPr>
          <w:rFonts w:hint="eastAsia" w:ascii="仿宋" w:hAnsi="仿宋" w:eastAsia="仿宋" w:cs="仿宋"/>
          <w:sz w:val="28"/>
          <w:szCs w:val="28"/>
          <w:lang w:val="en-US" w:eastAsia="zh-CN"/>
        </w:rPr>
        <w:t>评审</w:t>
      </w:r>
      <w:r>
        <w:rPr>
          <w:rFonts w:hint="eastAsia" w:ascii="仿宋" w:hAnsi="仿宋" w:eastAsia="仿宋" w:cs="仿宋"/>
          <w:sz w:val="28"/>
          <w:szCs w:val="28"/>
        </w:rPr>
        <w:t>小组认为应该调整的价格。</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(2)评审</w:t>
      </w:r>
      <w:r>
        <w:rPr>
          <w:rFonts w:hint="eastAsia" w:ascii="仿宋" w:hAnsi="仿宋" w:eastAsia="仿宋" w:cs="仿宋"/>
          <w:sz w:val="28"/>
          <w:szCs w:val="28"/>
        </w:rPr>
        <w:t>小组将按上述修正错误的方法调整响应文件中的报价，调整后的价格对供应商具有约束力。如果供应商不接受修正后的价格，则其报价将被拒绝。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firstLine="211" w:firstLineChars="75"/>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4.价格评分：通过符合性审查且最高投标下浮率（相当于投标价格最低）为评标基准价，评标基准价=（1-最高投标下浮率），其价格分为满分30分。其他供应商的价格分统一按照下列公式计算：</w:t>
      </w:r>
    </w:p>
    <w:p>
      <w:pPr>
        <w:keepNext w:val="0"/>
        <w:keepLines w:val="0"/>
        <w:pageBreakBefore w:val="0"/>
        <w:widowControl w:val="0"/>
        <w:kinsoku/>
        <w:wordWrap/>
        <w:overflowPunct/>
        <w:topLinePunct w:val="0"/>
        <w:autoSpaceDE/>
        <w:autoSpaceDN/>
        <w:bidi w:val="0"/>
        <w:adjustRightInd/>
        <w:spacing w:line="460" w:lineRule="exact"/>
        <w:ind w:left="1546" w:leftChars="201" w:hanging="1124" w:hangingChars="400"/>
        <w:textAlignment w:val="auto"/>
        <w:rPr>
          <w:rFonts w:hint="eastAsia" w:ascii="仿宋" w:hAnsi="仿宋" w:eastAsia="仿宋" w:cs="仿宋"/>
          <w:b/>
          <w:sz w:val="28"/>
          <w:szCs w:val="28"/>
        </w:rPr>
      </w:pPr>
      <w:r>
        <w:rPr>
          <w:rFonts w:hint="eastAsia" w:ascii="仿宋" w:hAnsi="仿宋" w:eastAsia="仿宋" w:cs="仿宋"/>
          <w:b/>
          <w:sz w:val="28"/>
          <w:szCs w:val="28"/>
        </w:rPr>
        <w:t>报价得分</w:t>
      </w:r>
      <w:r>
        <w:rPr>
          <w:rFonts w:hint="eastAsia" w:ascii="仿宋" w:hAnsi="仿宋" w:eastAsia="仿宋" w:cs="仿宋"/>
          <w:b/>
          <w:sz w:val="28"/>
          <w:szCs w:val="28"/>
          <w:lang w:val="en-US" w:eastAsia="zh-CN"/>
        </w:rPr>
        <w:t>=</w:t>
      </w:r>
      <w:r>
        <w:rPr>
          <w:rFonts w:hint="eastAsia" w:ascii="仿宋" w:hAnsi="仿宋" w:eastAsia="仿宋" w:cs="仿宋"/>
          <w:b/>
          <w:sz w:val="28"/>
          <w:szCs w:val="28"/>
        </w:rPr>
        <w:t>评标基准价 /（1-投标下浮率）×30</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权重（分值）分配</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2268"/>
        <w:gridCol w:w="2268"/>
        <w:gridCol w:w="20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2268"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评分项目</w:t>
            </w:r>
          </w:p>
        </w:tc>
        <w:tc>
          <w:tcPr>
            <w:tcW w:w="2268"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技术评分</w:t>
            </w:r>
          </w:p>
        </w:tc>
        <w:tc>
          <w:tcPr>
            <w:tcW w:w="2268"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商务评分</w:t>
            </w:r>
          </w:p>
        </w:tc>
        <w:tc>
          <w:tcPr>
            <w:tcW w:w="2071"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2268" w:type="dxa"/>
            <w:tcBorders>
              <w:top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分值</w:t>
            </w:r>
          </w:p>
        </w:tc>
        <w:tc>
          <w:tcPr>
            <w:tcW w:w="2268" w:type="dxa"/>
            <w:tcBorders>
              <w:top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60</w:t>
            </w:r>
            <w:r>
              <w:rPr>
                <w:rFonts w:hint="eastAsia" w:ascii="仿宋" w:hAnsi="仿宋" w:eastAsia="仿宋" w:cs="仿宋"/>
                <w:b/>
                <w:sz w:val="28"/>
                <w:szCs w:val="28"/>
              </w:rPr>
              <w:t>分</w:t>
            </w:r>
          </w:p>
        </w:tc>
        <w:tc>
          <w:tcPr>
            <w:tcW w:w="2268" w:type="dxa"/>
            <w:tcBorders>
              <w:top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10</w:t>
            </w:r>
            <w:r>
              <w:rPr>
                <w:rFonts w:hint="eastAsia" w:ascii="仿宋" w:hAnsi="仿宋" w:eastAsia="仿宋" w:cs="仿宋"/>
                <w:b/>
                <w:sz w:val="28"/>
                <w:szCs w:val="28"/>
              </w:rPr>
              <w:t>分</w:t>
            </w:r>
          </w:p>
        </w:tc>
        <w:tc>
          <w:tcPr>
            <w:tcW w:w="2071" w:type="dxa"/>
            <w:tcBorders>
              <w:top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30分</w:t>
            </w:r>
          </w:p>
        </w:tc>
      </w:tr>
    </w:tbl>
    <w:p>
      <w:pPr>
        <w:keepNext w:val="0"/>
        <w:keepLines w:val="0"/>
        <w:pageBreakBefore w:val="0"/>
        <w:widowControl w:val="0"/>
        <w:tabs>
          <w:tab w:val="left" w:pos="900"/>
        </w:tabs>
        <w:kinsoku/>
        <w:wordWrap/>
        <w:overflowPunct/>
        <w:topLinePunct w:val="0"/>
        <w:autoSpaceDE/>
        <w:autoSpaceDN/>
        <w:bidi w:val="0"/>
        <w:adjustRightInd/>
        <w:snapToGrid/>
        <w:spacing w:line="460" w:lineRule="exact"/>
        <w:ind w:left="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根据上述技术、商务及价格的综合评分（分别为F1、F2、F3），代入下列公式计算各供应商的总得分。进入详细评审的各供应商的综合得分，按得分从高到低排名（得分相同时，投标总价低者优先</w:t>
      </w:r>
      <w:r>
        <w:rPr>
          <w:rFonts w:hint="eastAsia" w:ascii="仿宋" w:hAnsi="仿宋" w:eastAsia="仿宋" w:cs="仿宋"/>
          <w:sz w:val="28"/>
          <w:szCs w:val="28"/>
          <w:lang w:eastAsia="zh-CN"/>
        </w:rPr>
        <w:t>，</w:t>
      </w:r>
      <w:r>
        <w:rPr>
          <w:rFonts w:hint="eastAsia" w:ascii="仿宋" w:hAnsi="仿宋" w:eastAsia="仿宋" w:cs="仿宋"/>
          <w:b w:val="0"/>
          <w:bCs w:val="0"/>
          <w:sz w:val="28"/>
          <w:szCs w:val="28"/>
        </w:rPr>
        <w:t>；得分相同，</w:t>
      </w:r>
      <w:r>
        <w:rPr>
          <w:rFonts w:hint="eastAsia" w:ascii="仿宋" w:hAnsi="仿宋" w:eastAsia="仿宋" w:cs="仿宋"/>
          <w:b w:val="0"/>
          <w:bCs w:val="0"/>
          <w:sz w:val="28"/>
          <w:szCs w:val="28"/>
          <w:lang w:val="en-US" w:eastAsia="zh-CN"/>
        </w:rPr>
        <w:t>投标总</w:t>
      </w:r>
      <w:r>
        <w:rPr>
          <w:rFonts w:hint="eastAsia" w:ascii="仿宋" w:hAnsi="仿宋" w:eastAsia="仿宋" w:cs="仿宋"/>
          <w:b w:val="0"/>
          <w:bCs w:val="0"/>
          <w:sz w:val="28"/>
          <w:szCs w:val="28"/>
        </w:rPr>
        <w:t>价相同的，技术得分高者优先</w:t>
      </w:r>
      <w:r>
        <w:rPr>
          <w:rFonts w:hint="eastAsia" w:ascii="仿宋" w:hAnsi="仿宋" w:eastAsia="仿宋" w:cs="仿宋"/>
          <w:sz w:val="28"/>
          <w:szCs w:val="28"/>
        </w:rPr>
        <w:t>）。</w:t>
      </w:r>
    </w:p>
    <w:p>
      <w:pPr>
        <w:keepNext w:val="0"/>
        <w:keepLines w:val="0"/>
        <w:pageBreakBefore w:val="0"/>
        <w:widowControl w:val="0"/>
        <w:tabs>
          <w:tab w:val="left" w:pos="900"/>
        </w:tabs>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评标总得分= F1＋F2+F3</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60" w:lineRule="exact"/>
        <w:ind w:left="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其中，F1、F2、F3分别为技术、商务及价格评分的汇总得分。 </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60" w:lineRule="exact"/>
        <w:ind w:left="0" w:right="0" w:rightChars="0" w:firstLine="560" w:firstLineChars="200"/>
        <w:textAlignment w:val="auto"/>
        <w:rPr>
          <w:rFonts w:hint="eastAsia" w:ascii="仿宋" w:hAnsi="仿宋" w:eastAsia="仿宋" w:cs="仿宋"/>
          <w:sz w:val="28"/>
          <w:szCs w:val="28"/>
          <w:vertAlign w:val="subscript"/>
        </w:rPr>
      </w:pPr>
      <w:r>
        <w:rPr>
          <w:rFonts w:hint="eastAsia" w:ascii="仿宋" w:hAnsi="仿宋" w:eastAsia="仿宋" w:cs="仿宋"/>
          <w:sz w:val="28"/>
          <w:szCs w:val="28"/>
        </w:rPr>
        <w:t xml:space="preserve">   </w:t>
      </w:r>
      <w:r>
        <w:rPr>
          <w:rFonts w:hint="eastAsia" w:ascii="仿宋" w:hAnsi="仿宋" w:eastAsia="仿宋" w:cs="仿宋"/>
          <w:sz w:val="28"/>
          <w:szCs w:val="28"/>
          <w:vertAlign w:val="subscript"/>
        </w:rPr>
        <w:t xml:space="preserve">                </w:t>
      </w:r>
    </w:p>
    <w:p>
      <w:pPr>
        <w:keepNext w:val="0"/>
        <w:keepLines w:val="0"/>
        <w:pageBreakBefore w:val="0"/>
        <w:widowControl w:val="0"/>
        <w:tabs>
          <w:tab w:val="left" w:pos="360"/>
          <w:tab w:val="left" w:pos="720"/>
        </w:tabs>
        <w:kinsoku/>
        <w:wordWrap/>
        <w:overflowPunct/>
        <w:topLinePunct w:val="0"/>
        <w:autoSpaceDE/>
        <w:autoSpaceDN/>
        <w:bidi w:val="0"/>
        <w:adjustRightInd/>
        <w:spacing w:line="460" w:lineRule="exact"/>
        <w:ind w:left="714" w:right="420" w:rightChars="200" w:hanging="956" w:hangingChars="340"/>
        <w:textAlignment w:val="auto"/>
        <w:rPr>
          <w:rFonts w:hint="eastAsia" w:ascii="仿宋" w:hAnsi="仿宋" w:eastAsia="仿宋" w:cs="仿宋"/>
          <w:b/>
          <w:bCs/>
          <w:spacing w:val="10"/>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评审过程的保密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05" w:leftChars="50" w:firstLine="210" w:firstLineChars="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接受报价后，直至成交供应商与采购人签订合同止，凡与审查、澄清、评价、比较、确定成交供应商意见有关的内容，任何人均不得向磋商双方之外的第三方及与评审无关的其他人透露。</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05" w:leftChars="50" w:firstLine="210" w:firstLineChars="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从报价递交截止时间起到确定成交供应商日止，供应商不得与参加评审的有关人员私下接触。在评审过程中，如果供应商试图在响应文件审查、澄清、比较及推荐成交供应商方面向参与评审的有关人员和采购人施加任何影响，其报价将被拒绝。</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05" w:leftChars="50" w:firstLine="210" w:firstLineChars="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接受和拒绝任何或所有报价的权利</w:t>
      </w:r>
      <w:r>
        <w:rPr>
          <w:rFonts w:hint="eastAsia" w:ascii="仿宋" w:hAnsi="仿宋" w:eastAsia="仿宋" w:cs="仿宋"/>
          <w:sz w:val="28"/>
          <w:szCs w:val="28"/>
          <w:lang w:eastAsia="zh-CN"/>
        </w:rPr>
        <w:t>：</w:t>
      </w:r>
      <w:r>
        <w:rPr>
          <w:rFonts w:hint="eastAsia" w:ascii="仿宋" w:hAnsi="仿宋" w:eastAsia="仿宋" w:cs="仿宋"/>
          <w:sz w:val="28"/>
          <w:szCs w:val="28"/>
        </w:rPr>
        <w:t>采购人保留在成交之前任何时候接受或拒绝任何报价，以及宣布</w:t>
      </w:r>
      <w:r>
        <w:rPr>
          <w:rFonts w:hint="eastAsia" w:ascii="仿宋" w:hAnsi="仿宋" w:eastAsia="仿宋" w:cs="仿宋"/>
          <w:sz w:val="28"/>
          <w:szCs w:val="28"/>
          <w:lang w:val="en-US" w:eastAsia="zh-CN"/>
        </w:rPr>
        <w:t>谈判</w:t>
      </w:r>
      <w:r>
        <w:rPr>
          <w:rFonts w:hint="eastAsia" w:ascii="仿宋" w:hAnsi="仿宋" w:eastAsia="仿宋" w:cs="仿宋"/>
          <w:sz w:val="28"/>
          <w:szCs w:val="28"/>
        </w:rPr>
        <w:t>无效或拒绝所有报价的权力，对受影响的供应商不承担任何责任。</w:t>
      </w:r>
    </w:p>
    <w:p>
      <w:pPr>
        <w:pStyle w:val="49"/>
        <w:rPr>
          <w:rFonts w:hint="eastAsia" w:ascii="仿宋" w:hAnsi="仿宋" w:eastAsia="仿宋" w:cs="仿宋"/>
          <w:sz w:val="28"/>
          <w:szCs w:val="28"/>
        </w:rPr>
      </w:pPr>
    </w:p>
    <w:p>
      <w:pPr>
        <w:keepNext w:val="0"/>
        <w:keepLines w:val="0"/>
        <w:pageBreakBefore w:val="0"/>
        <w:widowControl w:val="0"/>
        <w:tabs>
          <w:tab w:val="left" w:pos="360"/>
          <w:tab w:val="left" w:pos="720"/>
        </w:tabs>
        <w:kinsoku/>
        <w:wordWrap/>
        <w:overflowPunct/>
        <w:topLinePunct w:val="0"/>
        <w:autoSpaceDE/>
        <w:autoSpaceDN/>
        <w:bidi w:val="0"/>
        <w:adjustRightInd/>
        <w:spacing w:line="460" w:lineRule="exact"/>
        <w:ind w:left="714" w:right="420" w:rightChars="200" w:hanging="956" w:hangingChars="34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 xml:space="preserve"> 变更技术方案的权利</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460" w:lineRule="exact"/>
        <w:ind w:left="105" w:leftChars="50" w:right="0" w:rightChars="0" w:firstLine="210" w:firstLineChars="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w:t>
      </w:r>
      <w:r>
        <w:rPr>
          <w:rFonts w:hint="eastAsia" w:ascii="仿宋" w:hAnsi="仿宋" w:eastAsia="仿宋" w:cs="仿宋"/>
          <w:sz w:val="28"/>
          <w:szCs w:val="28"/>
          <w:lang w:val="en-US" w:eastAsia="zh-CN"/>
        </w:rPr>
        <w:t>现场谈判</w:t>
      </w:r>
      <w:r>
        <w:rPr>
          <w:rFonts w:hint="eastAsia" w:ascii="仿宋" w:hAnsi="仿宋" w:eastAsia="仿宋" w:cs="仿宋"/>
          <w:sz w:val="28"/>
          <w:szCs w:val="28"/>
        </w:rPr>
        <w:t>过程中，采购人有权变更技术方案或采购数量，如果供应商根据采购人提出的变更要求调整方案或价格后未能获得合同，采购人和采购代理机构不承担任何责任。</w:t>
      </w:r>
    </w:p>
    <w:p>
      <w:pPr>
        <w:pStyle w:val="4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pacing w:line="460" w:lineRule="exact"/>
        <w:ind w:left="220" w:right="420" w:rightChars="200" w:hanging="295" w:hangingChars="105"/>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 xml:space="preserve"> 采购过程中符合要求的供应商不足3家情况的处理</w:t>
      </w:r>
    </w:p>
    <w:p>
      <w:pPr>
        <w:keepNext w:val="0"/>
        <w:keepLines w:val="0"/>
        <w:pageBreakBefore w:val="0"/>
        <w:widowControl w:val="0"/>
        <w:numPr>
          <w:ilvl w:val="0"/>
          <w:numId w:val="0"/>
        </w:numPr>
        <w:tabs>
          <w:tab w:val="left" w:pos="360"/>
          <w:tab w:val="left" w:pos="720"/>
        </w:tabs>
        <w:kinsoku/>
        <w:wordWrap/>
        <w:overflowPunct/>
        <w:topLinePunct w:val="0"/>
        <w:autoSpaceDE/>
        <w:autoSpaceDN/>
        <w:bidi w:val="0"/>
        <w:adjustRightInd/>
        <w:snapToGrid/>
        <w:spacing w:line="460" w:lineRule="exact"/>
        <w:ind w:left="105" w:leftChars="50" w:right="0" w:rightChars="0" w:firstLine="210" w:firstLineChars="75"/>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如评审当天，在采购过程中符合要求的供应商只有2家的，竞争性磋商采购活动可以继续进行，也可以重新组织采购。采购过程中符合要求的供应商只有1家的，本项目重新组织采购或经采购人同意后转换单一来源采购方式继续进行。</w:t>
      </w:r>
    </w:p>
    <w:p/>
    <w:p>
      <w:pPr>
        <w:pStyle w:val="2"/>
        <w:jc w:val="center"/>
        <w:rPr>
          <w:rFonts w:ascii="宋体" w:hAnsi="宋体" w:cs="宋体"/>
        </w:rPr>
      </w:pPr>
    </w:p>
    <w:p>
      <w:pPr>
        <w:pStyle w:val="2"/>
        <w:jc w:val="center"/>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pPr>
    </w:p>
    <w:p>
      <w:pPr>
        <w:pStyle w:val="2"/>
        <w:jc w:val="center"/>
        <w:rPr>
          <w:rFonts w:ascii="宋体" w:hAnsi="宋体" w:cs="宋体"/>
        </w:rPr>
      </w:pPr>
    </w:p>
    <w:p/>
    <w:p>
      <w:pPr>
        <w:pStyle w:val="2"/>
        <w:numPr>
          <w:ilvl w:val="0"/>
          <w:numId w:val="13"/>
        </w:numPr>
        <w:ind w:left="0" w:leftChars="0" w:firstLine="0" w:firstLineChars="0"/>
        <w:jc w:val="center"/>
        <w:rPr>
          <w:rFonts w:hint="eastAsia"/>
        </w:rPr>
      </w:pPr>
      <w:bookmarkStart w:id="5" w:name="_Toc26271"/>
      <w:r>
        <w:rPr>
          <w:rFonts w:hint="eastAsia"/>
        </w:rPr>
        <w:t>报价文件格式</w:t>
      </w:r>
      <w:bookmarkEnd w:id="5"/>
    </w:p>
    <w:p>
      <w:pPr>
        <w:pStyle w:val="2"/>
        <w:keepNext/>
        <w:keepLines/>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sz w:val="28"/>
          <w:szCs w:val="28"/>
        </w:rPr>
      </w:pPr>
      <w:r>
        <w:rPr>
          <w:rFonts w:hint="eastAsia" w:ascii="仿宋" w:hAnsi="仿宋" w:eastAsia="仿宋" w:cs="仿宋"/>
          <w:b/>
          <w:sz w:val="28"/>
          <w:szCs w:val="28"/>
        </w:rPr>
        <w:t>（1）</w:t>
      </w:r>
      <w:r>
        <w:rPr>
          <w:rFonts w:hint="eastAsia" w:ascii="仿宋" w:hAnsi="仿宋" w:eastAsia="仿宋" w:cs="仿宋"/>
          <w:b/>
          <w:bCs/>
          <w:sz w:val="28"/>
          <w:szCs w:val="28"/>
        </w:rPr>
        <w:t>参数偏离响应情况</w:t>
      </w:r>
    </w:p>
    <w:tbl>
      <w:tblPr>
        <w:tblStyle w:val="51"/>
        <w:tblW w:w="945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3"/>
        <w:gridCol w:w="145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483" w:type="dxa"/>
            <w:shd w:val="clear" w:color="auto" w:fill="auto"/>
            <w:vAlign w:val="center"/>
          </w:tcPr>
          <w:p>
            <w:pPr>
              <w:spacing w:beforeLines="50" w:afterLines="50" w:line="360" w:lineRule="exact"/>
              <w:jc w:val="center"/>
              <w:rPr>
                <w:rFonts w:hint="eastAsia" w:ascii="仿宋" w:hAnsi="仿宋" w:eastAsia="仿宋" w:cs="仿宋"/>
                <w:b/>
                <w:color w:val="000000"/>
                <w:sz w:val="28"/>
                <w:szCs w:val="28"/>
              </w:rPr>
            </w:pPr>
            <w:r>
              <w:rPr>
                <w:rFonts w:hint="eastAsia" w:ascii="仿宋" w:hAnsi="仿宋" w:eastAsia="仿宋" w:cs="仿宋"/>
                <w:b/>
                <w:bCs/>
                <w:color w:val="000000"/>
                <w:sz w:val="28"/>
                <w:szCs w:val="28"/>
              </w:rPr>
              <w:t>名称</w:t>
            </w:r>
          </w:p>
        </w:tc>
        <w:tc>
          <w:tcPr>
            <w:tcW w:w="1450" w:type="dxa"/>
            <w:shd w:val="clear" w:color="auto" w:fill="auto"/>
            <w:vAlign w:val="center"/>
          </w:tcPr>
          <w:p>
            <w:pPr>
              <w:spacing w:beforeLines="50" w:afterLines="50" w:line="360" w:lineRule="exact"/>
              <w:jc w:val="both"/>
              <w:rPr>
                <w:rFonts w:hint="eastAsia" w:ascii="仿宋" w:hAnsi="仿宋" w:eastAsia="仿宋" w:cs="仿宋"/>
                <w:b/>
                <w:color w:val="000000"/>
                <w:sz w:val="28"/>
                <w:szCs w:val="28"/>
                <w:lang w:eastAsia="zh-CN"/>
              </w:rPr>
            </w:pPr>
            <w:r>
              <w:rPr>
                <w:rFonts w:hint="eastAsia" w:ascii="仿宋" w:hAnsi="仿宋" w:eastAsia="仿宋" w:cs="仿宋"/>
                <w:b/>
                <w:bCs/>
                <w:color w:val="000000"/>
                <w:sz w:val="28"/>
                <w:szCs w:val="28"/>
              </w:rPr>
              <w:t>偏离情况</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完全响应/正偏离/负偏离</w:t>
            </w:r>
            <w:r>
              <w:rPr>
                <w:rFonts w:hint="eastAsia" w:ascii="仿宋" w:hAnsi="仿宋" w:eastAsia="仿宋" w:cs="仿宋"/>
                <w:b/>
                <w:bCs/>
                <w:color w:val="000000"/>
                <w:sz w:val="28"/>
                <w:szCs w:val="28"/>
                <w:lang w:eastAsia="zh-CN"/>
              </w:rPr>
              <w:t>）</w:t>
            </w:r>
          </w:p>
        </w:tc>
        <w:tc>
          <w:tcPr>
            <w:tcW w:w="2517" w:type="dxa"/>
            <w:shd w:val="clear" w:color="auto" w:fill="auto"/>
            <w:vAlign w:val="center"/>
          </w:tcPr>
          <w:p>
            <w:pPr>
              <w:spacing w:beforeLines="50" w:afterLines="50" w:line="36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备注说明（原因）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tabs>
                <w:tab w:val="left" w:pos="584"/>
                <w:tab w:val="left" w:pos="616"/>
              </w:tabs>
              <w:spacing w:before="62" w:beforeLines="20" w:line="360" w:lineRule="exact"/>
              <w:jc w:val="both"/>
              <w:rPr>
                <w:rFonts w:hint="eastAsia" w:ascii="仿宋" w:hAnsi="仿宋" w:eastAsia="仿宋" w:cs="仿宋"/>
                <w:b/>
                <w:kern w:val="2"/>
                <w:sz w:val="28"/>
                <w:szCs w:val="28"/>
                <w:lang w:val="en-US" w:eastAsia="zh-CN" w:bidi="ar-SA"/>
              </w:rPr>
            </w:pPr>
            <w:r>
              <w:rPr>
                <w:rFonts w:hint="eastAsia" w:ascii="仿宋" w:hAnsi="仿宋" w:eastAsia="仿宋" w:cs="仿宋"/>
                <w:b/>
                <w:sz w:val="28"/>
                <w:szCs w:val="28"/>
              </w:rPr>
              <w:t>一、项目概况</w:t>
            </w:r>
          </w:p>
        </w:tc>
        <w:tc>
          <w:tcPr>
            <w:tcW w:w="1450" w:type="dxa"/>
            <w:shd w:val="clear" w:color="auto" w:fill="auto"/>
            <w:vAlign w:val="center"/>
          </w:tcPr>
          <w:p>
            <w:pPr>
              <w:spacing w:beforeLines="50" w:afterLines="50" w:line="360" w:lineRule="exact"/>
              <w:jc w:val="both"/>
              <w:rPr>
                <w:rFonts w:hint="eastAsia" w:ascii="仿宋" w:hAnsi="仿宋" w:eastAsia="仿宋" w:cs="仿宋"/>
                <w:b/>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w:t>1.项目名称：中山市小榄人民医院</w:t>
            </w:r>
            <w:r>
              <w:rPr>
                <w:rFonts w:hint="eastAsia" w:ascii="仿宋" w:hAnsi="仿宋" w:eastAsia="仿宋" w:cs="仿宋"/>
                <w:sz w:val="28"/>
                <w:szCs w:val="28"/>
                <w:lang w:val="en-US" w:eastAsia="zh-CN"/>
              </w:rPr>
              <w:t>口腔科设备（一批）采购</w:t>
            </w:r>
            <w:r>
              <w:rPr>
                <w:rFonts w:hint="eastAsia" w:ascii="仿宋" w:hAnsi="仿宋" w:eastAsia="仿宋" w:cs="仿宋"/>
                <w:sz w:val="28"/>
                <w:szCs w:val="28"/>
              </w:rPr>
              <w:t>项目</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w:t>2.项目地点：中山市小榄人民医院内</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ind w:firstLine="0" w:firstLineChars="0"/>
              <w:jc w:val="both"/>
              <w:rPr>
                <w:rFonts w:hint="eastAsia" w:ascii="仿宋" w:hAnsi="仿宋" w:eastAsia="仿宋" w:cs="仿宋"/>
                <w:b/>
                <w:kern w:val="2"/>
                <w:sz w:val="28"/>
                <w:szCs w:val="28"/>
                <w:lang w:val="en-US" w:eastAsia="zh-CN" w:bidi="ar-SA"/>
              </w:rPr>
            </w:pPr>
            <w:r>
              <w:rPr>
                <w:rFonts w:hint="eastAsia" w:ascii="仿宋" w:hAnsi="仿宋" w:eastAsia="仿宋" w:cs="仿宋"/>
                <w:sz w:val="28"/>
                <w:szCs w:val="28"/>
              </w:rPr>
              <w:t>二、</w:t>
            </w:r>
            <w:r>
              <w:rPr>
                <w:rFonts w:hint="eastAsia" w:ascii="仿宋" w:hAnsi="仿宋" w:eastAsia="仿宋" w:cs="仿宋"/>
                <w:b/>
                <w:sz w:val="28"/>
                <w:szCs w:val="28"/>
              </w:rPr>
              <w:t>响应供应商资质要求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before="62" w:beforeLines="20" w:line="480" w:lineRule="exact"/>
              <w:jc w:val="both"/>
              <w:rPr>
                <w:rFonts w:hint="eastAsia" w:ascii="仿宋" w:hAnsi="仿宋" w:eastAsia="仿宋" w:cs="仿宋"/>
                <w:b/>
                <w:kern w:val="2"/>
                <w:sz w:val="28"/>
                <w:szCs w:val="28"/>
                <w:lang w:val="en-US" w:eastAsia="zh-CN" w:bidi="ar-SA"/>
              </w:rPr>
            </w:pPr>
            <w:r>
              <w:rPr>
                <w:rFonts w:hint="eastAsia" w:ascii="仿宋" w:hAnsi="仿宋" w:eastAsia="仿宋" w:cs="仿宋"/>
                <w:sz w:val="28"/>
                <w:szCs w:val="28"/>
              </w:rPr>
              <w:t>1、</w:t>
            </w:r>
            <w:r>
              <w:rPr>
                <w:rFonts w:hint="eastAsia" w:ascii="仿宋" w:hAnsi="仿宋" w:eastAsia="仿宋" w:cs="仿宋"/>
                <w:b/>
                <w:sz w:val="28"/>
                <w:szCs w:val="28"/>
              </w:rPr>
              <w:t>响应供应商应满足以下要求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w:t>
            </w:r>
            <w:r>
              <w:rPr>
                <w:rFonts w:hint="eastAsia" w:ascii="仿宋" w:hAnsi="仿宋" w:eastAsia="仿宋" w:cs="仿宋"/>
                <w:color w:val="000000"/>
                <w:sz w:val="28"/>
                <w:szCs w:val="28"/>
                <w:lang w:val="en-US" w:eastAsia="zh-CN"/>
              </w:rPr>
              <w:t>.</w:t>
            </w:r>
            <w:r>
              <w:rPr>
                <w:rFonts w:hint="eastAsia" w:ascii="仿宋" w:hAnsi="仿宋" w:eastAsia="仿宋" w:cs="仿宋"/>
                <w:bCs/>
                <w:sz w:val="28"/>
                <w:szCs w:val="28"/>
              </w:rPr>
              <w:t>响应供应商</w:t>
            </w:r>
            <w:r>
              <w:rPr>
                <w:rFonts w:hint="eastAsia" w:ascii="仿宋" w:hAnsi="仿宋" w:eastAsia="仿宋" w:cs="仿宋"/>
                <w:color w:val="000000"/>
                <w:sz w:val="28"/>
                <w:szCs w:val="28"/>
              </w:rPr>
              <w:t>应具备《政府采购法》第二十二条规定的条件。</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r>
              <w:rPr>
                <w:rFonts w:hint="eastAsia" w:ascii="仿宋" w:hAnsi="仿宋" w:eastAsia="仿宋" w:cs="仿宋"/>
                <w:color w:val="000000"/>
                <w:sz w:val="28"/>
                <w:szCs w:val="28"/>
                <w:lang w:val="en-US" w:eastAsia="zh-CN"/>
              </w:rPr>
              <w:t>.</w:t>
            </w:r>
            <w:r>
              <w:rPr>
                <w:rFonts w:hint="eastAsia" w:ascii="仿宋" w:hAnsi="仿宋" w:eastAsia="仿宋" w:cs="仿宋"/>
                <w:bCs/>
                <w:sz w:val="28"/>
                <w:szCs w:val="28"/>
              </w:rPr>
              <w:t>响应供应商</w:t>
            </w:r>
            <w:r>
              <w:rPr>
                <w:rFonts w:hint="eastAsia" w:ascii="仿宋" w:hAnsi="仿宋" w:eastAsia="仿宋" w:cs="仿宋"/>
                <w:color w:val="000000"/>
                <w:sz w:val="28"/>
                <w:szCs w:val="28"/>
              </w:rPr>
              <w:t>须是在中华人民共和国境内注册的法人或其他组织，并独立于采购人和采购代理机构。</w:t>
            </w:r>
            <w:r>
              <w:rPr>
                <w:rFonts w:hint="eastAsia" w:ascii="仿宋" w:hAnsi="仿宋" w:eastAsia="仿宋" w:cs="仿宋"/>
                <w:color w:val="000000"/>
                <w:sz w:val="28"/>
                <w:szCs w:val="28"/>
                <w:highlight w:val="none"/>
              </w:rPr>
              <w:t>单位负责人为同一人或者存在直接控股、关联关系的不同投标人，不得参加同一合同项下的招标活动。</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1.3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highlight w:val="none"/>
              </w:rPr>
              <w:t>★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响应供应商必须出具合法的针对本项目的授权书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如有）</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highlight w:val="none"/>
              </w:rPr>
              <w:t>本项目不接受联合体、中标供应商不得以任何方式转包本项目。</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default"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2.响应供应商投标报价须知：</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spacing w:line="400" w:lineRule="exact"/>
              <w:ind w:firstLine="0" w:firstLineChars="0"/>
              <w:jc w:val="both"/>
              <w:rPr>
                <w:rFonts w:hint="default" w:ascii="仿宋" w:hAnsi="仿宋" w:eastAsia="仿宋" w:cs="仿宋"/>
                <w:b/>
                <w:sz w:val="28"/>
                <w:szCs w:val="28"/>
                <w:lang w:val="en-US" w:eastAsia="zh-CN"/>
              </w:rPr>
            </w:pPr>
            <w:r>
              <w:rPr>
                <w:rFonts w:hint="eastAsia" w:ascii="仿宋" w:hAnsi="仿宋" w:eastAsia="仿宋" w:cs="仿宋"/>
                <w:b w:val="0"/>
                <w:bCs/>
                <w:sz w:val="28"/>
                <w:szCs w:val="28"/>
                <w:lang w:val="en-US" w:eastAsia="zh-CN"/>
              </w:rPr>
              <w:t>2.1</w:t>
            </w:r>
            <w:r>
              <w:rPr>
                <w:rFonts w:hint="eastAsia" w:ascii="仿宋" w:hAnsi="仿宋" w:eastAsia="仿宋" w:cs="仿宋"/>
                <w:color w:val="000000"/>
                <w:sz w:val="28"/>
                <w:szCs w:val="28"/>
                <w:highlight w:val="none"/>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highlight w:val="none"/>
                <w:lang w:val="en-US" w:eastAsia="zh-CN"/>
              </w:rPr>
              <w:t>2.2</w:t>
            </w:r>
            <w:r>
              <w:rPr>
                <w:rFonts w:hint="eastAsia" w:ascii="仿宋" w:hAnsi="仿宋" w:eastAsia="仿宋" w:cs="仿宋"/>
                <w:color w:val="000000"/>
                <w:sz w:val="28"/>
                <w:szCs w:val="28"/>
                <w:highlight w:val="none"/>
              </w:rPr>
              <w:t>.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本文的“质保期”是指中标标的物经约定的验收机构完成验收之日起算，截止中标人承诺的期限。</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483" w:type="dxa"/>
            <w:shd w:val="clear" w:color="auto" w:fill="auto"/>
            <w:vAlign w:val="center"/>
          </w:tcPr>
          <w:p>
            <w:pPr>
              <w:pStyle w:val="61"/>
              <w:spacing w:line="400" w:lineRule="exact"/>
              <w:ind w:firstLine="0" w:firstLineChars="0"/>
              <w:jc w:val="both"/>
              <w:rPr>
                <w:rFonts w:hint="default" w:ascii="仿宋" w:hAnsi="仿宋" w:eastAsia="仿宋" w:cs="仿宋"/>
                <w:b/>
                <w:kern w:val="2"/>
                <w:sz w:val="28"/>
                <w:szCs w:val="28"/>
                <w:lang w:val="en-US" w:eastAsia="zh-CN" w:bidi="ar-SA"/>
              </w:rPr>
            </w:pPr>
            <w:r>
              <w:rPr>
                <w:rFonts w:hint="eastAsia" w:ascii="仿宋" w:hAnsi="仿宋" w:eastAsia="仿宋" w:cs="仿宋"/>
                <w:b/>
                <w:sz w:val="28"/>
                <w:szCs w:val="28"/>
              </w:rPr>
              <w:t>三、项目预算：</w:t>
            </w:r>
            <w:r>
              <w:rPr>
                <w:rFonts w:hint="eastAsia" w:ascii="仿宋" w:hAnsi="仿宋" w:eastAsia="仿宋" w:cs="仿宋"/>
                <w:sz w:val="28"/>
                <w:szCs w:val="28"/>
                <w:lang w:val="en-US" w:eastAsia="zh-CN"/>
              </w:rPr>
              <w:t>375500元</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604"/>
              <w:gridCol w:w="970"/>
              <w:gridCol w:w="100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90" w:type="pct"/>
                  <w:noWrap w:val="0"/>
                  <w:vAlign w:val="top"/>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526"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设备名称</w:t>
                  </w:r>
                </w:p>
              </w:tc>
              <w:tc>
                <w:tcPr>
                  <w:tcW w:w="923"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数量（套）</w:t>
                  </w:r>
                </w:p>
              </w:tc>
              <w:tc>
                <w:tcPr>
                  <w:tcW w:w="955"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预算单价</w:t>
                  </w:r>
                </w:p>
              </w:tc>
              <w:tc>
                <w:tcPr>
                  <w:tcW w:w="1004"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0" w:type="pct"/>
                  <w:noWrap w:val="0"/>
                  <w:vAlign w:val="center"/>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526"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牙科微动力系统（带动力锯）</w:t>
                  </w:r>
                </w:p>
              </w:tc>
              <w:tc>
                <w:tcPr>
                  <w:tcW w:w="923"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 </w:t>
                  </w:r>
                </w:p>
              </w:tc>
              <w:tc>
                <w:tcPr>
                  <w:tcW w:w="955"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83000</w:t>
                  </w:r>
                </w:p>
              </w:tc>
              <w:tc>
                <w:tcPr>
                  <w:tcW w:w="1004"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0" w:type="pct"/>
                  <w:noWrap w:val="0"/>
                  <w:vAlign w:val="center"/>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526"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牙科微动力系统（不带动力锯）</w:t>
                  </w:r>
                </w:p>
              </w:tc>
              <w:tc>
                <w:tcPr>
                  <w:tcW w:w="923"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5 </w:t>
                  </w:r>
                </w:p>
              </w:tc>
              <w:tc>
                <w:tcPr>
                  <w:tcW w:w="955"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8500</w:t>
                  </w:r>
                </w:p>
              </w:tc>
              <w:tc>
                <w:tcPr>
                  <w:tcW w:w="1004"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0"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3</w:t>
                  </w:r>
                </w:p>
              </w:tc>
              <w:tc>
                <w:tcPr>
                  <w:tcW w:w="1526"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超声喷砂牙周治疗仪</w:t>
                  </w:r>
                </w:p>
              </w:tc>
              <w:tc>
                <w:tcPr>
                  <w:tcW w:w="923"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 </w:t>
                  </w:r>
                </w:p>
              </w:tc>
              <w:tc>
                <w:tcPr>
                  <w:tcW w:w="955"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49000</w:t>
                  </w:r>
                </w:p>
              </w:tc>
              <w:tc>
                <w:tcPr>
                  <w:tcW w:w="1004"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0"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4</w:t>
                  </w:r>
                </w:p>
              </w:tc>
              <w:tc>
                <w:tcPr>
                  <w:tcW w:w="1526"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根管马达</w:t>
                  </w:r>
                </w:p>
              </w:tc>
              <w:tc>
                <w:tcPr>
                  <w:tcW w:w="923"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4 </w:t>
                  </w:r>
                </w:p>
              </w:tc>
              <w:tc>
                <w:tcPr>
                  <w:tcW w:w="955"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9500</w:t>
                  </w:r>
                </w:p>
              </w:tc>
              <w:tc>
                <w:tcPr>
                  <w:tcW w:w="1004"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0"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5</w:t>
                  </w:r>
                </w:p>
              </w:tc>
              <w:tc>
                <w:tcPr>
                  <w:tcW w:w="1526"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热牙胶充填器</w:t>
                  </w:r>
                </w:p>
              </w:tc>
              <w:tc>
                <w:tcPr>
                  <w:tcW w:w="923"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3 </w:t>
                  </w:r>
                </w:p>
              </w:tc>
              <w:tc>
                <w:tcPr>
                  <w:tcW w:w="955"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38000</w:t>
                  </w:r>
                </w:p>
              </w:tc>
              <w:tc>
                <w:tcPr>
                  <w:tcW w:w="1004"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114000</w:t>
                  </w:r>
                </w:p>
              </w:tc>
            </w:tr>
          </w:tbl>
          <w:p>
            <w:pPr>
              <w:pStyle w:val="61"/>
              <w:spacing w:line="400" w:lineRule="exact"/>
              <w:ind w:firstLine="0" w:firstLineChars="0"/>
              <w:jc w:val="both"/>
              <w:rPr>
                <w:rFonts w:hint="eastAsia" w:ascii="仿宋" w:hAnsi="仿宋" w:eastAsia="仿宋" w:cs="仿宋"/>
                <w:b/>
                <w:sz w:val="28"/>
                <w:szCs w:val="28"/>
              </w:rPr>
            </w:pP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numPr>
                <w:ilvl w:val="0"/>
                <w:numId w:val="5"/>
              </w:numPr>
              <w:spacing w:line="360" w:lineRule="auto"/>
              <w:rPr>
                <w:rFonts w:hint="eastAsia" w:ascii="仿宋" w:hAnsi="仿宋" w:eastAsia="仿宋" w:cs="仿宋"/>
                <w:b/>
                <w:sz w:val="28"/>
                <w:szCs w:val="28"/>
              </w:rPr>
            </w:pPr>
            <w:r>
              <w:rPr>
                <w:rFonts w:hint="eastAsia" w:ascii="仿宋" w:hAnsi="仿宋" w:eastAsia="仿宋" w:cs="仿宋"/>
                <w:b/>
                <w:color w:val="000000"/>
                <w:sz w:val="28"/>
                <w:szCs w:val="28"/>
                <w:highlight w:val="none"/>
              </w:rPr>
              <w:t>技术参数及配置要求：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val="en-US" w:eastAsia="zh-CN"/>
              </w:rPr>
              <w:t>.</w:t>
            </w:r>
            <w:r>
              <w:rPr>
                <w:rFonts w:hint="eastAsia" w:ascii="仿宋" w:hAnsi="仿宋" w:eastAsia="仿宋" w:cs="仿宋"/>
                <w:b/>
                <w:color w:val="000000"/>
                <w:sz w:val="28"/>
                <w:szCs w:val="28"/>
                <w:highlight w:val="none"/>
              </w:rPr>
              <w:t>牙科微动力系统（带动力锯）</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numPr>
                <w:ilvl w:val="1"/>
                <w:numId w:val="14"/>
              </w:numPr>
              <w:spacing w:line="360" w:lineRule="auto"/>
              <w:rPr>
                <w:rFonts w:hint="eastAsia" w:ascii="仿宋" w:hAnsi="仿宋" w:eastAsia="仿宋" w:cs="仿宋"/>
                <w:b/>
                <w:sz w:val="28"/>
                <w:szCs w:val="28"/>
              </w:rPr>
            </w:pP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双供水方式：自供水、外接生理盐水冷却（无菌冷却）。</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马达转速范围：100～40000转/分钟。</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马达参数：扭矩≥2.5N.CM，抖动≤0.02mm、噪音&lt;45dB。</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工作温升：&lt;8℃。        </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插电即用：无需外接水气管线。</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供应电压：BF型电气安全设计，90～260V宽电压设计，频率：50/60HZ。</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马达类型：直流无刷电机，含内喷水装置、高光LED灯（色温5000-5500K）。</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冷却系统：内置风冷系统。</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bCs/>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9</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多功能脚踏：程序切换、正/反转、水开关控制、无级变速控制。</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操控系统：触控程序设置调节系统+故障自诊+保护系统。</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功能模式：微创拔牙、1：1高速、1：5高速种模式可自动切换。</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马达规格：重量75g以下、直径22mm以内，有内置光纤。 </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消毒方式：马达可承受135℃高温高压灭菌。</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14</w:t>
            </w:r>
            <w:r>
              <w:rPr>
                <w:rFonts w:hint="eastAsia" w:ascii="仿宋" w:hAnsi="仿宋" w:eastAsia="仿宋" w:cs="仿宋"/>
                <w:sz w:val="28"/>
                <w:szCs w:val="28"/>
                <w:highlight w:val="none"/>
                <w:lang w:val="en-US" w:eastAsia="zh-CN"/>
              </w:rPr>
              <w:t>.</w:t>
            </w:r>
            <w:r>
              <w:rPr>
                <w:rFonts w:hint="eastAsia" w:ascii="仿宋" w:hAnsi="仿宋" w:eastAsia="仿宋" w:cs="仿宋"/>
                <w:b/>
                <w:bCs/>
                <w:sz w:val="28"/>
                <w:szCs w:val="28"/>
                <w:highlight w:val="none"/>
              </w:rPr>
              <w:t>配置要求</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.14.1.</w:t>
            </w:r>
            <w:r>
              <w:rPr>
                <w:rFonts w:hint="eastAsia" w:ascii="仿宋" w:hAnsi="仿宋" w:eastAsia="仿宋" w:cs="仿宋"/>
                <w:sz w:val="28"/>
                <w:szCs w:val="28"/>
                <w:highlight w:val="none"/>
              </w:rPr>
              <w:t xml:space="preserve">主机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1台</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电源线</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1根</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水箱</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支撑杆</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脚踏挂钩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马达带管线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1根</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手机托架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熔断器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9</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无菌输液管</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牙科弯手机   各型号8把</w:t>
            </w:r>
          </w:p>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11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小推车 1台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highlight w:val="none"/>
                <w:lang w:val="en-US" w:eastAsia="zh-CN"/>
              </w:rPr>
              <w:t>2.</w:t>
            </w:r>
            <w:r>
              <w:rPr>
                <w:rFonts w:hint="eastAsia" w:ascii="仿宋" w:hAnsi="仿宋" w:eastAsia="仿宋" w:cs="仿宋"/>
                <w:b/>
                <w:bCs/>
                <w:color w:val="000000"/>
                <w:sz w:val="28"/>
                <w:szCs w:val="28"/>
                <w:highlight w:val="none"/>
              </w:rPr>
              <w:t>牙科微动力系统（不带动力锯）</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有“拔牙模式”和“修复模式”两大模式，≥6个预设程序；拔牙模式可以配合蠕动泵和外接水弯机实现灭菌生理盐水进行拔牙（含1:1，1:3，1:4.2，1:5转速比）。修复模式可连接内水道弯机进行修复操作（含16:1，1:1，1:4.2，1:5转速比）</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增速弯机采用优质轴承，延长使用寿命。</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含不锈钢电磁阀，一键关水；</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≥3.5英寸LCD显示屏可触控并显示当前转速、转速比、正反转等信息。</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DSP处理器控制，数据处理更快。</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采用无刷电机驱动，电机寿命更持久。</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使用高亮LED灯，视野清晰。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屏幕安装支架具有随停功能，可以随时手动调节屏幕俯仰角度；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2.9.</w:t>
            </w:r>
            <w:r>
              <w:rPr>
                <w:rFonts w:hint="eastAsia" w:ascii="仿宋" w:hAnsi="仿宋" w:eastAsia="仿宋" w:cs="仿宋"/>
                <w:b/>
                <w:bCs/>
                <w:sz w:val="28"/>
                <w:szCs w:val="28"/>
                <w:highlight w:val="none"/>
              </w:rPr>
              <w:t>配置要求</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配件清单</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1、显示器1个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2、驱动模块1个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3、马达1个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4、马达消毒塞 1枚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5、马达消毒铝套1个      </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6、1:3牙科弯手机1个</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numPr>
                <w:ilvl w:val="0"/>
                <w:numId w:val="0"/>
              </w:num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超声喷砂牙周治疗仪</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具备龈上、龈下喷砂洁治，舒适洁牙，牙周治疗，根管治疗功能。</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bCs/>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2</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根据所选用工作手柄自动切换工作模式。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3</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前面板采用触控液晶屏，功能选择、工作状态指示简洁清晰。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4</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工作尖椭圆形振动轨迹，治疗、抛光一起完成，工作尖振幅小，实现无痛治疗。</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5</w:t>
            </w:r>
            <w:r>
              <w:rPr>
                <w:rStyle w:val="390"/>
                <w:rFonts w:hint="eastAsia" w:ascii="仿宋" w:hAnsi="仿宋" w:eastAsia="仿宋" w:cs="仿宋"/>
                <w:sz w:val="28"/>
                <w:szCs w:val="28"/>
                <w:highlight w:val="none"/>
                <w:lang w:val="en-US" w:eastAsia="zh-CN"/>
              </w:rPr>
              <w:t>.</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双水路切换，可实现自动供水，也可使用外接水路供水。</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6</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供水提示灯设计，更直观观察供水方式。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7</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采用钛合金工作尖，不伤牙骨质、牙釉质。</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8</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自动供水模式下可以使用双氧水、次氯酸钠、洗必泰等专用药液，提高临床治疗效果。</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9</w:t>
            </w:r>
            <w:r>
              <w:rPr>
                <w:rStyle w:val="390"/>
                <w:rFonts w:hint="eastAsia" w:ascii="仿宋" w:hAnsi="仿宋" w:eastAsia="仿宋" w:cs="仿宋"/>
                <w:sz w:val="28"/>
                <w:szCs w:val="28"/>
                <w:highlight w:val="none"/>
                <w:lang w:val="en-US" w:eastAsia="zh-CN"/>
              </w:rPr>
              <w:t>.</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水路加热功能，≥300W功率加热，可实现喷砂洁治模式下，加热水路，提高洁治舒适度。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10</w:t>
            </w:r>
            <w:r>
              <w:rPr>
                <w:rStyle w:val="390"/>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Style w:val="390"/>
                <w:rFonts w:hint="eastAsia" w:ascii="仿宋" w:hAnsi="仿宋" w:eastAsia="仿宋" w:cs="仿宋"/>
                <w:sz w:val="28"/>
                <w:szCs w:val="28"/>
                <w:highlight w:val="none"/>
              </w:rPr>
              <w:t>≥四档温度调节，按需控制洁治水温。</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11</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采用全自动频率跟踪系统，自动搜索最佳工作状态，机器性能更稳定。</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12</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喷砂手柄采用三段式设计，装卸简单，便于清洁和维护。</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13</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超声手柄和喷砂手柄可自由拔插，能在≥134℃高温和≥0.22MPa高压环境中进行灭菌处理。</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14</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喷砂手柄尾线可拆卸，便于清洁疏通和维护。</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15</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超声手柄尾线接口和喷砂手柄尾线接口带有防滑纹，便于操作。</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16</w:t>
            </w:r>
            <w:r>
              <w:rPr>
                <w:rStyle w:val="390"/>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Style w:val="390"/>
                <w:rFonts w:hint="eastAsia" w:ascii="仿宋" w:hAnsi="仿宋" w:eastAsia="仿宋" w:cs="仿宋"/>
                <w:sz w:val="28"/>
                <w:szCs w:val="28"/>
                <w:highlight w:val="none"/>
              </w:rPr>
              <w:t>全透明漏斗形粉罐，粉罐可360°旋转，能够实时观察砂粉流动情况。</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17</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龈上、龈下独立喷砂粉罐，清晰显示砂粉刻度。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18</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龈下喷嘴四孔设计，三孔出砂一孔出水，可实现360°旋转。</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19</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工作过程采用微电脑全自动控制，操作方便简介，效率高。</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20</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内置变压器，内部水电分离，更加安全。</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21</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具备清洁模式。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22</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单功能有线脚踏和多功能无线脚踏双脚踏配置。</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23</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多功能脚踏，标准模型、无水模式、清洗模式、增强模式四种脚踏功能模式。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3.24.</w:t>
            </w: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1.主机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2.电源线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3.无线脚踏开关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4.有线脚踏开关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超声手柄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 </w:t>
            </w:r>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6.工作尖</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7.限力扳手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8.喷砂手柄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w:t>
            </w:r>
          </w:p>
          <w:p>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喷砂手柄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9.粉罐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10.水瓶600ml     1 </w:t>
            </w:r>
          </w:p>
          <w:p>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水瓶1400ml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11.牙科喷砂粉     2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12.牙周消毒盒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13.喷砂消毒盒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14.编织管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15.通针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16.过滤器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17.橡胶套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18.根管扳手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19.LED灯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20.喷嘴          10</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21. 喷嘴扳手      1</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numPr>
                <w:ilvl w:val="0"/>
                <w:numId w:val="0"/>
              </w:num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根管马达</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1.手机马达：重量小于等于100g（包含电缆线重量）。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2.减速比为16：1的弯机头</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left="142" w:right="-340" w:rightChars="-162" w:hanging="165" w:hangingChars="5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3.</w:t>
            </w:r>
            <w:r>
              <w:rPr>
                <w:rFonts w:hint="eastAsia" w:ascii="仿宋" w:hAnsi="仿宋" w:eastAsia="仿宋" w:cs="仿宋"/>
                <w:color w:val="000000"/>
                <w:sz w:val="28"/>
                <w:szCs w:val="28"/>
                <w:highlight w:val="none"/>
              </w:rPr>
              <w:t xml:space="preserve"> ▲</w:t>
            </w:r>
            <w:r>
              <w:rPr>
                <w:rFonts w:hint="eastAsia" w:ascii="仿宋" w:hAnsi="仿宋" w:eastAsia="仿宋" w:cs="仿宋"/>
                <w:sz w:val="28"/>
                <w:szCs w:val="28"/>
                <w:highlight w:val="none"/>
              </w:rPr>
              <w:t>马达可以调节的程序：转速，扭矩，减速比三个数据为一组，马达可以保存9个程序或以上。</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4.</w:t>
            </w:r>
            <w:r>
              <w:rPr>
                <w:rFonts w:hint="eastAsia" w:ascii="仿宋" w:hAnsi="仿宋" w:eastAsia="仿宋" w:cs="仿宋"/>
                <w:color w:val="000000"/>
                <w:sz w:val="28"/>
                <w:szCs w:val="28"/>
                <w:highlight w:val="none"/>
              </w:rPr>
              <w:t xml:space="preserve"> ▲</w:t>
            </w:r>
            <w:r>
              <w:rPr>
                <w:rFonts w:hint="eastAsia" w:ascii="仿宋" w:hAnsi="仿宋" w:eastAsia="仿宋" w:cs="仿宋"/>
                <w:sz w:val="28"/>
                <w:szCs w:val="28"/>
                <w:highlight w:val="none"/>
              </w:rPr>
              <w:t>转速可调节范围：120 – 800 rpm</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5.扭矩可调节范围：0.6~5.2Ncm</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left="240" w:hanging="280" w:hanging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6.马达含有自动反转功能（挫在根管内遇到的阻力大于马达的设定值时，锉自动停止逆时针转出根管，有效防止断针）。</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7.同时兼容我院现有的镍钛器械。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8.马达机头≥6个方向调节、无论前牙后牙上颌下颌均能轻松预备。</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spacing w:line="360" w:lineRule="auto"/>
              <w:ind w:firstLine="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4.9.</w:t>
            </w: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1．控制主机 1部</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2．AC充电器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3．电动马达手机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4．弯机头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5．机头座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6．F类喷嘴（用于润滑）1个</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7．马达机头连接线1条</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热牙胶充填器</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Chars="0"/>
              <w:jc w:val="left"/>
              <w:rPr>
                <w:rFonts w:hint="eastAsia" w:ascii="仿宋" w:hAnsi="仿宋" w:eastAsia="仿宋" w:cs="仿宋"/>
                <w:sz w:val="28"/>
                <w:szCs w:val="28"/>
                <w:highlight w:val="none"/>
                <w:lang w:val="en-US" w:eastAsia="zh-CN"/>
              </w:rPr>
            </w:pPr>
            <w:r>
              <w:rPr>
                <w:rFonts w:hint="eastAsia" w:ascii="仿宋" w:hAnsi="仿宋" w:eastAsia="仿宋" w:cs="仿宋"/>
                <w:bCs/>
                <w:sz w:val="28"/>
                <w:szCs w:val="28"/>
                <w:highlight w:val="none"/>
                <w:lang w:val="en-US" w:eastAsia="zh-CN"/>
              </w:rPr>
              <w:t>5.1</w:t>
            </w:r>
            <w:r>
              <w:rPr>
                <w:rFonts w:hint="eastAsia" w:ascii="仿宋" w:hAnsi="仿宋" w:eastAsia="仿宋" w:cs="仿宋"/>
                <w:bCs/>
                <w:sz w:val="28"/>
                <w:szCs w:val="28"/>
                <w:highlight w:val="none"/>
              </w:rPr>
              <w:t>加热手柄要求：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1.</w:t>
            </w:r>
            <w:r>
              <w:rPr>
                <w:rFonts w:hint="eastAsia" w:ascii="仿宋" w:hAnsi="仿宋" w:eastAsia="仿宋" w:cs="仿宋"/>
                <w:bCs/>
                <w:sz w:val="28"/>
                <w:szCs w:val="28"/>
                <w:highlight w:val="none"/>
              </w:rPr>
              <w:t>用于根尖三分之一的充填，可以填副根管和侧枝根管；</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2.</w:t>
            </w:r>
            <w:r>
              <w:rPr>
                <w:rFonts w:hint="eastAsia" w:ascii="仿宋" w:hAnsi="仿宋" w:eastAsia="仿宋" w:cs="仿宋"/>
                <w:bCs/>
                <w:sz w:val="28"/>
                <w:szCs w:val="28"/>
                <w:highlight w:val="none"/>
              </w:rPr>
              <w:t>主机上有LED显示，显示即刻温度；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3.</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操作温度：100度-230度可调；</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4.</w:t>
            </w:r>
            <w:r>
              <w:rPr>
                <w:rFonts w:hint="eastAsia" w:ascii="仿宋" w:hAnsi="仿宋" w:eastAsia="仿宋" w:cs="仿宋"/>
                <w:bCs/>
                <w:sz w:val="28"/>
                <w:szCs w:val="28"/>
                <w:highlight w:val="none"/>
              </w:rPr>
              <w:t>枪尖的温度能自主精确控制；</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5.</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加热超过4秒，自动断电。</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6.</w:t>
            </w:r>
            <w:r>
              <w:rPr>
                <w:rFonts w:hint="eastAsia" w:ascii="仿宋" w:hAnsi="仿宋" w:eastAsia="仿宋" w:cs="仿宋"/>
                <w:bCs/>
                <w:sz w:val="28"/>
                <w:szCs w:val="28"/>
                <w:highlight w:val="none"/>
              </w:rPr>
              <w:t>停止加热5秒，10秒报时。</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
                <w:bCs w:val="0"/>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7</w:t>
            </w:r>
            <w:r>
              <w:rPr>
                <w:rFonts w:hint="eastAsia" w:ascii="仿宋" w:hAnsi="仿宋" w:eastAsia="仿宋" w:cs="仿宋"/>
                <w:bCs/>
                <w:sz w:val="28"/>
                <w:szCs w:val="28"/>
                <w:highlight w:val="none"/>
              </w:rPr>
              <w:t>枪尖的温度一旦下降，加热电源智能补充热能；</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8</w:t>
            </w:r>
            <w:r>
              <w:rPr>
                <w:rFonts w:hint="eastAsia" w:ascii="仿宋" w:hAnsi="仿宋" w:eastAsia="仿宋" w:cs="仿宋"/>
                <w:bCs/>
                <w:sz w:val="28"/>
                <w:szCs w:val="28"/>
                <w:highlight w:val="none"/>
              </w:rPr>
              <w:t>枪尖温度达到设定的温度，加热电源自动关闭到低的水平，保持预设温度；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sz w:val="28"/>
                <w:szCs w:val="28"/>
                <w:highlight w:val="none"/>
                <w:lang w:val="en-US" w:eastAsia="zh-CN"/>
              </w:rPr>
              <w:t>5.2</w:t>
            </w:r>
            <w:r>
              <w:rPr>
                <w:rFonts w:hint="eastAsia" w:ascii="仿宋" w:hAnsi="仿宋" w:eastAsia="仿宋" w:cs="仿宋"/>
                <w:bCs/>
                <w:sz w:val="28"/>
                <w:szCs w:val="28"/>
                <w:highlight w:val="none"/>
              </w:rPr>
              <w:t>充填手柄要求：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1.</w:t>
            </w:r>
            <w:r>
              <w:rPr>
                <w:rFonts w:hint="eastAsia" w:ascii="仿宋" w:hAnsi="仿宋" w:eastAsia="仿宋" w:cs="仿宋"/>
                <w:bCs/>
                <w:sz w:val="28"/>
                <w:szCs w:val="28"/>
                <w:highlight w:val="none"/>
              </w:rPr>
              <w:t>用于根管上部三分之二充填；</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2.</w:t>
            </w:r>
            <w:r>
              <w:rPr>
                <w:rFonts w:hint="eastAsia" w:ascii="仿宋" w:hAnsi="仿宋" w:eastAsia="仿宋" w:cs="仿宋"/>
                <w:bCs/>
                <w:sz w:val="28"/>
                <w:szCs w:val="28"/>
                <w:highlight w:val="none"/>
              </w:rPr>
              <w:t>数控电脑精确控制温度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3.</w:t>
            </w:r>
            <w:r>
              <w:rPr>
                <w:rFonts w:hint="eastAsia" w:ascii="仿宋" w:hAnsi="仿宋" w:eastAsia="仿宋" w:cs="仿宋"/>
                <w:bCs/>
                <w:sz w:val="28"/>
                <w:szCs w:val="28"/>
                <w:highlight w:val="none"/>
              </w:rPr>
              <w:t xml:space="preserve">温度精确，200度： </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4.</w:t>
            </w:r>
            <w:r>
              <w:rPr>
                <w:rFonts w:hint="eastAsia" w:ascii="仿宋" w:hAnsi="仿宋" w:eastAsia="仿宋" w:cs="仿宋"/>
                <w:bCs/>
                <w:sz w:val="28"/>
                <w:szCs w:val="28"/>
                <w:highlight w:val="none"/>
              </w:rPr>
              <w:t>温升快，≤60秒完成充填；</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5.</w:t>
            </w:r>
            <w:r>
              <w:rPr>
                <w:rFonts w:hint="eastAsia" w:ascii="仿宋" w:hAnsi="仿宋" w:eastAsia="仿宋" w:cs="仿宋"/>
                <w:bCs/>
                <w:sz w:val="28"/>
                <w:szCs w:val="28"/>
                <w:highlight w:val="none"/>
              </w:rPr>
              <w:t>均匀平衡输送热塑软化牙胶；</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6.</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充填子弹头有</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2种直径，</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3种规格。</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83" w:leftChars="0" w:hanging="363" w:firstLineChars="0"/>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7.</w:t>
            </w:r>
            <w:r>
              <w:rPr>
                <w:rFonts w:hint="eastAsia" w:ascii="仿宋" w:hAnsi="仿宋" w:eastAsia="仿宋" w:cs="仿宋"/>
                <w:bCs/>
                <w:sz w:val="28"/>
                <w:szCs w:val="28"/>
                <w:highlight w:val="none"/>
              </w:rPr>
              <w:t>枪尖保持设定恒温；</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83" w:leftChars="0" w:hanging="363" w:firstLineChars="0"/>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sz w:val="28"/>
                <w:szCs w:val="28"/>
                <w:highlight w:val="none"/>
                <w:lang w:val="en-US" w:eastAsia="zh-CN"/>
              </w:rPr>
              <w:t>5</w:t>
            </w:r>
            <w:r>
              <w:rPr>
                <w:rFonts w:hint="eastAsia" w:ascii="仿宋" w:hAnsi="仿宋" w:eastAsia="仿宋" w:cs="仿宋"/>
                <w:bCs/>
                <w:color w:val="000000"/>
                <w:kern w:val="2"/>
                <w:sz w:val="28"/>
                <w:szCs w:val="28"/>
                <w:lang w:val="en-US" w:eastAsia="zh-CN" w:bidi="ar-SA"/>
              </w:rPr>
              <w:t>.2.</w:t>
            </w:r>
            <w:r>
              <w:rPr>
                <w:rFonts w:hint="default" w:ascii="仿宋" w:hAnsi="仿宋" w:eastAsia="仿宋" w:cs="仿宋"/>
                <w:bCs/>
                <w:color w:val="000000"/>
                <w:kern w:val="2"/>
                <w:sz w:val="28"/>
                <w:szCs w:val="28"/>
                <w:lang w:val="en-US" w:eastAsia="zh-CN" w:bidi="ar-SA"/>
              </w:rPr>
              <w:t>8.</w:t>
            </w:r>
            <w:r>
              <w:rPr>
                <w:rFonts w:hint="eastAsia" w:ascii="仿宋" w:hAnsi="仿宋" w:eastAsia="仿宋" w:cs="仿宋"/>
                <w:bCs/>
                <w:color w:val="000000"/>
                <w:kern w:val="2"/>
                <w:sz w:val="28"/>
                <w:szCs w:val="28"/>
                <w:lang w:val="en-US" w:eastAsia="zh-CN" w:bidi="ar-SA"/>
              </w:rPr>
              <w:t>注射牙胶的速度</w:t>
            </w:r>
            <w:r>
              <w:rPr>
                <w:rFonts w:hint="eastAsia" w:ascii="仿宋" w:hAnsi="仿宋" w:eastAsia="仿宋" w:cs="仿宋"/>
                <w:bCs/>
                <w:sz w:val="28"/>
                <w:szCs w:val="28"/>
                <w:highlight w:val="none"/>
              </w:rPr>
              <w:t>可选；</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0" w:leftChars="0" w:firstLine="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sz w:val="28"/>
                <w:szCs w:val="28"/>
                <w:highlight w:val="none"/>
                <w:lang w:val="en-US" w:eastAsia="zh-CN"/>
              </w:rPr>
              <w:t>5.3</w:t>
            </w:r>
            <w:r>
              <w:rPr>
                <w:rFonts w:hint="eastAsia" w:ascii="仿宋" w:hAnsi="仿宋" w:eastAsia="仿宋" w:cs="仿宋"/>
                <w:bCs/>
                <w:sz w:val="28"/>
                <w:szCs w:val="28"/>
                <w:highlight w:val="none"/>
              </w:rPr>
              <w:t>智能控制器（主机）要求：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firstLine="363" w:firstLineChars="0"/>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5.3.</w:t>
            </w:r>
            <w:r>
              <w:rPr>
                <w:rFonts w:hint="default" w:ascii="仿宋" w:hAnsi="仿宋" w:eastAsia="仿宋" w:cs="仿宋"/>
                <w:bCs/>
                <w:color w:val="000000"/>
                <w:kern w:val="2"/>
                <w:sz w:val="28"/>
                <w:szCs w:val="28"/>
                <w:lang w:val="en-US" w:eastAsia="zh-CN" w:bidi="ar-SA"/>
              </w:rPr>
              <w:t>1.</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带LCD视窗，显示各种信息和设定参数；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firstLine="363"/>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5.3.</w:t>
            </w:r>
            <w:r>
              <w:rPr>
                <w:rFonts w:hint="default" w:ascii="仿宋" w:hAnsi="仿宋" w:eastAsia="仿宋" w:cs="仿宋"/>
                <w:bCs/>
                <w:color w:val="000000"/>
                <w:kern w:val="2"/>
                <w:sz w:val="28"/>
                <w:szCs w:val="28"/>
                <w:lang w:val="en-US" w:eastAsia="zh-CN" w:bidi="ar-SA"/>
              </w:rPr>
              <w:t>2.</w:t>
            </w:r>
            <w:r>
              <w:rPr>
                <w:rFonts w:hint="eastAsia" w:ascii="仿宋" w:hAnsi="仿宋" w:eastAsia="仿宋" w:cs="仿宋"/>
                <w:bCs/>
                <w:sz w:val="28"/>
                <w:szCs w:val="28"/>
                <w:highlight w:val="none"/>
              </w:rPr>
              <w:t xml:space="preserve">人体工学触摸按键; </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firstLine="363"/>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5.3.</w:t>
            </w:r>
            <w:r>
              <w:rPr>
                <w:rFonts w:hint="default" w:ascii="仿宋" w:hAnsi="仿宋" w:eastAsia="仿宋" w:cs="仿宋"/>
                <w:bCs/>
                <w:color w:val="000000"/>
                <w:kern w:val="2"/>
                <w:sz w:val="28"/>
                <w:szCs w:val="28"/>
                <w:lang w:val="en-US" w:eastAsia="zh-CN" w:bidi="ar-SA"/>
              </w:rPr>
              <w:t>3.</w:t>
            </w:r>
            <w:r>
              <w:rPr>
                <w:rFonts w:hint="eastAsia" w:ascii="仿宋" w:hAnsi="仿宋" w:eastAsia="仿宋" w:cs="仿宋"/>
                <w:bCs/>
                <w:sz w:val="28"/>
                <w:szCs w:val="28"/>
                <w:highlight w:val="none"/>
              </w:rPr>
              <w:t>台式设计，外形美观，表面光滑，易清洁；</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firstLine="363"/>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5.3.</w:t>
            </w:r>
            <w:r>
              <w:rPr>
                <w:rFonts w:hint="default" w:ascii="仿宋" w:hAnsi="仿宋" w:eastAsia="仿宋" w:cs="仿宋"/>
                <w:bCs/>
                <w:color w:val="000000"/>
                <w:kern w:val="2"/>
                <w:sz w:val="28"/>
                <w:szCs w:val="28"/>
                <w:lang w:val="en-US" w:eastAsia="zh-CN" w:bidi="ar-SA"/>
              </w:rPr>
              <w:t>4.</w:t>
            </w:r>
            <w:r>
              <w:rPr>
                <w:rFonts w:hint="eastAsia" w:ascii="仿宋" w:hAnsi="仿宋" w:eastAsia="仿宋" w:cs="仿宋"/>
                <w:bCs/>
                <w:sz w:val="28"/>
                <w:szCs w:val="28"/>
                <w:highlight w:val="none"/>
              </w:rPr>
              <w:t>能连接并精确控制充填笔和枪；</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firstLine="363" w:firstLineChars="0"/>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5.3.</w:t>
            </w:r>
            <w:r>
              <w:rPr>
                <w:rFonts w:hint="default" w:ascii="仿宋" w:hAnsi="仿宋" w:eastAsia="仿宋" w:cs="仿宋"/>
                <w:bCs/>
                <w:color w:val="000000"/>
                <w:kern w:val="2"/>
                <w:sz w:val="28"/>
                <w:szCs w:val="28"/>
                <w:lang w:val="en-US" w:eastAsia="zh-CN" w:bidi="ar-SA"/>
              </w:rPr>
              <w:t>5.</w:t>
            </w:r>
            <w:r>
              <w:rPr>
                <w:rFonts w:hint="eastAsia" w:ascii="仿宋" w:hAnsi="仿宋" w:eastAsia="仿宋" w:cs="仿宋"/>
                <w:bCs/>
                <w:sz w:val="28"/>
                <w:szCs w:val="28"/>
                <w:highlight w:val="none"/>
              </w:rPr>
              <w:t>可控制左侧手柄可实现两种功能；</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spacing w:line="360" w:lineRule="auto"/>
              <w:jc w:val="left"/>
              <w:rPr>
                <w:rFonts w:hint="eastAsia" w:ascii="仿宋" w:hAnsi="仿宋" w:eastAsia="宋体" w:cs="仿宋"/>
                <w:b/>
                <w:bCs/>
                <w:sz w:val="28"/>
                <w:szCs w:val="28"/>
                <w:highlight w:val="none"/>
                <w:lang w:eastAsia="zh-CN"/>
              </w:rPr>
            </w:pPr>
            <w:r>
              <w:rPr>
                <w:rFonts w:hint="eastAsia" w:ascii="仿宋" w:hAnsi="仿宋" w:eastAsia="仿宋" w:cs="仿宋"/>
                <w:b/>
                <w:bCs/>
                <w:sz w:val="28"/>
                <w:szCs w:val="28"/>
                <w:highlight w:val="none"/>
                <w:lang w:val="en-US" w:eastAsia="zh-CN"/>
              </w:rPr>
              <w:t>5.4.</w:t>
            </w: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eastAsia="宋体"/>
                <w:sz w:val="28"/>
                <w:szCs w:val="28"/>
                <w:highlight w:val="none"/>
                <w:lang w:eastAsia="zh-CN"/>
              </w:rPr>
              <w:t>：</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1、</w:t>
            </w:r>
            <w:r>
              <w:rPr>
                <w:rFonts w:hint="eastAsia" w:ascii="仿宋" w:hAnsi="仿宋" w:eastAsia="仿宋" w:cs="仿宋"/>
                <w:bCs/>
                <w:sz w:val="28"/>
                <w:szCs w:val="28"/>
                <w:highlight w:val="none"/>
              </w:rPr>
              <w:t>主机：1台</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2、</w:t>
            </w:r>
            <w:r>
              <w:rPr>
                <w:rFonts w:hint="eastAsia" w:ascii="仿宋" w:hAnsi="仿宋" w:eastAsia="仿宋" w:cs="仿宋"/>
                <w:bCs/>
                <w:sz w:val="28"/>
                <w:szCs w:val="28"/>
                <w:highlight w:val="none"/>
              </w:rPr>
              <w:t>加热手柄：1支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3、</w:t>
            </w:r>
            <w:r>
              <w:rPr>
                <w:rFonts w:hint="eastAsia" w:ascii="仿宋" w:hAnsi="仿宋" w:eastAsia="仿宋" w:cs="仿宋"/>
                <w:bCs/>
                <w:sz w:val="28"/>
                <w:szCs w:val="28"/>
                <w:highlight w:val="none"/>
              </w:rPr>
              <w:t>加热手柄保护套：1支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4、</w:t>
            </w:r>
            <w:r>
              <w:rPr>
                <w:rFonts w:hint="eastAsia" w:ascii="仿宋" w:hAnsi="仿宋" w:eastAsia="仿宋" w:cs="仿宋"/>
                <w:bCs/>
                <w:sz w:val="28"/>
                <w:szCs w:val="28"/>
                <w:highlight w:val="none"/>
              </w:rPr>
              <w:t>加热手柄隔热套：2支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5、</w:t>
            </w:r>
            <w:r>
              <w:rPr>
                <w:rFonts w:hint="eastAsia" w:ascii="仿宋" w:hAnsi="仿宋" w:eastAsia="仿宋" w:cs="仿宋"/>
                <w:bCs/>
                <w:sz w:val="28"/>
                <w:szCs w:val="28"/>
                <w:highlight w:val="none"/>
              </w:rPr>
              <w:t>工作尖：1支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6、</w:t>
            </w:r>
            <w:r>
              <w:rPr>
                <w:rFonts w:hint="eastAsia" w:ascii="仿宋" w:hAnsi="仿宋" w:eastAsia="仿宋" w:cs="仿宋"/>
                <w:bCs/>
                <w:sz w:val="28"/>
                <w:szCs w:val="28"/>
                <w:highlight w:val="none"/>
              </w:rPr>
              <w:t>电源适配器线：1条</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7、</w:t>
            </w:r>
            <w:r>
              <w:rPr>
                <w:rFonts w:hint="eastAsia" w:ascii="仿宋" w:hAnsi="仿宋" w:eastAsia="仿宋" w:cs="仿宋"/>
                <w:bCs/>
                <w:sz w:val="28"/>
                <w:szCs w:val="28"/>
                <w:highlight w:val="none"/>
              </w:rPr>
              <w:t>使用说明书：1本</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8、</w:t>
            </w:r>
            <w:r>
              <w:rPr>
                <w:rFonts w:hint="eastAsia" w:ascii="仿宋" w:hAnsi="仿宋" w:eastAsia="仿宋" w:cs="仿宋"/>
                <w:bCs/>
                <w:sz w:val="28"/>
                <w:szCs w:val="28"/>
                <w:highlight w:val="none"/>
              </w:rPr>
              <w:t>充填手柄:1支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9、</w:t>
            </w:r>
            <w:r>
              <w:rPr>
                <w:rFonts w:hint="eastAsia" w:ascii="仿宋" w:hAnsi="仿宋" w:eastAsia="仿宋" w:cs="仿宋"/>
                <w:bCs/>
                <w:sz w:val="28"/>
                <w:szCs w:val="28"/>
                <w:highlight w:val="none"/>
              </w:rPr>
              <w:t>充填手柄保护套：1支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10、</w:t>
            </w:r>
            <w:r>
              <w:rPr>
                <w:rFonts w:hint="eastAsia" w:ascii="仿宋" w:hAnsi="仿宋" w:eastAsia="仿宋" w:cs="仿宋"/>
                <w:bCs/>
                <w:sz w:val="28"/>
                <w:szCs w:val="28"/>
                <w:highlight w:val="none"/>
              </w:rPr>
              <w:t>充填手柄隔热套：2只</w:t>
            </w:r>
          </w:p>
          <w:p>
            <w:pPr>
              <w:pStyle w:val="391"/>
              <w:numPr>
                <w:ilvl w:val="0"/>
                <w:numId w:val="0"/>
              </w:numPr>
              <w:spacing w:line="360" w:lineRule="auto"/>
              <w:ind w:left="36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color w:val="000000"/>
                <w:kern w:val="2"/>
                <w:sz w:val="28"/>
                <w:szCs w:val="28"/>
                <w:lang w:val="en-US" w:eastAsia="zh-CN" w:bidi="ar-SA"/>
              </w:rPr>
              <w:t>11、</w:t>
            </w:r>
            <w:r>
              <w:rPr>
                <w:rFonts w:hint="eastAsia" w:ascii="仿宋" w:hAnsi="仿宋" w:eastAsia="仿宋" w:cs="仿宋"/>
                <w:bCs/>
                <w:sz w:val="28"/>
                <w:szCs w:val="28"/>
                <w:highlight w:val="none"/>
              </w:rPr>
              <w:t>预弯器：1支</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numPr>
                <w:ilvl w:val="0"/>
                <w:numId w:val="15"/>
              </w:numPr>
              <w:spacing w:line="440" w:lineRule="exact"/>
              <w:ind w:firstLineChars="0"/>
              <w:rPr>
                <w:rFonts w:hint="eastAsia" w:ascii="仿宋" w:hAnsi="仿宋" w:eastAsia="仿宋" w:cs="仿宋"/>
                <w:sz w:val="28"/>
                <w:szCs w:val="28"/>
                <w:highlight w:val="none"/>
                <w:lang w:val="en-US" w:eastAsia="zh-CN"/>
              </w:rPr>
            </w:pPr>
            <w:r>
              <w:rPr>
                <w:rFonts w:hint="eastAsia" w:ascii="仿宋" w:hAnsi="仿宋" w:eastAsia="仿宋" w:cs="仿宋"/>
                <w:b/>
                <w:color w:val="000000"/>
                <w:sz w:val="28"/>
                <w:szCs w:val="28"/>
                <w:highlight w:val="none"/>
              </w:rPr>
              <w:t>商务要求：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numPr>
                <w:ilvl w:val="0"/>
                <w:numId w:val="16"/>
              </w:numPr>
              <w:spacing w:line="440" w:lineRule="exact"/>
            </w:pPr>
            <w:r>
              <w:rPr>
                <w:rFonts w:hint="eastAsia" w:ascii="仿宋" w:hAnsi="仿宋" w:eastAsia="仿宋" w:cs="仿宋"/>
                <w:b/>
                <w:color w:val="000000"/>
                <w:sz w:val="28"/>
                <w:szCs w:val="28"/>
                <w:highlight w:val="none"/>
              </w:rPr>
              <w:t>交货及安装、验收要求</w:t>
            </w:r>
          </w:p>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1.1交货地点：采购人指定地点。</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8"/>
                <w:szCs w:val="28"/>
                <w:highlight w:val="none"/>
                <w:u w:val="single"/>
              </w:rPr>
              <w:t xml:space="preserve">  30  </w:t>
            </w:r>
            <w:r>
              <w:rPr>
                <w:rFonts w:hint="eastAsia" w:ascii="仿宋" w:hAnsi="仿宋" w:eastAsia="仿宋" w:cs="仿宋"/>
                <w:color w:val="000000"/>
                <w:sz w:val="28"/>
                <w:szCs w:val="28"/>
                <w:highlight w:val="none"/>
              </w:rPr>
              <w:t>日内完成设备的安装调试。</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1.3合同设备交付时中标供应商应提供合同设备真实有效的生产日期，且保证合同设备的生产日期距交付时的时间差国产设备不超过3个月，进口设备不超过12个月。</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1.4中标供应商须保证中标后所提供的设备为原装、全新合格的产品。</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1.5中标供应商负责派技术人员到现场进行安装调试，直至验收合格，安装调试所需费用应包含在投标总报价内；同时提供培训服务，必须保证需求科室操作人员融会贯通，培训所需费用全部包含在总报价内。</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1.6验收方式：按《小榄镇公立医院政府采购和验收办法》。</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★1.7投标供应商须要在投标文件做出具承诺函，该承诺函包括但不限于以下内容:</w:t>
            </w:r>
          </w:p>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承诺中标后须在中标公告发布之日起五个工作日内提供设备制造厂商开具并盖章的合法有效的授权函原件（盖鲜章）、售后服务承诺函原件（盖鲜章）。</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1.8乙方所投设备属于计量仪器的，需通过具有国家部门颁发专业检测资质证书的第三方计量检测单位检测并提供合格报告。</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b/>
                <w:color w:val="000000"/>
                <w:sz w:val="28"/>
                <w:szCs w:val="28"/>
                <w:highlight w:val="none"/>
              </w:rPr>
              <w:t>2.售后服务要求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tabs>
                <w:tab w:val="left" w:pos="420"/>
              </w:tabs>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2.1中标供应商必须在中国境内有售后服务机构，并附有售后服务能力说明。</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★2.2中标供应商须提供设备原厂质保（设备原厂质量保修范围和保修期）至少为</w:t>
            </w:r>
            <w:r>
              <w:rPr>
                <w:rFonts w:hint="eastAsia" w:ascii="仿宋" w:hAnsi="仿宋" w:eastAsia="仿宋" w:cs="仿宋"/>
                <w:color w:val="000000"/>
                <w:sz w:val="28"/>
                <w:szCs w:val="28"/>
                <w:highlight w:val="none"/>
                <w:u w:val="single"/>
              </w:rPr>
              <w:t xml:space="preserve"> 1 </w:t>
            </w:r>
            <w:r>
              <w:rPr>
                <w:rFonts w:hint="eastAsia" w:ascii="仿宋" w:hAnsi="仿宋" w:eastAsia="仿宋" w:cs="仿宋"/>
                <w:color w:val="000000"/>
                <w:sz w:val="28"/>
                <w:szCs w:val="28"/>
                <w:highlight w:val="none"/>
              </w:rPr>
              <w:t>年。</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2.3在售后期内，中标供应商在接到用户的维修通知，响应时间为半小时内，工程师到达现场时间为4小时内，排除故障时限为到达现场后8小时内。</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2.4如果产品故障在检修12小时后仍无法排除，中标供应商应在24小时内提供不低于故障产品规格型号档次的备用产品供采购人使用，直至故障产品修复。</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b/>
                <w:color w:val="000000"/>
                <w:sz w:val="28"/>
                <w:szCs w:val="28"/>
                <w:highlight w:val="none"/>
              </w:rPr>
              <w:t>3.付款方式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★3.1本合同的每笔款项以人民币转账方式支付，合同设备到采购人指定地点交付并完成安装，验收合格后，中标单位凭：</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（1）合同；</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（2）验收调试合格报告（加盖采购人公章）；</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（3）中标供应商开具的正式发票（加盖发票专用章）。</w:t>
            </w:r>
          </w:p>
          <w:p>
            <w:pPr>
              <w:rPr>
                <w:rFonts w:ascii="宋体" w:hAnsi="宋体" w:cs="宋体"/>
                <w:sz w:val="28"/>
                <w:szCs w:val="28"/>
              </w:rPr>
            </w:pPr>
            <w:r>
              <w:rPr>
                <w:rFonts w:hint="eastAsia" w:ascii="仿宋" w:hAnsi="仿宋" w:eastAsia="仿宋" w:cs="仿宋"/>
                <w:color w:val="000000"/>
                <w:sz w:val="28"/>
                <w:szCs w:val="28"/>
                <w:highlight w:val="none"/>
              </w:rPr>
              <w:t>★3.2</w:t>
            </w:r>
            <w:r>
              <w:rPr>
                <w:rFonts w:hint="eastAsia" w:ascii="仿宋" w:hAnsi="仿宋" w:eastAsia="仿宋" w:cs="仿宋"/>
                <w:sz w:val="28"/>
                <w:szCs w:val="28"/>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8"/>
                <w:szCs w:val="28"/>
                <w:highlight w:val="none"/>
                <w:u w:val="single"/>
                <w:lang w:val="en-US" w:eastAsia="zh-CN"/>
              </w:rPr>
              <w:t>质保期满</w:t>
            </w:r>
            <w:r>
              <w:rPr>
                <w:rFonts w:hint="eastAsia" w:ascii="仿宋" w:hAnsi="仿宋" w:eastAsia="仿宋" w:cs="仿宋"/>
                <w:sz w:val="28"/>
                <w:szCs w:val="28"/>
                <w:highlight w:val="none"/>
              </w:rPr>
              <w:t>后</w:t>
            </w:r>
            <w:r>
              <w:rPr>
                <w:rFonts w:hint="eastAsia"/>
                <w:sz w:val="28"/>
                <w:szCs w:val="28"/>
                <w:highlight w:val="none"/>
                <w:lang w:val="en-US" w:eastAsia="zh-CN"/>
              </w:rPr>
              <w:t>一次性</w:t>
            </w:r>
            <w:r>
              <w:rPr>
                <w:rFonts w:hint="eastAsia" w:ascii="仿宋" w:hAnsi="仿宋" w:eastAsia="仿宋" w:cs="仿宋"/>
                <w:sz w:val="28"/>
                <w:szCs w:val="28"/>
                <w:highlight w:val="none"/>
              </w:rPr>
              <w:t>无息支付。</w:t>
            </w:r>
          </w:p>
          <w:p>
            <w:pPr>
              <w:pStyle w:val="61"/>
              <w:numPr>
                <w:ilvl w:val="0"/>
                <w:numId w:val="0"/>
              </w:numPr>
              <w:spacing w:line="400" w:lineRule="exact"/>
              <w:ind w:leftChars="0"/>
              <w:jc w:val="both"/>
              <w:rPr>
                <w:rFonts w:hint="eastAsia" w:ascii="仿宋" w:hAnsi="仿宋" w:eastAsia="仿宋" w:cs="仿宋"/>
                <w:b/>
                <w:sz w:val="28"/>
                <w:szCs w:val="28"/>
                <w:lang w:val="en-US" w:eastAsia="zh-CN"/>
              </w:rPr>
            </w:pP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bl>
    <w:p>
      <w:pPr>
        <w:rPr>
          <w:rFonts w:hint="eastAsia" w:ascii="仿宋" w:hAnsi="仿宋" w:eastAsia="仿宋" w:cs="仿宋"/>
          <w:sz w:val="28"/>
          <w:szCs w:val="28"/>
          <w:highlight w:val="none"/>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供应商名称（加盖公章）：</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法定代表人或其委托人签字：</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pPr>
        <w:rPr>
          <w:rFonts w:hint="eastAsia" w:ascii="仿宋" w:hAnsi="仿宋" w:eastAsia="仿宋" w:cs="仿宋"/>
          <w:sz w:val="28"/>
          <w:szCs w:val="28"/>
          <w:highlight w:val="none"/>
          <w:lang w:val="en-US" w:eastAsia="zh-CN"/>
        </w:rPr>
      </w:pPr>
    </w:p>
    <w:p>
      <w:pPr>
        <w:pStyle w:val="2"/>
        <w:keepNext/>
        <w:keepLines/>
        <w:pageBreakBefore w:val="0"/>
        <w:widowControl w:val="0"/>
        <w:numPr>
          <w:ilvl w:val="0"/>
          <w:numId w:val="17"/>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
          <w:sz w:val="28"/>
          <w:szCs w:val="28"/>
        </w:rPr>
      </w:pPr>
      <w:r>
        <w:rPr>
          <w:rFonts w:hint="eastAsia" w:ascii="仿宋" w:hAnsi="仿宋" w:eastAsia="仿宋" w:cs="仿宋"/>
          <w:b/>
          <w:sz w:val="28"/>
          <w:szCs w:val="28"/>
        </w:rPr>
        <w:t>报价单</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分项报价详见P34“（2.1）分项报价明细”</w:t>
      </w:r>
      <w:r>
        <w:rPr>
          <w:rFonts w:hint="eastAsia" w:ascii="仿宋" w:hAnsi="仿宋" w:eastAsia="仿宋" w:cs="仿宋"/>
          <w:b/>
          <w:sz w:val="28"/>
          <w:szCs w:val="28"/>
          <w:lang w:eastAsia="zh-CN"/>
        </w:rPr>
        <w:t>）</w:t>
      </w:r>
    </w:p>
    <w:p>
      <w:pPr>
        <w:spacing w:line="600" w:lineRule="exact"/>
        <w:rPr>
          <w:rFonts w:hint="eastAsia" w:ascii="仿宋" w:hAnsi="仿宋" w:eastAsia="仿宋" w:cs="仿宋"/>
          <w:sz w:val="28"/>
          <w:szCs w:val="28"/>
        </w:rPr>
      </w:pPr>
      <w:r>
        <w:rPr>
          <w:rFonts w:hint="eastAsia" w:ascii="仿宋" w:hAnsi="仿宋" w:eastAsia="仿宋" w:cs="仿宋"/>
          <w:sz w:val="28"/>
          <w:szCs w:val="28"/>
        </w:rPr>
        <w:t>中山市小榄人民医院：</w:t>
      </w:r>
    </w:p>
    <w:p>
      <w:pPr>
        <w:spacing w:line="600" w:lineRule="exact"/>
        <w:ind w:firstLine="560" w:firstLineChars="200"/>
        <w:rPr>
          <w:rFonts w:hint="eastAsia" w:eastAsia="仿宋"/>
          <w:lang w:eastAsia="zh-CN"/>
        </w:rPr>
      </w:pPr>
      <w:r>
        <w:rPr>
          <w:rFonts w:hint="eastAsia" w:ascii="仿宋" w:hAnsi="仿宋" w:eastAsia="仿宋" w:cs="仿宋"/>
          <w:sz w:val="28"/>
          <w:szCs w:val="28"/>
        </w:rPr>
        <w:t>我司经研究有关资料及相关要求后，对</w:t>
      </w:r>
      <w:r>
        <w:rPr>
          <w:rFonts w:hint="eastAsia" w:ascii="仿宋" w:hAnsi="仿宋" w:eastAsia="仿宋" w:cs="仿宋"/>
          <w:b w:val="0"/>
          <w:bCs w:val="0"/>
          <w:sz w:val="28"/>
          <w:szCs w:val="28"/>
          <w:u w:val="single"/>
          <w:lang w:val="en-GB"/>
        </w:rPr>
        <w:t>中山市小榄人民医院</w:t>
      </w:r>
      <w:r>
        <w:rPr>
          <w:rFonts w:hint="eastAsia" w:ascii="仿宋" w:hAnsi="仿宋" w:eastAsia="仿宋" w:cs="仿宋"/>
          <w:color w:val="000000"/>
          <w:sz w:val="28"/>
          <w:szCs w:val="28"/>
          <w:u w:val="single"/>
          <w:lang w:val="en-US" w:eastAsia="zh-CN"/>
        </w:rPr>
        <w:t>XXXXXX采购</w:t>
      </w:r>
      <w:r>
        <w:rPr>
          <w:rFonts w:hint="eastAsia" w:ascii="仿宋" w:hAnsi="仿宋" w:eastAsia="仿宋" w:cs="仿宋"/>
          <w:b w:val="0"/>
          <w:bCs w:val="0"/>
          <w:sz w:val="28"/>
          <w:szCs w:val="28"/>
          <w:u w:val="single"/>
          <w:lang w:val="en-US" w:eastAsia="zh-CN"/>
        </w:rPr>
        <w:t>项目</w:t>
      </w:r>
      <w:r>
        <w:rPr>
          <w:rFonts w:hint="eastAsia" w:ascii="仿宋" w:hAnsi="仿宋" w:eastAsia="仿宋" w:cs="仿宋"/>
          <w:sz w:val="28"/>
          <w:szCs w:val="28"/>
        </w:rPr>
        <w:t>作出如下报价（含税金）</w:t>
      </w:r>
      <w:r>
        <w:rPr>
          <w:rFonts w:hint="eastAsia" w:ascii="仿宋" w:hAnsi="仿宋" w:eastAsia="仿宋" w:cs="仿宋"/>
          <w:sz w:val="28"/>
          <w:szCs w:val="28"/>
          <w:lang w:eastAsia="zh-CN"/>
        </w:rPr>
        <w:t>：</w:t>
      </w:r>
    </w:p>
    <w:p>
      <w:pPr>
        <w:pStyle w:val="25"/>
        <w:tabs>
          <w:tab w:val="left" w:pos="0"/>
        </w:tabs>
        <w:adjustRightInd w:val="0"/>
        <w:snapToGrid w:val="0"/>
        <w:spacing w:line="420" w:lineRule="exact"/>
        <w:rPr>
          <w:rFonts w:hAnsi="宋体" w:cs="宋体"/>
          <w:sz w:val="24"/>
          <w:szCs w:val="24"/>
        </w:rPr>
      </w:pPr>
    </w:p>
    <w:tbl>
      <w:tblPr>
        <w:tblStyle w:val="51"/>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970"/>
        <w:gridCol w:w="1065"/>
        <w:gridCol w:w="238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序号</w:t>
            </w:r>
          </w:p>
        </w:tc>
        <w:tc>
          <w:tcPr>
            <w:tcW w:w="2970" w:type="dxa"/>
            <w:shd w:val="clear" w:color="auto" w:fill="auto"/>
            <w:vAlign w:val="center"/>
          </w:tcPr>
          <w:p>
            <w:pPr>
              <w:spacing w:beforeLines="50" w:afterLines="50" w:line="360" w:lineRule="exact"/>
              <w:jc w:val="center"/>
              <w:rPr>
                <w:rFonts w:hint="default" w:ascii="宋体" w:hAnsi="宋体" w:cs="宋体"/>
                <w:b/>
                <w:color w:val="000000"/>
                <w:szCs w:val="21"/>
                <w:lang w:val="en-US"/>
              </w:rPr>
            </w:pPr>
            <w:r>
              <w:rPr>
                <w:rFonts w:hint="eastAsia" w:ascii="宋体" w:hAnsi="宋体" w:cs="宋体"/>
                <w:b/>
                <w:bCs/>
                <w:color w:val="000000"/>
                <w:szCs w:val="21"/>
                <w:lang w:val="en-US" w:eastAsia="zh-CN"/>
              </w:rPr>
              <w:t>项目名称</w:t>
            </w:r>
          </w:p>
        </w:tc>
        <w:tc>
          <w:tcPr>
            <w:tcW w:w="106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bCs/>
                <w:color w:val="000000"/>
                <w:szCs w:val="21"/>
              </w:rPr>
              <w:t>数量</w:t>
            </w:r>
          </w:p>
        </w:tc>
        <w:tc>
          <w:tcPr>
            <w:tcW w:w="238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总价</w:t>
            </w:r>
          </w:p>
        </w:tc>
        <w:tc>
          <w:tcPr>
            <w:tcW w:w="1995" w:type="dxa"/>
            <w:shd w:val="clear" w:color="auto" w:fill="auto"/>
            <w:vAlign w:val="center"/>
          </w:tcPr>
          <w:p>
            <w:pPr>
              <w:spacing w:beforeLines="50" w:afterLines="50" w:line="360" w:lineRule="exact"/>
              <w:jc w:val="center"/>
              <w:rPr>
                <w:rFonts w:hint="eastAsia" w:ascii="宋体" w:hAnsi="宋体" w:eastAsia="宋体" w:cs="宋体"/>
                <w:b/>
                <w:color w:val="000000"/>
                <w:szCs w:val="21"/>
                <w:lang w:eastAsia="zh-CN"/>
              </w:rPr>
            </w:pPr>
            <w:r>
              <w:rPr>
                <w:rFonts w:hint="eastAsia" w:ascii="宋体" w:hAnsi="宋体" w:cs="宋体"/>
                <w:b/>
                <w:color w:val="000000"/>
                <w:szCs w:val="21"/>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pPr>
              <w:spacing w:beforeLines="50" w:afterLines="50" w:line="360" w:lineRule="exact"/>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1</w:t>
            </w:r>
          </w:p>
        </w:tc>
        <w:tc>
          <w:tcPr>
            <w:tcW w:w="2970" w:type="dxa"/>
            <w:shd w:val="clear" w:color="auto" w:fill="auto"/>
            <w:vAlign w:val="center"/>
          </w:tcPr>
          <w:p>
            <w:pPr>
              <w:spacing w:beforeLines="50" w:afterLines="50" w:line="360" w:lineRule="exact"/>
              <w:jc w:val="both"/>
              <w:rPr>
                <w:rFonts w:ascii="宋体" w:hAnsi="宋体" w:cs="宋体"/>
                <w:b/>
                <w:bCs/>
                <w:color w:val="000000"/>
                <w:szCs w:val="21"/>
              </w:rPr>
            </w:pPr>
          </w:p>
        </w:tc>
        <w:tc>
          <w:tcPr>
            <w:tcW w:w="1065" w:type="dxa"/>
            <w:shd w:val="clear" w:color="auto" w:fill="auto"/>
            <w:vAlign w:val="center"/>
          </w:tcPr>
          <w:p>
            <w:pPr>
              <w:spacing w:beforeLines="50" w:afterLines="50" w:line="360" w:lineRule="exact"/>
              <w:jc w:val="center"/>
              <w:rPr>
                <w:rFonts w:hint="default" w:ascii="宋体" w:hAnsi="宋体" w:eastAsia="宋体" w:cs="宋体"/>
                <w:b/>
                <w:bCs/>
                <w:color w:val="000000"/>
                <w:szCs w:val="21"/>
                <w:lang w:val="en-US" w:eastAsia="zh-CN"/>
              </w:rPr>
            </w:pPr>
          </w:p>
        </w:tc>
        <w:tc>
          <w:tcPr>
            <w:tcW w:w="2385" w:type="dxa"/>
            <w:shd w:val="clear" w:color="auto" w:fill="auto"/>
            <w:vAlign w:val="center"/>
          </w:tcPr>
          <w:p>
            <w:pPr>
              <w:spacing w:beforeLines="50" w:afterLines="50" w:line="360" w:lineRule="exact"/>
              <w:jc w:val="center"/>
              <w:rPr>
                <w:rFonts w:ascii="宋体" w:hAnsi="宋体" w:cs="宋体"/>
                <w:b/>
                <w:color w:val="000000"/>
                <w:szCs w:val="21"/>
              </w:rPr>
            </w:pPr>
          </w:p>
        </w:tc>
        <w:tc>
          <w:tcPr>
            <w:tcW w:w="1995" w:type="dxa"/>
            <w:shd w:val="clear" w:color="auto" w:fill="auto"/>
            <w:vAlign w:val="center"/>
          </w:tcPr>
          <w:p>
            <w:pPr>
              <w:spacing w:beforeLines="50" w:afterLines="50" w:line="360" w:lineRule="exact"/>
              <w:jc w:val="center"/>
              <w:rPr>
                <w:rFonts w:ascii="宋体" w:hAnsi="宋体" w:cs="宋体"/>
                <w:b/>
                <w:color w:val="000000"/>
                <w:szCs w:val="21"/>
              </w:rPr>
            </w:pPr>
          </w:p>
        </w:tc>
      </w:tr>
    </w:tbl>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下浮率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是指基于本项目总预算价（非分项预算价）进行计算的下浮比例</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供应商名称（加盖公章）：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法定代表人或其委托人签字：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日期：      年    月   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分项</w:t>
      </w:r>
      <w:r>
        <w:rPr>
          <w:rFonts w:hint="eastAsia" w:ascii="仿宋" w:hAnsi="仿宋" w:eastAsia="仿宋" w:cs="仿宋"/>
          <w:b/>
          <w:bCs/>
          <w:kern w:val="44"/>
          <w:sz w:val="28"/>
          <w:szCs w:val="28"/>
          <w:lang w:val="en-US" w:eastAsia="zh-CN" w:bidi="ar-SA"/>
        </w:rPr>
        <w:t>报价明细</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51"/>
        <w:gridCol w:w="779"/>
        <w:gridCol w:w="1056"/>
        <w:gridCol w:w="1056"/>
        <w:gridCol w:w="1056"/>
        <w:gridCol w:w="893"/>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标的名称</w:t>
            </w:r>
          </w:p>
        </w:tc>
        <w:tc>
          <w:tcPr>
            <w:tcW w:w="105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品牌</w:t>
            </w:r>
          </w:p>
        </w:tc>
        <w:tc>
          <w:tcPr>
            <w:tcW w:w="77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型号</w:t>
            </w: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数量（台）</w:t>
            </w: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产地</w:t>
            </w: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使用年限</w:t>
            </w:r>
          </w:p>
        </w:tc>
        <w:tc>
          <w:tcPr>
            <w:tcW w:w="89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质保</w:t>
            </w: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单价（元）</w:t>
            </w: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105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77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89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注：如有分项报价，可自行编辑列表填入</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是否带耗材（</w:t>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是  </w:t>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耗材报价单（如有）</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825"/>
        <w:gridCol w:w="1062"/>
        <w:gridCol w:w="913"/>
        <w:gridCol w:w="700"/>
        <w:gridCol w:w="862"/>
        <w:gridCol w:w="963"/>
        <w:gridCol w:w="925"/>
        <w:gridCol w:w="101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产品名称</w:t>
            </w:r>
          </w:p>
        </w:tc>
        <w:tc>
          <w:tcPr>
            <w:tcW w:w="10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规格型号</w:t>
            </w:r>
          </w:p>
        </w:tc>
        <w:tc>
          <w:tcPr>
            <w:tcW w:w="91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产品注册证</w:t>
            </w:r>
          </w:p>
        </w:tc>
        <w:tc>
          <w:tcPr>
            <w:tcW w:w="7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药交ID</w:t>
            </w: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产品编码</w:t>
            </w:r>
          </w:p>
        </w:tc>
        <w:tc>
          <w:tcPr>
            <w:tcW w:w="96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国家医保耗材代码</w:t>
            </w:r>
          </w:p>
        </w:tc>
        <w:tc>
          <w:tcPr>
            <w:tcW w:w="9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省平台联盟区限价</w:t>
            </w:r>
          </w:p>
        </w:tc>
        <w:tc>
          <w:tcPr>
            <w:tcW w:w="101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投标报价</w:t>
            </w:r>
          </w:p>
        </w:tc>
        <w:tc>
          <w:tcPr>
            <w:tcW w:w="8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10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1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7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6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101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10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1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7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6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101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联系人：          电话：</w:t>
      </w:r>
    </w:p>
    <w:p>
      <w:pPr>
        <w:spacing w:line="600" w:lineRule="exact"/>
        <w:ind w:firstLine="3080" w:firstLineChars="1100"/>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2520" w:leftChars="1200"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报价有效期：</w:t>
      </w:r>
    </w:p>
    <w:p>
      <w:pPr>
        <w:keepNext w:val="0"/>
        <w:keepLines w:val="0"/>
        <w:pageBreakBefore w:val="0"/>
        <w:widowControl w:val="0"/>
        <w:kinsoku/>
        <w:wordWrap/>
        <w:overflowPunct/>
        <w:topLinePunct w:val="0"/>
        <w:autoSpaceDE/>
        <w:autoSpaceDN/>
        <w:bidi w:val="0"/>
        <w:adjustRightInd/>
        <w:snapToGrid/>
        <w:spacing w:line="500" w:lineRule="exact"/>
        <w:ind w:left="2520" w:leftChars="1200" w:firstLine="0" w:firstLineChars="0"/>
        <w:jc w:val="left"/>
        <w:textAlignment w:val="auto"/>
        <w:rPr>
          <w:rFonts w:hint="eastAsia" w:ascii="仿宋" w:hAnsi="仿宋" w:eastAsia="仿宋" w:cs="仿宋"/>
          <w:sz w:val="28"/>
          <w:szCs w:val="28"/>
          <w:u w:val="single"/>
        </w:rPr>
      </w:pPr>
      <w:r>
        <w:rPr>
          <w:rFonts w:hint="eastAsia" w:ascii="仿宋" w:hAnsi="仿宋" w:eastAsia="仿宋" w:cs="仿宋"/>
          <w:sz w:val="28"/>
          <w:szCs w:val="28"/>
        </w:rPr>
        <w:t>报价单位（盖章）：</w:t>
      </w:r>
    </w:p>
    <w:p>
      <w:pPr>
        <w:keepNext w:val="0"/>
        <w:keepLines w:val="0"/>
        <w:pageBreakBefore w:val="0"/>
        <w:widowControl w:val="0"/>
        <w:kinsoku/>
        <w:wordWrap/>
        <w:overflowPunct/>
        <w:topLinePunct w:val="0"/>
        <w:autoSpaceDE/>
        <w:autoSpaceDN/>
        <w:bidi w:val="0"/>
        <w:adjustRightInd/>
        <w:snapToGrid/>
        <w:spacing w:line="500" w:lineRule="exact"/>
        <w:ind w:left="2520" w:leftChars="120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法定代表人或授权委托人（签字或签章）：</w:t>
      </w:r>
    </w:p>
    <w:p>
      <w:pPr>
        <w:keepNext w:val="0"/>
        <w:keepLines w:val="0"/>
        <w:pageBreakBefore w:val="0"/>
        <w:widowControl w:val="0"/>
        <w:kinsoku/>
        <w:wordWrap/>
        <w:overflowPunct/>
        <w:topLinePunct w:val="0"/>
        <w:autoSpaceDE/>
        <w:autoSpaceDN/>
        <w:bidi w:val="0"/>
        <w:adjustRightInd/>
        <w:snapToGrid/>
        <w:spacing w:line="500" w:lineRule="exact"/>
        <w:ind w:left="2520" w:leftChars="1200" w:firstLine="0" w:firstLineChars="0"/>
        <w:jc w:val="left"/>
        <w:textAlignment w:val="auto"/>
        <w:rPr>
          <w:rFonts w:hint="eastAsia" w:ascii="仿宋" w:hAnsi="仿宋" w:eastAsia="仿宋" w:cs="仿宋"/>
          <w:sz w:val="28"/>
          <w:szCs w:val="28"/>
        </w:rPr>
      </w:pPr>
      <w:r>
        <w:rPr>
          <w:rFonts w:hint="eastAsia" w:ascii="仿宋" w:hAnsi="仿宋" w:eastAsia="仿宋" w:cs="仿宋"/>
          <w:bCs/>
          <w:sz w:val="28"/>
          <w:szCs w:val="28"/>
          <w:lang w:val="en-US" w:eastAsia="zh-CN"/>
        </w:rPr>
        <w:t>报价时间</w:t>
      </w:r>
      <w:r>
        <w:rPr>
          <w:rFonts w:hint="eastAsia" w:ascii="仿宋" w:hAnsi="仿宋" w:eastAsia="仿宋" w:cs="仿宋"/>
          <w:bCs/>
          <w:sz w:val="28"/>
          <w:szCs w:val="28"/>
        </w:rPr>
        <w:t>：   年   月  日</w:t>
      </w:r>
    </w:p>
    <w:p>
      <w:pPr>
        <w:pStyle w:val="61"/>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Ansi="宋体" w:cs="宋体"/>
          <w:b/>
          <w:bCs/>
          <w:sz w:val="24"/>
          <w:szCs w:val="24"/>
        </w:rPr>
      </w:pPr>
      <w:r>
        <w:rPr>
          <w:rFonts w:hint="eastAsia" w:hAnsi="宋体" w:cs="宋体"/>
          <w:b/>
          <w:bCs/>
          <w:sz w:val="24"/>
          <w:szCs w:val="24"/>
        </w:rPr>
        <w:t>（3）法定代表人授权委托书</w:t>
      </w:r>
    </w:p>
    <w:p>
      <w:pPr>
        <w:pStyle w:val="25"/>
        <w:tabs>
          <w:tab w:val="left" w:pos="0"/>
        </w:tabs>
        <w:adjustRightInd w:val="0"/>
        <w:snapToGrid w:val="0"/>
        <w:spacing w:line="420" w:lineRule="exact"/>
        <w:rPr>
          <w:rFonts w:hAnsi="宋体" w:cs="宋体"/>
          <w:sz w:val="24"/>
          <w:szCs w:val="24"/>
        </w:rPr>
      </w:pPr>
    </w:p>
    <w:p>
      <w:pPr>
        <w:spacing w:line="360" w:lineRule="auto"/>
        <w:jc w:val="center"/>
        <w:rPr>
          <w:rFonts w:ascii="宋体" w:hAnsi="宋体" w:cs="宋体"/>
          <w:b/>
          <w:bCs/>
          <w:sz w:val="24"/>
        </w:rPr>
      </w:pPr>
      <w:r>
        <w:rPr>
          <w:rFonts w:hint="eastAsia" w:ascii="宋体" w:hAnsi="宋体" w:cs="宋体"/>
          <w:b/>
          <w:bCs/>
          <w:sz w:val="24"/>
        </w:rPr>
        <w:t>法定代表人授权委托书</w:t>
      </w:r>
    </w:p>
    <w:p>
      <w:pPr>
        <w:spacing w:line="360" w:lineRule="auto"/>
        <w:rPr>
          <w:rFonts w:ascii="宋体" w:hAnsi="宋体" w:cs="宋体"/>
          <w:sz w:val="24"/>
        </w:rPr>
      </w:pPr>
      <w:r>
        <w:rPr>
          <w:rFonts w:hint="eastAsia" w:ascii="宋体" w:hAnsi="宋体" w:cs="宋体"/>
          <w:sz w:val="24"/>
        </w:rPr>
        <w:t>致：中山市小榄人民医院</w:t>
      </w:r>
    </w:p>
    <w:p>
      <w:pPr>
        <w:widowControl/>
        <w:spacing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同志，为我方签订经济合同及办理其他事务代理人，其权限是：</w:t>
      </w:r>
      <w:r>
        <w:rPr>
          <w:rFonts w:hint="eastAsia" w:ascii="宋体" w:hAnsi="宋体"/>
          <w:sz w:val="24"/>
          <w:u w:val="single"/>
        </w:rPr>
        <w:t xml:space="preserve">                                                   </w:t>
      </w:r>
      <w:r>
        <w:rPr>
          <w:rFonts w:hint="eastAsia" w:ascii="宋体" w:hAnsi="宋体"/>
          <w:sz w:val="24"/>
        </w:rPr>
        <w:t>。</w:t>
      </w:r>
    </w:p>
    <w:p>
      <w:pPr>
        <w:widowControl/>
        <w:spacing w:line="360" w:lineRule="auto"/>
        <w:ind w:firstLine="480" w:firstLineChars="200"/>
        <w:rPr>
          <w:rFonts w:ascii="宋体" w:hAnsi="宋体"/>
          <w:sz w:val="24"/>
        </w:rPr>
      </w:pPr>
      <w:r>
        <w:rPr>
          <w:rFonts w:hint="eastAsia" w:ascii="宋体" w:hAnsi="宋体"/>
          <w:sz w:val="24"/>
        </w:rPr>
        <w:t xml:space="preserve">授权单位（盖章）：  </w:t>
      </w:r>
    </w:p>
    <w:p>
      <w:pPr>
        <w:widowControl/>
        <w:spacing w:line="360" w:lineRule="auto"/>
        <w:ind w:firstLine="480" w:firstLineChars="200"/>
        <w:rPr>
          <w:rFonts w:ascii="宋体" w:hAnsi="宋体"/>
          <w:sz w:val="24"/>
        </w:rPr>
      </w:pPr>
      <w:r>
        <w:rPr>
          <w:rFonts w:hint="eastAsia" w:ascii="宋体" w:hAnsi="宋体" w:cs="宋体"/>
          <w:sz w:val="24"/>
        </w:rPr>
        <w:t>法定代表人</w:t>
      </w:r>
      <w:r>
        <w:rPr>
          <w:rFonts w:hint="eastAsia" w:ascii="宋体" w:hAnsi="宋体"/>
          <w:sz w:val="24"/>
        </w:rPr>
        <w:t>（签名或盖私章）：</w:t>
      </w:r>
    </w:p>
    <w:p>
      <w:pPr>
        <w:widowControl/>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line="360" w:lineRule="auto"/>
        <w:ind w:firstLine="480" w:firstLineChars="200"/>
        <w:rPr>
          <w:rFonts w:ascii="宋体" w:hAnsi="宋体"/>
          <w:sz w:val="24"/>
        </w:rPr>
      </w:pPr>
      <w:r>
        <w:rPr>
          <w:rFonts w:hint="eastAsia" w:ascii="宋体" w:hAnsi="宋体"/>
          <w:sz w:val="24"/>
        </w:rPr>
        <w:t>附：代理人性别：        年龄：       职务：         身份证号码：</w:t>
      </w:r>
    </w:p>
    <w:p>
      <w:pPr>
        <w:widowControl/>
        <w:spacing w:line="360" w:lineRule="auto"/>
        <w:ind w:firstLine="480" w:firstLineChars="200"/>
        <w:rPr>
          <w:rFonts w:ascii="宋体" w:hAnsi="宋体"/>
          <w:sz w:val="24"/>
        </w:rPr>
      </w:pPr>
      <w:r>
        <w:rPr>
          <w:rFonts w:hint="eastAsia" w:ascii="宋体" w:hAnsi="宋体"/>
          <w:sz w:val="24"/>
        </w:rPr>
        <w:t>联系电话：</w:t>
      </w:r>
    </w:p>
    <w:p>
      <w:pPr>
        <w:spacing w:line="360" w:lineRule="auto"/>
        <w:ind w:firstLine="480" w:firstLineChars="200"/>
        <w:rPr>
          <w:rFonts w:ascii="宋体" w:hAnsi="宋体" w:cs="宋体"/>
          <w:sz w:val="24"/>
        </w:rPr>
      </w:pPr>
      <w:r>
        <w:rPr>
          <w:rFonts w:hint="eastAsia" w:ascii="宋体" w:hAnsi="宋体"/>
          <w:sz w:val="24"/>
        </w:rPr>
        <w:t>统一社会信用代码：</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ind w:firstLine="720" w:firstLineChars="300"/>
        <w:rPr>
          <w:rFonts w:ascii="宋体" w:hAnsi="宋体" w:cs="宋体"/>
          <w:sz w:val="24"/>
        </w:rPr>
      </w:pPr>
      <w:r>
        <w:rPr>
          <w:rFonts w:hint="eastAsia" w:ascii="宋体" w:hAnsi="宋体"/>
          <w:sz w:val="24"/>
        </w:rPr>
        <w:t>2、此处所述“法定代表人”，须与供应商“营业执照”上的内容一致。</w:t>
      </w:r>
    </w:p>
    <w:p>
      <w:pPr>
        <w:spacing w:line="360" w:lineRule="auto"/>
        <w:rPr>
          <w:rFonts w:ascii="宋体" w:hAnsi="宋体" w:cs="宋体"/>
          <w:sz w:val="24"/>
        </w:rPr>
      </w:pPr>
      <w:r>
        <w:rPr>
          <w:rFonts w:hint="eastAsia" w:ascii="宋体" w:hAnsi="宋体" w:cs="宋体"/>
          <w:sz w:val="24"/>
        </w:rPr>
        <w:t xml:space="preserve">      3、内容必须填写真实、清楚、涂改无效，不得转让、买卖。</w:t>
      </w:r>
    </w:p>
    <w:p>
      <w:pPr>
        <w:spacing w:line="360" w:lineRule="auto"/>
        <w:ind w:firstLine="720" w:firstLineChars="300"/>
        <w:rPr>
          <w:rFonts w:ascii="宋体" w:hAnsi="宋体" w:cs="宋体"/>
          <w:sz w:val="24"/>
        </w:rPr>
      </w:pPr>
      <w:r>
        <w:rPr>
          <w:rFonts w:hint="eastAsia" w:ascii="宋体" w:hAnsi="宋体" w:cs="宋体"/>
          <w:sz w:val="24"/>
        </w:rPr>
        <w:t>4、将此证明书提交对方作为合同附件。</w:t>
      </w:r>
    </w:p>
    <w:p>
      <w:pPr>
        <w:spacing w:line="360" w:lineRule="auto"/>
        <w:ind w:firstLine="720" w:firstLineChars="300"/>
        <w:rPr>
          <w:rFonts w:ascii="宋体" w:hAnsi="宋体" w:cs="宋体"/>
          <w:sz w:val="24"/>
        </w:rPr>
      </w:pPr>
      <w:r>
        <w:rPr>
          <w:rFonts w:hint="eastAsia" w:ascii="宋体" w:hAnsi="宋体" w:cs="宋体"/>
          <w:sz w:val="24"/>
        </w:rPr>
        <w:t>5、授权权限：全权代表本公司参与上述采购项目的报价，负责提供与签署确认一切文书资料，以及向贵方递交的任何补充承诺。</w:t>
      </w:r>
    </w:p>
    <w:p>
      <w:pPr>
        <w:spacing w:line="360" w:lineRule="auto"/>
        <w:ind w:firstLine="736" w:firstLineChars="307"/>
        <w:rPr>
          <w:rFonts w:ascii="宋体" w:hAnsi="宋体" w:cs="宋体"/>
          <w:sz w:val="24"/>
        </w:rPr>
      </w:pPr>
      <w:r>
        <w:rPr>
          <w:rFonts w:hint="eastAsia" w:ascii="宋体" w:hAnsi="宋体" w:cs="宋体"/>
          <w:sz w:val="24"/>
        </w:rPr>
        <w:t>6、签字代表为法定代表人，则本表不适用。</w:t>
      </w:r>
    </w:p>
    <w:p>
      <w:pPr>
        <w:pStyle w:val="20"/>
        <w:ind w:firstLine="720" w:firstLineChars="300"/>
        <w:rPr>
          <w:rFonts w:ascii="宋体" w:hAnsi="宋体" w:cs="宋体"/>
          <w:sz w:val="24"/>
          <w:szCs w:val="24"/>
        </w:rPr>
      </w:pPr>
      <w:r>
        <w:rPr>
          <w:rFonts w:hint="eastAsia" w:ascii="宋体" w:hAnsi="宋体" w:cs="宋体"/>
          <w:sz w:val="24"/>
          <w:szCs w:val="24"/>
        </w:rPr>
        <w:t>7、身份证复印件或扫描件须在有效期内。</w:t>
      </w:r>
    </w:p>
    <w:p>
      <w:pPr>
        <w:spacing w:line="360" w:lineRule="auto"/>
        <w:ind w:firstLine="736" w:firstLineChars="307"/>
        <w:rPr>
          <w:szCs w:val="21"/>
        </w:rPr>
      </w:pPr>
      <w:r>
        <w:rPr>
          <w:rFonts w:hint="eastAsia" w:ascii="宋体" w:hAnsi="宋体" w:cs="宋体"/>
          <w:sz w:val="24"/>
        </w:rPr>
        <w:t>8、有效</w:t>
      </w:r>
      <w:r>
        <w:rPr>
          <w:rFonts w:hint="eastAsia" w:ascii="宋体" w:hAnsi="宋体"/>
          <w:sz w:val="24"/>
        </w:rPr>
        <w:t>期限：与本公司报价文件中标注的投标有效期相同，自本单位盖公章之日起生效。</w:t>
      </w:r>
    </w:p>
    <w:p>
      <w:pPr>
        <w:spacing w:line="360" w:lineRule="auto"/>
        <w:jc w:val="center"/>
        <w:rPr>
          <w:rFonts w:ascii="宋体" w:hAnsi="宋体" w:cs="宋体"/>
          <w:bCs/>
          <w:sz w:val="24"/>
        </w:rPr>
      </w:pPr>
      <w:r>
        <w:rPr>
          <w:rFonts w:ascii="宋体" w:hAnsi="宋体" w:cs="宋体"/>
          <w:szCs w:val="21"/>
        </w:rPr>
        <mc:AlternateContent>
          <mc:Choice Requires="wps">
            <w:drawing>
              <wp:inline distT="0" distB="0" distL="114300" distR="114300">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uau/O1QAAAAUBAAAPAAAAAAAAAAEAIAAAACIAAABkcnMvZG93bnJldi54bWxQ&#10;SwECFAAUAAAACACHTuJAOq9Tu2wCAAC6BAAADgAAAAAAAAABACAAAAAkAQAAZHJzL2Uyb0RvYy54&#10;bWxQSwUGAAAAAAYABgBZAQAAAgY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v:textbox>
                <w10:wrap type="none"/>
                <w10:anchorlock/>
              </v:shape>
            </w:pict>
          </mc:Fallback>
        </mc:AlternateContent>
      </w:r>
    </w:p>
    <w:p>
      <w:pPr>
        <w:pStyle w:val="25"/>
        <w:tabs>
          <w:tab w:val="left" w:pos="0"/>
        </w:tabs>
        <w:adjustRightInd w:val="0"/>
        <w:snapToGrid w:val="0"/>
        <w:spacing w:line="420" w:lineRule="exact"/>
        <w:rPr>
          <w:rFonts w:hAnsi="宋体" w:cs="宋体"/>
          <w:b/>
          <w:sz w:val="24"/>
          <w:szCs w:val="24"/>
        </w:rPr>
      </w:pPr>
      <w:r>
        <w:rPr>
          <w:rFonts w:hint="eastAsia" w:hAnsi="宋体" w:cs="宋体"/>
          <w:b/>
          <w:sz w:val="24"/>
          <w:szCs w:val="24"/>
        </w:rPr>
        <w:t>（4）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ascii="宋体" w:hAnsi="宋体" w:cs="宋体"/>
        </w:rPr>
      </w:pPr>
    </w:p>
    <w:p>
      <w:pPr>
        <w:pStyle w:val="5"/>
        <w:tabs>
          <w:tab w:val="center" w:pos="4450"/>
          <w:tab w:val="left" w:pos="6396"/>
        </w:tabs>
        <w:jc w:val="center"/>
        <w:rPr>
          <w:rFonts w:ascii="宋体" w:hAnsi="宋体" w:cs="宋体"/>
        </w:rPr>
      </w:pPr>
      <w:r>
        <w:rPr>
          <w:rFonts w:hint="eastAsia" w:ascii="宋体" w:hAnsi="宋体" w:cs="宋体"/>
        </w:rPr>
        <w:t>无围标、串标行为声明函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谈判项目采购活动中，无以下围标、串标行为。</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不同供应商的报价文件由同一单位或者个人编制；</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不同供应商委托同一单位或者个人办理响应事宜；</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不同供应商的报价文件载明的项目管理成员或者联系人员为同一人；</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不同供应商的报价文件异常一致或者响应报价呈规律性差异；</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不同供应商的报价文件相互混装；</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不同供应商的董事、监事、高管、单位负责人为同一人或者存在控股、管理关系的不同单位参加同一包组项目；</w:t>
      </w:r>
    </w:p>
    <w:p>
      <w:pPr>
        <w:numPr>
          <w:ilvl w:val="0"/>
          <w:numId w:val="18"/>
        </w:numPr>
        <w:spacing w:line="360" w:lineRule="auto"/>
        <w:ind w:left="420" w:leftChars="200"/>
        <w:rPr>
          <w:rFonts w:ascii="宋体" w:hAnsi="宋体" w:cs="宋体"/>
          <w:sz w:val="24"/>
        </w:rPr>
      </w:pPr>
      <w:r>
        <w:rPr>
          <w:rFonts w:hint="eastAsia" w:ascii="宋体" w:hAnsi="宋体" w:cs="宋体"/>
          <w:sz w:val="24"/>
        </w:rPr>
        <w:t>法律法规界定的其他围标串标行为；</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如有发现我公司存在围标、串标行为，我公司愿承担一切法律责任。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5"/>
        <w:tabs>
          <w:tab w:val="center" w:pos="4450"/>
          <w:tab w:val="left" w:pos="6396"/>
        </w:tabs>
        <w:jc w:val="center"/>
        <w:rPr>
          <w:rFonts w:ascii="宋体" w:hAnsi="宋体" w:cs="宋体"/>
        </w:rPr>
      </w:pPr>
      <w:r>
        <w:rPr>
          <w:rFonts w:hint="eastAsia" w:ascii="宋体" w:hAnsi="宋体" w:cs="宋体"/>
        </w:rPr>
        <w:t>无关联关系声明函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谈判项目采购活动中，与其他投标单位和</w:t>
      </w:r>
      <w:r>
        <w:rPr>
          <w:rStyle w:val="54"/>
          <w:rFonts w:hint="eastAsia" w:ascii="宋体" w:hAnsi="宋体" w:cs="宋体"/>
          <w:b w:val="0"/>
          <w:bCs w:val="0"/>
          <w:spacing w:val="0"/>
          <w:sz w:val="27"/>
          <w:szCs w:val="27"/>
          <w:shd w:val="clear" w:color="auto" w:fill="FFFFFF"/>
        </w:rPr>
        <w:t>在法律、财务上与项目经办人不存在关联关系</w:t>
      </w:r>
      <w:r>
        <w:rPr>
          <w:rFonts w:hint="eastAsia" w:ascii="宋体" w:hAnsi="宋体" w:cs="宋体"/>
          <w:sz w:val="24"/>
        </w:rPr>
        <w:t>。</w:t>
      </w:r>
      <w:r>
        <w:rPr>
          <w:rFonts w:ascii="宋体" w:hAnsi="宋体" w:cs="宋体"/>
          <w:sz w:val="24"/>
        </w:rPr>
        <w:t xml:space="preserve"> </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如有发现我公司与其他投标单位和</w:t>
      </w:r>
      <w:r>
        <w:rPr>
          <w:rStyle w:val="54"/>
          <w:rFonts w:hint="eastAsia" w:ascii="宋体" w:hAnsi="宋体" w:cs="宋体"/>
          <w:b w:val="0"/>
          <w:bCs w:val="0"/>
          <w:spacing w:val="0"/>
          <w:sz w:val="27"/>
          <w:szCs w:val="27"/>
          <w:shd w:val="clear" w:color="auto" w:fill="FFFFFF"/>
        </w:rPr>
        <w:t>在法律、财务上与项目经办人存在关联关系</w:t>
      </w:r>
      <w:r>
        <w:rPr>
          <w:rFonts w:hint="eastAsia" w:ascii="宋体" w:hAnsi="宋体" w:cs="宋体"/>
          <w:sz w:val="24"/>
        </w:rPr>
        <w:t>，我公司愿承担一切法律责任。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25"/>
        <w:tabs>
          <w:tab w:val="left" w:pos="0"/>
        </w:tabs>
        <w:adjustRightInd w:val="0"/>
        <w:snapToGrid w:val="0"/>
        <w:spacing w:line="420" w:lineRule="exact"/>
        <w:rPr>
          <w:rFonts w:hAnsi="宋体" w:cs="宋体"/>
          <w:b/>
          <w:bCs/>
          <w:sz w:val="24"/>
          <w:szCs w:val="24"/>
        </w:rPr>
      </w:pPr>
      <w:r>
        <w:rPr>
          <w:rFonts w:hint="eastAsia" w:hAnsi="宋体" w:cs="宋体"/>
          <w:b/>
          <w:bCs/>
          <w:sz w:val="24"/>
          <w:szCs w:val="24"/>
        </w:rPr>
        <w:t>（5）厂家资质证件（包括但不限于营业执照、医疗器械生产许可证</w:t>
      </w:r>
      <w:r>
        <w:rPr>
          <w:rFonts w:hint="eastAsia" w:hAnsi="宋体" w:cs="宋体"/>
          <w:b/>
          <w:bCs/>
          <w:sz w:val="24"/>
          <w:szCs w:val="24"/>
          <w:lang w:eastAsia="zh-CN"/>
        </w:rPr>
        <w:t>、</w:t>
      </w:r>
      <w:r>
        <w:rPr>
          <w:rFonts w:hint="eastAsia" w:hAnsi="宋体" w:cs="宋体"/>
          <w:b/>
          <w:bCs/>
          <w:sz w:val="24"/>
          <w:szCs w:val="24"/>
          <w:lang w:val="en-US" w:eastAsia="zh-CN"/>
        </w:rPr>
        <w:t>备案/注册证</w:t>
      </w:r>
      <w:r>
        <w:rPr>
          <w:rFonts w:hint="eastAsia" w:hAnsi="宋体" w:cs="宋体"/>
          <w:b/>
          <w:bCs/>
          <w:sz w:val="24"/>
          <w:szCs w:val="24"/>
        </w:rPr>
        <w:t>等）</w:t>
      </w:r>
    </w:p>
    <w:p>
      <w:pPr>
        <w:rPr>
          <w:rFonts w:ascii="宋体" w:hAnsi="宋体" w:cs="宋体"/>
          <w:sz w:val="24"/>
        </w:rPr>
      </w:pPr>
      <w:r>
        <w:rPr>
          <w:rFonts w:hint="eastAsia" w:ascii="宋体" w:hAnsi="宋体" w:cs="宋体"/>
          <w:sz w:val="24"/>
        </w:rPr>
        <w:br w:type="page"/>
      </w:r>
    </w:p>
    <w:p>
      <w:pPr>
        <w:pStyle w:val="25"/>
        <w:tabs>
          <w:tab w:val="left" w:pos="0"/>
        </w:tabs>
        <w:adjustRightInd w:val="0"/>
        <w:snapToGrid w:val="0"/>
        <w:spacing w:line="420" w:lineRule="exact"/>
        <w:rPr>
          <w:rFonts w:hint="eastAsia" w:hAnsi="宋体" w:eastAsia="宋体" w:cs="宋体"/>
          <w:b/>
          <w:bCs/>
          <w:sz w:val="24"/>
          <w:szCs w:val="24"/>
          <w:lang w:eastAsia="zh-CN"/>
        </w:rPr>
      </w:pPr>
      <w:r>
        <w:rPr>
          <w:rFonts w:hint="eastAsia" w:hAnsi="宋体" w:cs="宋体"/>
          <w:b/>
          <w:bCs/>
          <w:sz w:val="24"/>
          <w:szCs w:val="24"/>
        </w:rPr>
        <w:t>（6）</w:t>
      </w:r>
      <w:r>
        <w:rPr>
          <w:rFonts w:hint="eastAsia" w:hAnsi="宋体" w:cs="宋体"/>
          <w:b/>
          <w:bCs/>
          <w:sz w:val="24"/>
          <w:szCs w:val="24"/>
          <w:lang w:eastAsia="zh-CN"/>
        </w:rPr>
        <w:t>【</w:t>
      </w:r>
      <w:r>
        <w:rPr>
          <w:rFonts w:hint="eastAsia" w:hAnsi="宋体" w:cs="宋体"/>
          <w:b/>
          <w:bCs/>
          <w:sz w:val="24"/>
          <w:szCs w:val="24"/>
          <w:lang w:val="en-US" w:eastAsia="zh-CN"/>
        </w:rPr>
        <w:t>如有</w:t>
      </w:r>
      <w:r>
        <w:rPr>
          <w:rFonts w:hint="eastAsia" w:hAnsi="宋体" w:cs="宋体"/>
          <w:b/>
          <w:bCs/>
          <w:sz w:val="24"/>
          <w:szCs w:val="24"/>
          <w:lang w:eastAsia="zh-CN"/>
        </w:rPr>
        <w:t>】</w:t>
      </w:r>
      <w:r>
        <w:rPr>
          <w:rFonts w:hint="eastAsia" w:hAnsi="宋体" w:cs="宋体"/>
          <w:b/>
          <w:bCs/>
          <w:sz w:val="24"/>
          <w:szCs w:val="24"/>
        </w:rPr>
        <w:t>各级经销商资质证件（包括但不限于营业执照、医疗器械经营许可证、备案</w:t>
      </w:r>
      <w:r>
        <w:rPr>
          <w:rFonts w:hint="eastAsia" w:hAnsi="宋体" w:cs="宋体"/>
          <w:b/>
          <w:bCs/>
          <w:sz w:val="24"/>
          <w:szCs w:val="24"/>
          <w:lang w:val="en-US" w:eastAsia="zh-CN"/>
        </w:rPr>
        <w:t>/注册证</w:t>
      </w:r>
      <w:r>
        <w:rPr>
          <w:rFonts w:hint="eastAsia" w:hAnsi="宋体" w:cs="宋体"/>
          <w:b/>
          <w:bCs/>
          <w:sz w:val="24"/>
          <w:szCs w:val="24"/>
        </w:rPr>
        <w:t>等）</w:t>
      </w:r>
    </w:p>
    <w:p>
      <w:pPr>
        <w:rPr>
          <w:rFonts w:ascii="宋体" w:hAnsi="宋体" w:cs="宋体"/>
          <w:sz w:val="24"/>
        </w:rPr>
      </w:pPr>
      <w:r>
        <w:rPr>
          <w:rFonts w:hint="eastAsia" w:ascii="宋体" w:hAnsi="宋体" w:cs="宋体"/>
          <w:sz w:val="24"/>
        </w:rPr>
        <w:br w:type="page"/>
      </w:r>
    </w:p>
    <w:p>
      <w:pPr>
        <w:jc w:val="left"/>
        <w:rPr>
          <w:rFonts w:ascii="宋体" w:hAnsi="宋体" w:cs="宋体"/>
          <w:b/>
          <w:bCs/>
          <w:sz w:val="24"/>
        </w:rPr>
        <w:sectPr>
          <w:headerReference r:id="rId4" w:type="default"/>
          <w:footerReference r:id="rId5" w:type="default"/>
          <w:pgSz w:w="11907" w:h="16840"/>
          <w:pgMar w:top="1418" w:right="1418" w:bottom="1418" w:left="1418" w:header="567" w:footer="748" w:gutter="0"/>
          <w:cols w:space="720" w:num="1"/>
          <w:docGrid w:linePitch="312" w:charSpace="0"/>
        </w:sectPr>
      </w:pPr>
      <w:r>
        <w:rPr>
          <w:rFonts w:hint="eastAsia" w:ascii="宋体" w:hAnsi="宋体" w:cs="宋体"/>
          <w:b/>
          <w:bCs/>
          <w:sz w:val="24"/>
        </w:rPr>
        <w:t>（7）售后服务承诺</w:t>
      </w:r>
    </w:p>
    <w:p>
      <w:pPr>
        <w:jc w:val="left"/>
        <w:rPr>
          <w:rFonts w:ascii="宋体" w:hAnsi="宋体" w:cs="宋体"/>
          <w:b/>
          <w:bCs/>
          <w:sz w:val="24"/>
        </w:rPr>
      </w:pPr>
      <w:r>
        <w:rPr>
          <w:rFonts w:hint="eastAsia" w:ascii="宋体" w:hAnsi="宋体" w:cs="宋体"/>
          <w:b/>
          <w:bCs/>
          <w:sz w:val="24"/>
        </w:rPr>
        <w:t>（8）项目实施方案</w:t>
      </w:r>
      <w:r>
        <w:rPr>
          <w:rFonts w:hint="eastAsia" w:ascii="宋体" w:hAnsi="宋体" w:cs="宋体"/>
          <w:b/>
          <w:bCs/>
          <w:sz w:val="24"/>
        </w:rPr>
        <w:tab/>
      </w:r>
    </w:p>
    <w:p>
      <w:pPr>
        <w:rPr>
          <w:rFonts w:ascii="宋体" w:hAnsi="宋体" w:cs="宋体"/>
          <w:sz w:val="24"/>
        </w:rPr>
      </w:pPr>
      <w:r>
        <w:rPr>
          <w:rFonts w:hint="eastAsia" w:ascii="宋体" w:hAnsi="宋体" w:cs="宋体"/>
          <w:sz w:val="24"/>
        </w:rPr>
        <w:br w:type="page"/>
      </w:r>
    </w:p>
    <w:p>
      <w:pPr>
        <w:pStyle w:val="25"/>
        <w:tabs>
          <w:tab w:val="left" w:pos="0"/>
          <w:tab w:val="left" w:pos="420"/>
        </w:tabs>
        <w:adjustRightInd w:val="0"/>
        <w:snapToGrid w:val="0"/>
        <w:spacing w:line="360" w:lineRule="auto"/>
        <w:rPr>
          <w:rFonts w:hAnsi="宋体" w:cs="宋体"/>
          <w:b/>
          <w:bCs/>
          <w:sz w:val="24"/>
          <w:szCs w:val="24"/>
        </w:rPr>
      </w:pPr>
      <w:r>
        <w:rPr>
          <w:rFonts w:hint="eastAsia" w:hAnsi="宋体" w:cs="宋体"/>
          <w:b/>
          <w:bCs/>
          <w:sz w:val="24"/>
          <w:szCs w:val="24"/>
        </w:rPr>
        <w:t>（9）201</w:t>
      </w:r>
      <w:r>
        <w:rPr>
          <w:rFonts w:hint="eastAsia" w:hAnsi="宋体" w:cs="宋体"/>
          <w:b/>
          <w:bCs/>
          <w:sz w:val="24"/>
          <w:szCs w:val="24"/>
          <w:lang w:val="en-US" w:eastAsia="zh-CN"/>
        </w:rPr>
        <w:t>9</w:t>
      </w:r>
      <w:r>
        <w:rPr>
          <w:rFonts w:hint="eastAsia" w:hAnsi="宋体" w:cs="宋体"/>
          <w:b/>
          <w:bCs/>
          <w:sz w:val="24"/>
          <w:szCs w:val="24"/>
        </w:rPr>
        <w:t>年至今同类项目合同复印件</w:t>
      </w:r>
    </w:p>
    <w:p>
      <w:pPr>
        <w:pStyle w:val="25"/>
        <w:tabs>
          <w:tab w:val="left" w:pos="0"/>
        </w:tabs>
        <w:adjustRightInd w:val="0"/>
        <w:snapToGrid w:val="0"/>
        <w:spacing w:line="420" w:lineRule="exact"/>
        <w:rPr>
          <w:rFonts w:hAnsi="宋体" w:cs="宋体"/>
          <w:sz w:val="24"/>
          <w:szCs w:val="24"/>
        </w:rPr>
      </w:pPr>
    </w:p>
    <w:sectPr>
      <w:pgSz w:w="11907" w:h="16840"/>
      <w:pgMar w:top="1418" w:right="1418" w:bottom="1418" w:left="1418" w:header="567" w:footer="74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3</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ascii="宋体" w:hAnsi="宋体"/>
        <w:bCs/>
        <w:highlight w:val="yellow"/>
        <w:u w:val="single"/>
      </w:rPr>
    </w:pPr>
    <w:r>
      <w:rPr>
        <w:rFonts w:hint="eastAsia" w:ascii="宋体" w:hAnsi="宋体"/>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E9F79"/>
    <w:multiLevelType w:val="singleLevel"/>
    <w:tmpl w:val="87EE9F79"/>
    <w:lvl w:ilvl="0" w:tentative="0">
      <w:start w:val="1"/>
      <w:numFmt w:val="chineseCounting"/>
      <w:suff w:val="space"/>
      <w:lvlText w:val="第%1部分"/>
      <w:lvlJc w:val="left"/>
      <w:rPr>
        <w:rFonts w:hint="eastAsia"/>
      </w:rPr>
    </w:lvl>
  </w:abstractNum>
  <w:abstractNum w:abstractNumId="1">
    <w:nsid w:val="A1E5ED39"/>
    <w:multiLevelType w:val="singleLevel"/>
    <w:tmpl w:val="A1E5ED39"/>
    <w:lvl w:ilvl="0" w:tentative="0">
      <w:start w:val="3"/>
      <w:numFmt w:val="chineseCounting"/>
      <w:suff w:val="space"/>
      <w:lvlText w:val="第%1部分"/>
      <w:lvlJc w:val="left"/>
      <w:rPr>
        <w:rFonts w:hint="eastAsia"/>
      </w:rPr>
    </w:lvl>
  </w:abstractNum>
  <w:abstractNum w:abstractNumId="2">
    <w:nsid w:val="CE8F3975"/>
    <w:multiLevelType w:val="singleLevel"/>
    <w:tmpl w:val="CE8F3975"/>
    <w:lvl w:ilvl="0" w:tentative="0">
      <w:start w:val="1"/>
      <w:numFmt w:val="chineseCounting"/>
      <w:suff w:val="nothing"/>
      <w:lvlText w:val="%1、"/>
      <w:lvlJc w:val="left"/>
      <w:pPr>
        <w:ind w:left="0" w:firstLine="420"/>
      </w:pPr>
      <w:rPr>
        <w:rFonts w:hint="eastAsia" w:ascii="仿宋_GB2312" w:hAnsi="仿宋_GB2312" w:eastAsia="仿宋_GB2312" w:cs="仿宋_GB2312"/>
        <w:sz w:val="28"/>
        <w:szCs w:val="28"/>
      </w:rPr>
    </w:lvl>
  </w:abstractNum>
  <w:abstractNum w:abstractNumId="3">
    <w:nsid w:val="D36E9DA5"/>
    <w:multiLevelType w:val="singleLevel"/>
    <w:tmpl w:val="D36E9DA5"/>
    <w:lvl w:ilvl="0" w:tentative="0">
      <w:start w:val="1"/>
      <w:numFmt w:val="decimal"/>
      <w:lvlText w:val="%1."/>
      <w:lvlJc w:val="left"/>
      <w:pPr>
        <w:tabs>
          <w:tab w:val="left" w:pos="312"/>
        </w:tabs>
      </w:pPr>
    </w:lvl>
  </w:abstractNum>
  <w:abstractNum w:abstractNumId="4">
    <w:nsid w:val="D74D7279"/>
    <w:multiLevelType w:val="singleLevel"/>
    <w:tmpl w:val="D74D7279"/>
    <w:lvl w:ilvl="0" w:tentative="0">
      <w:start w:val="1"/>
      <w:numFmt w:val="decimal"/>
      <w:lvlText w:val="%1."/>
      <w:lvlJc w:val="left"/>
      <w:pPr>
        <w:ind w:left="425" w:hanging="425"/>
      </w:pPr>
      <w:rPr>
        <w:rFonts w:hint="default"/>
      </w:rPr>
    </w:lvl>
  </w:abstractNum>
  <w:abstractNum w:abstractNumId="5">
    <w:nsid w:val="DCCCDF0C"/>
    <w:multiLevelType w:val="multilevel"/>
    <w:tmpl w:val="DCCCDF0C"/>
    <w:lvl w:ilvl="0" w:tentative="0">
      <w:start w:val="5"/>
      <w:numFmt w:val="japaneseCounting"/>
      <w:lvlText w:val="%1、"/>
      <w:lvlJc w:val="left"/>
      <w:pPr>
        <w:ind w:left="720" w:hanging="720"/>
      </w:pPr>
      <w:rPr>
        <w:rFonts w:hint="eastAsia" w:ascii="仿宋" w:hAnsi="仿宋" w:eastAsia="仿宋" w:cs="仿宋"/>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AAC0A6E"/>
    <w:multiLevelType w:val="multilevel"/>
    <w:tmpl w:val="FAAC0A6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F126F35"/>
    <w:multiLevelType w:val="singleLevel"/>
    <w:tmpl w:val="0F126F35"/>
    <w:lvl w:ilvl="0" w:tentative="0">
      <w:start w:val="3"/>
      <w:numFmt w:val="decimal"/>
      <w:suff w:val="nothing"/>
      <w:lvlText w:val="%1）"/>
      <w:lvlJc w:val="left"/>
    </w:lvl>
  </w:abstractNum>
  <w:abstractNum w:abstractNumId="8">
    <w:nsid w:val="18256FBB"/>
    <w:multiLevelType w:val="multilevel"/>
    <w:tmpl w:val="18256F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7E8738"/>
    <w:multiLevelType w:val="singleLevel"/>
    <w:tmpl w:val="1E7E8738"/>
    <w:lvl w:ilvl="0" w:tentative="0">
      <w:start w:val="1"/>
      <w:numFmt w:val="chineseCounting"/>
      <w:suff w:val="nothing"/>
      <w:lvlText w:val="%1、"/>
      <w:lvlJc w:val="left"/>
      <w:rPr>
        <w:rFonts w:hint="eastAsia"/>
      </w:rPr>
    </w:lvl>
  </w:abstractNum>
  <w:abstractNum w:abstractNumId="10">
    <w:nsid w:val="1E990491"/>
    <w:multiLevelType w:val="multilevel"/>
    <w:tmpl w:val="1E990491"/>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32896B14"/>
    <w:multiLevelType w:val="multilevel"/>
    <w:tmpl w:val="32896B14"/>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2">
    <w:nsid w:val="4433B09C"/>
    <w:multiLevelType w:val="singleLevel"/>
    <w:tmpl w:val="4433B09C"/>
    <w:lvl w:ilvl="0" w:tentative="0">
      <w:start w:val="1"/>
      <w:numFmt w:val="decimal"/>
      <w:lvlText w:val="%1."/>
      <w:lvlJc w:val="left"/>
      <w:pPr>
        <w:ind w:left="425" w:hanging="425"/>
      </w:pPr>
      <w:rPr>
        <w:rFonts w:hint="default"/>
      </w:rPr>
    </w:lvl>
  </w:abstractNum>
  <w:abstractNum w:abstractNumId="13">
    <w:nsid w:val="47BC4C0E"/>
    <w:multiLevelType w:val="multilevel"/>
    <w:tmpl w:val="47BC4C0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75DA271"/>
    <w:multiLevelType w:val="singleLevel"/>
    <w:tmpl w:val="575DA271"/>
    <w:lvl w:ilvl="0" w:tentative="0">
      <w:start w:val="2"/>
      <w:numFmt w:val="decimal"/>
      <w:suff w:val="nothing"/>
      <w:lvlText w:val="（%1）"/>
      <w:lvlJc w:val="left"/>
    </w:lvl>
  </w:abstractNum>
  <w:abstractNum w:abstractNumId="16">
    <w:nsid w:val="6FEF5E58"/>
    <w:multiLevelType w:val="singleLevel"/>
    <w:tmpl w:val="6FEF5E58"/>
    <w:lvl w:ilvl="0" w:tentative="0">
      <w:start w:val="1"/>
      <w:numFmt w:val="decimal"/>
      <w:lvlText w:val="%1."/>
      <w:lvlJc w:val="left"/>
      <w:pPr>
        <w:ind w:left="425" w:hanging="425"/>
      </w:pPr>
      <w:rPr>
        <w:rFonts w:hint="default"/>
      </w:rPr>
    </w:lvl>
  </w:abstractNum>
  <w:abstractNum w:abstractNumId="17">
    <w:nsid w:val="72FE3EE5"/>
    <w:multiLevelType w:val="multilevel"/>
    <w:tmpl w:val="72FE3EE5"/>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2"/>
  </w:num>
  <w:num w:numId="3">
    <w:abstractNumId w:val="4"/>
  </w:num>
  <w:num w:numId="4">
    <w:abstractNumId w:val="12"/>
  </w:num>
  <w:num w:numId="5">
    <w:abstractNumId w:val="9"/>
  </w:num>
  <w:num w:numId="6">
    <w:abstractNumId w:val="7"/>
  </w:num>
  <w:num w:numId="7">
    <w:abstractNumId w:val="13"/>
  </w:num>
  <w:num w:numId="8">
    <w:abstractNumId w:val="17"/>
  </w:num>
  <w:num w:numId="9">
    <w:abstractNumId w:val="11"/>
  </w:num>
  <w:num w:numId="10">
    <w:abstractNumId w:val="10"/>
  </w:num>
  <w:num w:numId="11">
    <w:abstractNumId w:val="8"/>
  </w:num>
  <w:num w:numId="12">
    <w:abstractNumId w:val="14"/>
  </w:num>
  <w:num w:numId="13">
    <w:abstractNumId w:val="1"/>
  </w:num>
  <w:num w:numId="14">
    <w:abstractNumId w:val="6"/>
  </w:num>
  <w:num w:numId="15">
    <w:abstractNumId w:val="5"/>
  </w:num>
  <w:num w:numId="16">
    <w:abstractNumId w:val="3"/>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OTg3NzVhMDZmMDNlZWIxMzI1YTIyODJjZmZlMGU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3E2F"/>
    <w:rsid w:val="00036AA1"/>
    <w:rsid w:val="0004434C"/>
    <w:rsid w:val="000448A7"/>
    <w:rsid w:val="00045399"/>
    <w:rsid w:val="000511F8"/>
    <w:rsid w:val="00052538"/>
    <w:rsid w:val="00052F28"/>
    <w:rsid w:val="00054BEA"/>
    <w:rsid w:val="000564E4"/>
    <w:rsid w:val="00056DA5"/>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18F2"/>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D51"/>
    <w:rsid w:val="00151F92"/>
    <w:rsid w:val="00151FDD"/>
    <w:rsid w:val="00152B0B"/>
    <w:rsid w:val="00153982"/>
    <w:rsid w:val="00154B4E"/>
    <w:rsid w:val="00156122"/>
    <w:rsid w:val="00161836"/>
    <w:rsid w:val="0016308B"/>
    <w:rsid w:val="0016311A"/>
    <w:rsid w:val="001637CA"/>
    <w:rsid w:val="00164B35"/>
    <w:rsid w:val="00164EA0"/>
    <w:rsid w:val="00165E64"/>
    <w:rsid w:val="00166543"/>
    <w:rsid w:val="001668AB"/>
    <w:rsid w:val="00166CA6"/>
    <w:rsid w:val="0016757F"/>
    <w:rsid w:val="00172A27"/>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209D"/>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0E1"/>
    <w:rsid w:val="0023779E"/>
    <w:rsid w:val="00241593"/>
    <w:rsid w:val="002425EF"/>
    <w:rsid w:val="002430AE"/>
    <w:rsid w:val="002442AE"/>
    <w:rsid w:val="002464B3"/>
    <w:rsid w:val="00246B2C"/>
    <w:rsid w:val="002501D4"/>
    <w:rsid w:val="00250DFF"/>
    <w:rsid w:val="0025506F"/>
    <w:rsid w:val="00257050"/>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874E5"/>
    <w:rsid w:val="00291712"/>
    <w:rsid w:val="002917F6"/>
    <w:rsid w:val="002923F7"/>
    <w:rsid w:val="00292F68"/>
    <w:rsid w:val="00293200"/>
    <w:rsid w:val="00293CCD"/>
    <w:rsid w:val="00296F68"/>
    <w:rsid w:val="00297961"/>
    <w:rsid w:val="002A3080"/>
    <w:rsid w:val="002A380A"/>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5375"/>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125B"/>
    <w:rsid w:val="003B22E5"/>
    <w:rsid w:val="003B347E"/>
    <w:rsid w:val="003B37ED"/>
    <w:rsid w:val="003B7278"/>
    <w:rsid w:val="003C0FA3"/>
    <w:rsid w:val="003C1DB0"/>
    <w:rsid w:val="003C4DBC"/>
    <w:rsid w:val="003C6B39"/>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3F7B88"/>
    <w:rsid w:val="004015C9"/>
    <w:rsid w:val="004021B9"/>
    <w:rsid w:val="00402F9A"/>
    <w:rsid w:val="0040373E"/>
    <w:rsid w:val="00404ABB"/>
    <w:rsid w:val="0041175E"/>
    <w:rsid w:val="004120C9"/>
    <w:rsid w:val="00412D83"/>
    <w:rsid w:val="00412FF3"/>
    <w:rsid w:val="004147DE"/>
    <w:rsid w:val="004149B0"/>
    <w:rsid w:val="00416822"/>
    <w:rsid w:val="00416A23"/>
    <w:rsid w:val="00420198"/>
    <w:rsid w:val="00420356"/>
    <w:rsid w:val="00421828"/>
    <w:rsid w:val="00421A12"/>
    <w:rsid w:val="00421F27"/>
    <w:rsid w:val="00424B8E"/>
    <w:rsid w:val="00425950"/>
    <w:rsid w:val="0042604E"/>
    <w:rsid w:val="004260C3"/>
    <w:rsid w:val="004317B9"/>
    <w:rsid w:val="0043585F"/>
    <w:rsid w:val="00436438"/>
    <w:rsid w:val="00442819"/>
    <w:rsid w:val="004428B6"/>
    <w:rsid w:val="004449CD"/>
    <w:rsid w:val="0044552C"/>
    <w:rsid w:val="0045170B"/>
    <w:rsid w:val="0045224A"/>
    <w:rsid w:val="00457BF1"/>
    <w:rsid w:val="00457EAC"/>
    <w:rsid w:val="00460072"/>
    <w:rsid w:val="00460679"/>
    <w:rsid w:val="00461543"/>
    <w:rsid w:val="004632CD"/>
    <w:rsid w:val="00463B4E"/>
    <w:rsid w:val="00464DA5"/>
    <w:rsid w:val="00465235"/>
    <w:rsid w:val="00467AA1"/>
    <w:rsid w:val="0047247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534E"/>
    <w:rsid w:val="004B7E2C"/>
    <w:rsid w:val="004C0AE1"/>
    <w:rsid w:val="004C123B"/>
    <w:rsid w:val="004C1976"/>
    <w:rsid w:val="004C1D85"/>
    <w:rsid w:val="004C285D"/>
    <w:rsid w:val="004C3B20"/>
    <w:rsid w:val="004C3FFA"/>
    <w:rsid w:val="004C6047"/>
    <w:rsid w:val="004C6275"/>
    <w:rsid w:val="004C6DCC"/>
    <w:rsid w:val="004D04C0"/>
    <w:rsid w:val="004D13B4"/>
    <w:rsid w:val="004D1F23"/>
    <w:rsid w:val="004D3D52"/>
    <w:rsid w:val="004D530A"/>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06461"/>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6138"/>
    <w:rsid w:val="00537592"/>
    <w:rsid w:val="005411E7"/>
    <w:rsid w:val="00541EF1"/>
    <w:rsid w:val="005436CE"/>
    <w:rsid w:val="00545552"/>
    <w:rsid w:val="00545EC2"/>
    <w:rsid w:val="00547C06"/>
    <w:rsid w:val="00551738"/>
    <w:rsid w:val="00554D13"/>
    <w:rsid w:val="005550A5"/>
    <w:rsid w:val="005579F8"/>
    <w:rsid w:val="00561A0D"/>
    <w:rsid w:val="0056294A"/>
    <w:rsid w:val="005631C9"/>
    <w:rsid w:val="005643DC"/>
    <w:rsid w:val="00565A5A"/>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28D4"/>
    <w:rsid w:val="00605F56"/>
    <w:rsid w:val="00606D97"/>
    <w:rsid w:val="00606F56"/>
    <w:rsid w:val="0060740E"/>
    <w:rsid w:val="006110CF"/>
    <w:rsid w:val="00611802"/>
    <w:rsid w:val="00611D69"/>
    <w:rsid w:val="0061413B"/>
    <w:rsid w:val="00615B4D"/>
    <w:rsid w:val="0061740C"/>
    <w:rsid w:val="00621344"/>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3203"/>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A75BC"/>
    <w:rsid w:val="006B0E03"/>
    <w:rsid w:val="006B1AC1"/>
    <w:rsid w:val="006B2DB4"/>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E6B"/>
    <w:rsid w:val="00762049"/>
    <w:rsid w:val="00762B90"/>
    <w:rsid w:val="00762D11"/>
    <w:rsid w:val="00763FF7"/>
    <w:rsid w:val="00764455"/>
    <w:rsid w:val="0076717B"/>
    <w:rsid w:val="00767EE5"/>
    <w:rsid w:val="00771460"/>
    <w:rsid w:val="0077277F"/>
    <w:rsid w:val="00772DF6"/>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1A"/>
    <w:rsid w:val="007A594B"/>
    <w:rsid w:val="007A7E11"/>
    <w:rsid w:val="007B0A82"/>
    <w:rsid w:val="007B1C01"/>
    <w:rsid w:val="007B783B"/>
    <w:rsid w:val="007C07ED"/>
    <w:rsid w:val="007C18BA"/>
    <w:rsid w:val="007C214D"/>
    <w:rsid w:val="007C458F"/>
    <w:rsid w:val="007C4818"/>
    <w:rsid w:val="007C5993"/>
    <w:rsid w:val="007C5A86"/>
    <w:rsid w:val="007C5B09"/>
    <w:rsid w:val="007C6DEC"/>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1D0D"/>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3B9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4A38"/>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60C7"/>
    <w:rsid w:val="00960FD1"/>
    <w:rsid w:val="009613F6"/>
    <w:rsid w:val="00961EB0"/>
    <w:rsid w:val="00963B08"/>
    <w:rsid w:val="009646F7"/>
    <w:rsid w:val="00965395"/>
    <w:rsid w:val="00965516"/>
    <w:rsid w:val="00965BD5"/>
    <w:rsid w:val="00966BC6"/>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1E41"/>
    <w:rsid w:val="009C2FF2"/>
    <w:rsid w:val="009C3F12"/>
    <w:rsid w:val="009C4A68"/>
    <w:rsid w:val="009C66DD"/>
    <w:rsid w:val="009C6EFE"/>
    <w:rsid w:val="009C7376"/>
    <w:rsid w:val="009C7815"/>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5584"/>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00F"/>
    <w:rsid w:val="00AD1667"/>
    <w:rsid w:val="00AD273C"/>
    <w:rsid w:val="00AD2978"/>
    <w:rsid w:val="00AD4AD4"/>
    <w:rsid w:val="00AD527C"/>
    <w:rsid w:val="00AD5AE0"/>
    <w:rsid w:val="00AD68B3"/>
    <w:rsid w:val="00AD696A"/>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57860"/>
    <w:rsid w:val="00B605D0"/>
    <w:rsid w:val="00B6270A"/>
    <w:rsid w:val="00B627E6"/>
    <w:rsid w:val="00B65722"/>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97E45"/>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39C5"/>
    <w:rsid w:val="00BC6B22"/>
    <w:rsid w:val="00BC79B8"/>
    <w:rsid w:val="00BD0F3A"/>
    <w:rsid w:val="00BD100F"/>
    <w:rsid w:val="00BD10C7"/>
    <w:rsid w:val="00BD15AC"/>
    <w:rsid w:val="00BD2875"/>
    <w:rsid w:val="00BD3045"/>
    <w:rsid w:val="00BD54E8"/>
    <w:rsid w:val="00BE00E6"/>
    <w:rsid w:val="00BE2F7C"/>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061D"/>
    <w:rsid w:val="00C2384B"/>
    <w:rsid w:val="00C30125"/>
    <w:rsid w:val="00C312E7"/>
    <w:rsid w:val="00C33860"/>
    <w:rsid w:val="00C338F2"/>
    <w:rsid w:val="00C3393D"/>
    <w:rsid w:val="00C33AE8"/>
    <w:rsid w:val="00C34382"/>
    <w:rsid w:val="00C345E4"/>
    <w:rsid w:val="00C34D8C"/>
    <w:rsid w:val="00C41382"/>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3D95"/>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4C89"/>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48DA"/>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3666"/>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5650A"/>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272"/>
    <w:rsid w:val="00E1757E"/>
    <w:rsid w:val="00E17B7D"/>
    <w:rsid w:val="00E23B23"/>
    <w:rsid w:val="00E27064"/>
    <w:rsid w:val="00E3082D"/>
    <w:rsid w:val="00E31129"/>
    <w:rsid w:val="00E36AFC"/>
    <w:rsid w:val="00E4006D"/>
    <w:rsid w:val="00E4081A"/>
    <w:rsid w:val="00E40F6F"/>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320F"/>
    <w:rsid w:val="00EA46D2"/>
    <w:rsid w:val="00EA49A1"/>
    <w:rsid w:val="00EA53C1"/>
    <w:rsid w:val="00EA6B6E"/>
    <w:rsid w:val="00EB1C7A"/>
    <w:rsid w:val="00EB1C9C"/>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6E85"/>
    <w:rsid w:val="00EE79D0"/>
    <w:rsid w:val="00EF08D3"/>
    <w:rsid w:val="00EF285E"/>
    <w:rsid w:val="00EF4393"/>
    <w:rsid w:val="00EF4BB8"/>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F7186B"/>
    <w:rsid w:val="02034168"/>
    <w:rsid w:val="02327BE7"/>
    <w:rsid w:val="023B54FA"/>
    <w:rsid w:val="02605D06"/>
    <w:rsid w:val="02633999"/>
    <w:rsid w:val="026D59E2"/>
    <w:rsid w:val="028F7F02"/>
    <w:rsid w:val="029528F2"/>
    <w:rsid w:val="02AE1415"/>
    <w:rsid w:val="02B56378"/>
    <w:rsid w:val="02C236E5"/>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629570D"/>
    <w:rsid w:val="063C49FB"/>
    <w:rsid w:val="064858BF"/>
    <w:rsid w:val="066C5EC4"/>
    <w:rsid w:val="067445DA"/>
    <w:rsid w:val="06747459"/>
    <w:rsid w:val="067936B9"/>
    <w:rsid w:val="067F07CD"/>
    <w:rsid w:val="069A302D"/>
    <w:rsid w:val="06A855A6"/>
    <w:rsid w:val="06B50D55"/>
    <w:rsid w:val="06C3375C"/>
    <w:rsid w:val="06C3434A"/>
    <w:rsid w:val="06C65535"/>
    <w:rsid w:val="06D73FD8"/>
    <w:rsid w:val="06DD6B90"/>
    <w:rsid w:val="06F827EF"/>
    <w:rsid w:val="06FF7F7C"/>
    <w:rsid w:val="07355F36"/>
    <w:rsid w:val="073F09E0"/>
    <w:rsid w:val="0744464A"/>
    <w:rsid w:val="0758572E"/>
    <w:rsid w:val="07AF2033"/>
    <w:rsid w:val="07B3433B"/>
    <w:rsid w:val="07C378EB"/>
    <w:rsid w:val="07D16C50"/>
    <w:rsid w:val="07F67816"/>
    <w:rsid w:val="08006357"/>
    <w:rsid w:val="08105894"/>
    <w:rsid w:val="082B3D5A"/>
    <w:rsid w:val="087005FA"/>
    <w:rsid w:val="08954181"/>
    <w:rsid w:val="08964790"/>
    <w:rsid w:val="08A80D6B"/>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C675F"/>
    <w:rsid w:val="0A514D0B"/>
    <w:rsid w:val="0A81255E"/>
    <w:rsid w:val="0A932A96"/>
    <w:rsid w:val="0A975FEE"/>
    <w:rsid w:val="0AAB7CC3"/>
    <w:rsid w:val="0AC80E5F"/>
    <w:rsid w:val="0ACB4F8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E0BA4"/>
    <w:rsid w:val="0BE5040A"/>
    <w:rsid w:val="0C2879A2"/>
    <w:rsid w:val="0C403268"/>
    <w:rsid w:val="0C4D1AF4"/>
    <w:rsid w:val="0C7F5E63"/>
    <w:rsid w:val="0C864D4F"/>
    <w:rsid w:val="0C867E84"/>
    <w:rsid w:val="0C874EE1"/>
    <w:rsid w:val="0C9C23ED"/>
    <w:rsid w:val="0CA160AC"/>
    <w:rsid w:val="0CA838F7"/>
    <w:rsid w:val="0CCD33BA"/>
    <w:rsid w:val="0CD25268"/>
    <w:rsid w:val="0CD709A1"/>
    <w:rsid w:val="0CD845BB"/>
    <w:rsid w:val="0CDE7617"/>
    <w:rsid w:val="0CF7666B"/>
    <w:rsid w:val="0D0172AA"/>
    <w:rsid w:val="0D076299"/>
    <w:rsid w:val="0D0B0E0E"/>
    <w:rsid w:val="0D1B1ACD"/>
    <w:rsid w:val="0D356B40"/>
    <w:rsid w:val="0D384A74"/>
    <w:rsid w:val="0D3F78DE"/>
    <w:rsid w:val="0D4B4C33"/>
    <w:rsid w:val="0D5B242A"/>
    <w:rsid w:val="0D5B2BE4"/>
    <w:rsid w:val="0D693873"/>
    <w:rsid w:val="0D7D6F4F"/>
    <w:rsid w:val="0D841B73"/>
    <w:rsid w:val="0DA41AC3"/>
    <w:rsid w:val="0DB405B0"/>
    <w:rsid w:val="0DB44368"/>
    <w:rsid w:val="0DCC1553"/>
    <w:rsid w:val="0DD071C2"/>
    <w:rsid w:val="0DD424F9"/>
    <w:rsid w:val="0DE26A14"/>
    <w:rsid w:val="0DF625CA"/>
    <w:rsid w:val="0DFA164C"/>
    <w:rsid w:val="0E0A5DCA"/>
    <w:rsid w:val="0E1F73EE"/>
    <w:rsid w:val="0E4A266A"/>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457E30"/>
    <w:rsid w:val="13636461"/>
    <w:rsid w:val="13B261F6"/>
    <w:rsid w:val="13C11DA1"/>
    <w:rsid w:val="14027543"/>
    <w:rsid w:val="14051FC2"/>
    <w:rsid w:val="141230DF"/>
    <w:rsid w:val="14162D4E"/>
    <w:rsid w:val="14251166"/>
    <w:rsid w:val="14251AF4"/>
    <w:rsid w:val="14262115"/>
    <w:rsid w:val="14664016"/>
    <w:rsid w:val="146B0942"/>
    <w:rsid w:val="148E2D5B"/>
    <w:rsid w:val="14A15FEF"/>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BF0B1B"/>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7F63FFE"/>
    <w:rsid w:val="18032F06"/>
    <w:rsid w:val="180B7461"/>
    <w:rsid w:val="180F5368"/>
    <w:rsid w:val="181D188F"/>
    <w:rsid w:val="184009B1"/>
    <w:rsid w:val="188D37CC"/>
    <w:rsid w:val="189A33BD"/>
    <w:rsid w:val="18BD2BB2"/>
    <w:rsid w:val="18C309BD"/>
    <w:rsid w:val="18DF15BF"/>
    <w:rsid w:val="18E01938"/>
    <w:rsid w:val="18E77607"/>
    <w:rsid w:val="191363B2"/>
    <w:rsid w:val="19276719"/>
    <w:rsid w:val="19305E07"/>
    <w:rsid w:val="19782CD1"/>
    <w:rsid w:val="198A29AB"/>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E00997"/>
    <w:rsid w:val="1DEB7C0B"/>
    <w:rsid w:val="1DEF3485"/>
    <w:rsid w:val="1E0D0FBF"/>
    <w:rsid w:val="1E2252DC"/>
    <w:rsid w:val="1E395CBB"/>
    <w:rsid w:val="1E494A55"/>
    <w:rsid w:val="1E4B5D7B"/>
    <w:rsid w:val="1E6A3E05"/>
    <w:rsid w:val="1E6C5614"/>
    <w:rsid w:val="1E98100B"/>
    <w:rsid w:val="1E997651"/>
    <w:rsid w:val="1EB94F42"/>
    <w:rsid w:val="1EC32DAE"/>
    <w:rsid w:val="1EDE3461"/>
    <w:rsid w:val="1EF65CB8"/>
    <w:rsid w:val="1F237B61"/>
    <w:rsid w:val="1F246C19"/>
    <w:rsid w:val="1F280FF9"/>
    <w:rsid w:val="1F455F33"/>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D86905"/>
    <w:rsid w:val="20DD0A0C"/>
    <w:rsid w:val="20E162FF"/>
    <w:rsid w:val="20EF110F"/>
    <w:rsid w:val="20FF5C55"/>
    <w:rsid w:val="211E3A59"/>
    <w:rsid w:val="21443574"/>
    <w:rsid w:val="214B0C28"/>
    <w:rsid w:val="2191100B"/>
    <w:rsid w:val="21971F32"/>
    <w:rsid w:val="21B87493"/>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35C58"/>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2576A"/>
    <w:rsid w:val="2E555BF3"/>
    <w:rsid w:val="2E5E61C2"/>
    <w:rsid w:val="2E657877"/>
    <w:rsid w:val="2E660AB2"/>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451D4"/>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9A0963"/>
    <w:rsid w:val="31A63E1A"/>
    <w:rsid w:val="31B16257"/>
    <w:rsid w:val="31B94B86"/>
    <w:rsid w:val="31EC638E"/>
    <w:rsid w:val="31F81B44"/>
    <w:rsid w:val="320D66B2"/>
    <w:rsid w:val="32326AF3"/>
    <w:rsid w:val="32401CF2"/>
    <w:rsid w:val="32490A51"/>
    <w:rsid w:val="328A3C80"/>
    <w:rsid w:val="329022FB"/>
    <w:rsid w:val="32A4716F"/>
    <w:rsid w:val="32BD2189"/>
    <w:rsid w:val="32CE2617"/>
    <w:rsid w:val="33255962"/>
    <w:rsid w:val="33282942"/>
    <w:rsid w:val="332E6F42"/>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575075"/>
    <w:rsid w:val="36743CEC"/>
    <w:rsid w:val="368C0A20"/>
    <w:rsid w:val="36A377A3"/>
    <w:rsid w:val="36CC1A47"/>
    <w:rsid w:val="36CC6949"/>
    <w:rsid w:val="36D36BD5"/>
    <w:rsid w:val="371279B3"/>
    <w:rsid w:val="37133557"/>
    <w:rsid w:val="37212DBB"/>
    <w:rsid w:val="37461E38"/>
    <w:rsid w:val="37493D16"/>
    <w:rsid w:val="374F61B4"/>
    <w:rsid w:val="37517D16"/>
    <w:rsid w:val="37520E43"/>
    <w:rsid w:val="37552147"/>
    <w:rsid w:val="377E635B"/>
    <w:rsid w:val="37935ED8"/>
    <w:rsid w:val="37C126EE"/>
    <w:rsid w:val="3801174C"/>
    <w:rsid w:val="38047135"/>
    <w:rsid w:val="38444915"/>
    <w:rsid w:val="38654DEA"/>
    <w:rsid w:val="3868154A"/>
    <w:rsid w:val="386A7754"/>
    <w:rsid w:val="387565BD"/>
    <w:rsid w:val="387756ED"/>
    <w:rsid w:val="3893323A"/>
    <w:rsid w:val="389A23BC"/>
    <w:rsid w:val="389A7F37"/>
    <w:rsid w:val="389E1315"/>
    <w:rsid w:val="38AF6970"/>
    <w:rsid w:val="38B446B2"/>
    <w:rsid w:val="38BB7F74"/>
    <w:rsid w:val="38D847CA"/>
    <w:rsid w:val="38F01C9C"/>
    <w:rsid w:val="38FE32D1"/>
    <w:rsid w:val="391379FA"/>
    <w:rsid w:val="39280EFA"/>
    <w:rsid w:val="39330B41"/>
    <w:rsid w:val="394202B4"/>
    <w:rsid w:val="395002ED"/>
    <w:rsid w:val="395D5123"/>
    <w:rsid w:val="39710CF5"/>
    <w:rsid w:val="397251C5"/>
    <w:rsid w:val="39872C9C"/>
    <w:rsid w:val="3996574B"/>
    <w:rsid w:val="39A20CFD"/>
    <w:rsid w:val="39B913B7"/>
    <w:rsid w:val="39D2770E"/>
    <w:rsid w:val="39DF2730"/>
    <w:rsid w:val="39E16E07"/>
    <w:rsid w:val="3A07340E"/>
    <w:rsid w:val="3A0A2913"/>
    <w:rsid w:val="3A1B406E"/>
    <w:rsid w:val="3A1F01DF"/>
    <w:rsid w:val="3A4678DA"/>
    <w:rsid w:val="3A6A07B4"/>
    <w:rsid w:val="3A6E38EB"/>
    <w:rsid w:val="3A727012"/>
    <w:rsid w:val="3A893FFD"/>
    <w:rsid w:val="3A8940B1"/>
    <w:rsid w:val="3AA34D2C"/>
    <w:rsid w:val="3AAC076B"/>
    <w:rsid w:val="3AC21656"/>
    <w:rsid w:val="3ACA3DDA"/>
    <w:rsid w:val="3AE85BA1"/>
    <w:rsid w:val="3AF70869"/>
    <w:rsid w:val="3B9615D2"/>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75BB8"/>
    <w:rsid w:val="40423A44"/>
    <w:rsid w:val="40423F2B"/>
    <w:rsid w:val="40597DD5"/>
    <w:rsid w:val="40780CC6"/>
    <w:rsid w:val="40923879"/>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66ED6"/>
    <w:rsid w:val="41CF1D8B"/>
    <w:rsid w:val="42002775"/>
    <w:rsid w:val="42142CEF"/>
    <w:rsid w:val="421D5DC4"/>
    <w:rsid w:val="423B5E88"/>
    <w:rsid w:val="428B3FFC"/>
    <w:rsid w:val="42900D4E"/>
    <w:rsid w:val="429F08E8"/>
    <w:rsid w:val="42C05C30"/>
    <w:rsid w:val="42CA6ECE"/>
    <w:rsid w:val="42CE54C3"/>
    <w:rsid w:val="42DF5F9E"/>
    <w:rsid w:val="42E47603"/>
    <w:rsid w:val="430F67A4"/>
    <w:rsid w:val="43315048"/>
    <w:rsid w:val="43482F52"/>
    <w:rsid w:val="435117C9"/>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8A6589"/>
    <w:rsid w:val="4A8B03C8"/>
    <w:rsid w:val="4A9119F4"/>
    <w:rsid w:val="4A9E5CB8"/>
    <w:rsid w:val="4AA303F8"/>
    <w:rsid w:val="4AB5504D"/>
    <w:rsid w:val="4ABD6726"/>
    <w:rsid w:val="4AC14F22"/>
    <w:rsid w:val="4AD85168"/>
    <w:rsid w:val="4B053160"/>
    <w:rsid w:val="4B271982"/>
    <w:rsid w:val="4B2B0CEB"/>
    <w:rsid w:val="4B5369A1"/>
    <w:rsid w:val="4B5F0435"/>
    <w:rsid w:val="4B6477BE"/>
    <w:rsid w:val="4B7E6380"/>
    <w:rsid w:val="4B810772"/>
    <w:rsid w:val="4B856A8D"/>
    <w:rsid w:val="4BC512F0"/>
    <w:rsid w:val="4BD44F67"/>
    <w:rsid w:val="4BF7253B"/>
    <w:rsid w:val="4C304D3C"/>
    <w:rsid w:val="4C332B02"/>
    <w:rsid w:val="4C3E04C0"/>
    <w:rsid w:val="4C5C06BD"/>
    <w:rsid w:val="4C721299"/>
    <w:rsid w:val="4C891286"/>
    <w:rsid w:val="4C9170DB"/>
    <w:rsid w:val="4CB3388E"/>
    <w:rsid w:val="4CEF3B10"/>
    <w:rsid w:val="4CF06E33"/>
    <w:rsid w:val="4D09027A"/>
    <w:rsid w:val="4D0E4287"/>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76982"/>
    <w:rsid w:val="51C44AA6"/>
    <w:rsid w:val="51EA690B"/>
    <w:rsid w:val="51F4704C"/>
    <w:rsid w:val="520656F7"/>
    <w:rsid w:val="52465CA0"/>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4E7C2C"/>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727B09"/>
    <w:rsid w:val="57852144"/>
    <w:rsid w:val="579371AF"/>
    <w:rsid w:val="57D72641"/>
    <w:rsid w:val="57DF49B0"/>
    <w:rsid w:val="57E871CE"/>
    <w:rsid w:val="57F36B56"/>
    <w:rsid w:val="58001151"/>
    <w:rsid w:val="580F7EE2"/>
    <w:rsid w:val="58165ED4"/>
    <w:rsid w:val="582629BD"/>
    <w:rsid w:val="582E2F97"/>
    <w:rsid w:val="583E7D0E"/>
    <w:rsid w:val="5845604A"/>
    <w:rsid w:val="584B167A"/>
    <w:rsid w:val="585D6D16"/>
    <w:rsid w:val="58695BF3"/>
    <w:rsid w:val="58771949"/>
    <w:rsid w:val="587E0F8E"/>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924415"/>
    <w:rsid w:val="5CA04DC3"/>
    <w:rsid w:val="5CA671AF"/>
    <w:rsid w:val="5CA724A4"/>
    <w:rsid w:val="5CAF19DD"/>
    <w:rsid w:val="5CB707C5"/>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45C1F"/>
    <w:rsid w:val="5E524116"/>
    <w:rsid w:val="5E58616B"/>
    <w:rsid w:val="5E743B33"/>
    <w:rsid w:val="5E8C07B2"/>
    <w:rsid w:val="5E99764E"/>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23E09"/>
    <w:rsid w:val="63D60A85"/>
    <w:rsid w:val="63F52D52"/>
    <w:rsid w:val="63FC71E3"/>
    <w:rsid w:val="64094094"/>
    <w:rsid w:val="640A7F6D"/>
    <w:rsid w:val="64184DC8"/>
    <w:rsid w:val="643D21EE"/>
    <w:rsid w:val="647212E4"/>
    <w:rsid w:val="64731AE8"/>
    <w:rsid w:val="64740DDC"/>
    <w:rsid w:val="649A64D1"/>
    <w:rsid w:val="649C183A"/>
    <w:rsid w:val="64B17EC2"/>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F353D"/>
    <w:rsid w:val="6774714C"/>
    <w:rsid w:val="67B7154F"/>
    <w:rsid w:val="67B8747C"/>
    <w:rsid w:val="67C718C7"/>
    <w:rsid w:val="67CF4511"/>
    <w:rsid w:val="67D63063"/>
    <w:rsid w:val="67FF2612"/>
    <w:rsid w:val="68061943"/>
    <w:rsid w:val="680A2964"/>
    <w:rsid w:val="68107747"/>
    <w:rsid w:val="68142AB6"/>
    <w:rsid w:val="681D527E"/>
    <w:rsid w:val="6841477E"/>
    <w:rsid w:val="68427F3D"/>
    <w:rsid w:val="685500AB"/>
    <w:rsid w:val="68552879"/>
    <w:rsid w:val="68746F73"/>
    <w:rsid w:val="68774076"/>
    <w:rsid w:val="68890E7E"/>
    <w:rsid w:val="689A1068"/>
    <w:rsid w:val="68BE3A2C"/>
    <w:rsid w:val="68D92708"/>
    <w:rsid w:val="68E249DE"/>
    <w:rsid w:val="6917091E"/>
    <w:rsid w:val="691E2ADE"/>
    <w:rsid w:val="697F4ACF"/>
    <w:rsid w:val="69873DC4"/>
    <w:rsid w:val="698F2438"/>
    <w:rsid w:val="69C37DA2"/>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AB2417"/>
    <w:rsid w:val="6CBC217F"/>
    <w:rsid w:val="6CCC08EC"/>
    <w:rsid w:val="6CD11399"/>
    <w:rsid w:val="6CD1360A"/>
    <w:rsid w:val="6CE902DE"/>
    <w:rsid w:val="6CF0563B"/>
    <w:rsid w:val="6D0A52F9"/>
    <w:rsid w:val="6D454EF0"/>
    <w:rsid w:val="6D457F16"/>
    <w:rsid w:val="6D551C34"/>
    <w:rsid w:val="6D702A25"/>
    <w:rsid w:val="6D964586"/>
    <w:rsid w:val="6D9D3DD1"/>
    <w:rsid w:val="6DBD02D1"/>
    <w:rsid w:val="6DCA5496"/>
    <w:rsid w:val="6DE40488"/>
    <w:rsid w:val="6DEE1364"/>
    <w:rsid w:val="6E2C05BA"/>
    <w:rsid w:val="6E3A37B1"/>
    <w:rsid w:val="6E93606B"/>
    <w:rsid w:val="6E952935"/>
    <w:rsid w:val="6EB46052"/>
    <w:rsid w:val="6ED62BCF"/>
    <w:rsid w:val="6EF349AA"/>
    <w:rsid w:val="6EF966EE"/>
    <w:rsid w:val="6EFF0D30"/>
    <w:rsid w:val="6F0629AB"/>
    <w:rsid w:val="6F0A12DB"/>
    <w:rsid w:val="6F0F5D1B"/>
    <w:rsid w:val="6F2649D6"/>
    <w:rsid w:val="6F4D5D6E"/>
    <w:rsid w:val="6F631DB9"/>
    <w:rsid w:val="6F803423"/>
    <w:rsid w:val="6F804A13"/>
    <w:rsid w:val="6F914DDA"/>
    <w:rsid w:val="6FA10BA6"/>
    <w:rsid w:val="6FB2692F"/>
    <w:rsid w:val="6FEB528F"/>
    <w:rsid w:val="700113EF"/>
    <w:rsid w:val="70261F5D"/>
    <w:rsid w:val="7034384E"/>
    <w:rsid w:val="704040B4"/>
    <w:rsid w:val="705474F6"/>
    <w:rsid w:val="706B14D6"/>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830630"/>
    <w:rsid w:val="719B5694"/>
    <w:rsid w:val="71A35AFD"/>
    <w:rsid w:val="71B7635C"/>
    <w:rsid w:val="71CD290F"/>
    <w:rsid w:val="71D742ED"/>
    <w:rsid w:val="71FD01CD"/>
    <w:rsid w:val="72087E20"/>
    <w:rsid w:val="722929AE"/>
    <w:rsid w:val="726E7232"/>
    <w:rsid w:val="72761DC0"/>
    <w:rsid w:val="72777783"/>
    <w:rsid w:val="728C37A3"/>
    <w:rsid w:val="72925148"/>
    <w:rsid w:val="729A7C74"/>
    <w:rsid w:val="72A1688B"/>
    <w:rsid w:val="72A81FBB"/>
    <w:rsid w:val="73485414"/>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539FB"/>
    <w:rsid w:val="76E66613"/>
    <w:rsid w:val="773329B9"/>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82A2E"/>
    <w:rsid w:val="78B13C38"/>
    <w:rsid w:val="78B45AC2"/>
    <w:rsid w:val="78BB47FD"/>
    <w:rsid w:val="78CF0725"/>
    <w:rsid w:val="78E0091E"/>
    <w:rsid w:val="79572D4B"/>
    <w:rsid w:val="79672A2C"/>
    <w:rsid w:val="79677668"/>
    <w:rsid w:val="797E13C1"/>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2D71FD"/>
    <w:rsid w:val="7D353BF5"/>
    <w:rsid w:val="7D655346"/>
    <w:rsid w:val="7D7822A2"/>
    <w:rsid w:val="7DCB40B8"/>
    <w:rsid w:val="7DD82B9E"/>
    <w:rsid w:val="7DEE2790"/>
    <w:rsid w:val="7E0B0CB6"/>
    <w:rsid w:val="7E4822D1"/>
    <w:rsid w:val="7E530D29"/>
    <w:rsid w:val="7E581952"/>
    <w:rsid w:val="7E886D5C"/>
    <w:rsid w:val="7E907C0B"/>
    <w:rsid w:val="7EAF2129"/>
    <w:rsid w:val="7EB63253"/>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spacing w:line="578" w:lineRule="auto"/>
      <w:outlineLvl w:val="0"/>
    </w:pPr>
    <w:rPr>
      <w:b/>
      <w:bCs/>
      <w:kern w:val="44"/>
      <w:sz w:val="44"/>
      <w:szCs w:val="44"/>
    </w:rPr>
  </w:style>
  <w:style w:type="paragraph" w:styleId="3">
    <w:name w:val="heading 2"/>
    <w:basedOn w:val="1"/>
    <w:next w:val="4"/>
    <w:link w:val="63"/>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link w:val="65"/>
    <w:qFormat/>
    <w:uiPriority w:val="0"/>
    <w:pPr>
      <w:keepNext/>
      <w:keepLines/>
      <w:spacing w:line="416" w:lineRule="auto"/>
      <w:outlineLvl w:val="2"/>
    </w:pPr>
    <w:rPr>
      <w:b/>
      <w:bCs/>
      <w:sz w:val="32"/>
      <w:szCs w:val="32"/>
    </w:rPr>
  </w:style>
  <w:style w:type="paragraph" w:styleId="6">
    <w:name w:val="heading 4"/>
    <w:basedOn w:val="1"/>
    <w:next w:val="1"/>
    <w:link w:val="66"/>
    <w:qFormat/>
    <w:uiPriority w:val="0"/>
    <w:pPr>
      <w:keepNext/>
      <w:keepLines/>
      <w:spacing w:line="376" w:lineRule="auto"/>
      <w:outlineLvl w:val="3"/>
    </w:pPr>
    <w:rPr>
      <w:rFonts w:ascii="Arial" w:hAnsi="Arial" w:eastAsia="黑体"/>
      <w:b/>
      <w:bCs/>
      <w:sz w:val="28"/>
      <w:szCs w:val="28"/>
    </w:rPr>
  </w:style>
  <w:style w:type="paragraph" w:styleId="7">
    <w:name w:val="heading 5"/>
    <w:basedOn w:val="1"/>
    <w:next w:val="4"/>
    <w:link w:val="67"/>
    <w:qFormat/>
    <w:uiPriority w:val="0"/>
    <w:pPr>
      <w:keepNext/>
      <w:tabs>
        <w:tab w:val="left" w:pos="1008"/>
      </w:tabs>
      <w:autoSpaceDE w:val="0"/>
      <w:autoSpaceDN w:val="0"/>
      <w:adjustRightInd w:val="0"/>
      <w:snapToGrid w:val="0"/>
      <w:spacing w:line="376" w:lineRule="auto"/>
      <w:ind w:left="1008" w:hanging="1008"/>
      <w:outlineLvl w:val="4"/>
    </w:pPr>
    <w:rPr>
      <w:rFonts w:ascii="宋体"/>
      <w:b/>
      <w:snapToGrid w:val="0"/>
      <w:color w:val="000000"/>
      <w:kern w:val="0"/>
      <w:sz w:val="28"/>
      <w:szCs w:val="20"/>
    </w:rPr>
  </w:style>
  <w:style w:type="paragraph" w:styleId="8">
    <w:name w:val="heading 6"/>
    <w:basedOn w:val="1"/>
    <w:next w:val="4"/>
    <w:link w:val="68"/>
    <w:qFormat/>
    <w:uiPriority w:val="0"/>
    <w:pPr>
      <w:keepNext/>
      <w:tabs>
        <w:tab w:val="left" w:pos="1152"/>
      </w:tabs>
      <w:autoSpaceDE w:val="0"/>
      <w:autoSpaceDN w:val="0"/>
      <w:adjustRightInd w:val="0"/>
      <w:snapToGrid w:val="0"/>
      <w:spacing w:line="320" w:lineRule="auto"/>
      <w:ind w:left="1152" w:hanging="1152"/>
      <w:outlineLvl w:val="5"/>
    </w:pPr>
    <w:rPr>
      <w:rFonts w:ascii="Arial" w:hAnsi="Arial" w:eastAsia="黑体"/>
      <w:b/>
      <w:snapToGrid w:val="0"/>
      <w:color w:val="000000"/>
      <w:kern w:val="0"/>
      <w:sz w:val="24"/>
      <w:szCs w:val="20"/>
    </w:rPr>
  </w:style>
  <w:style w:type="paragraph" w:styleId="9">
    <w:name w:val="heading 7"/>
    <w:basedOn w:val="1"/>
    <w:next w:val="4"/>
    <w:link w:val="69"/>
    <w:qFormat/>
    <w:uiPriority w:val="0"/>
    <w:pPr>
      <w:keepNext/>
      <w:tabs>
        <w:tab w:val="left" w:pos="1296"/>
      </w:tabs>
      <w:autoSpaceDE w:val="0"/>
      <w:autoSpaceDN w:val="0"/>
      <w:adjustRightInd w:val="0"/>
      <w:snapToGrid w:val="0"/>
      <w:spacing w:line="320" w:lineRule="auto"/>
      <w:ind w:left="1296" w:hanging="1296"/>
      <w:outlineLvl w:val="6"/>
    </w:pPr>
    <w:rPr>
      <w:rFonts w:ascii="宋体"/>
      <w:b/>
      <w:snapToGrid w:val="0"/>
      <w:color w:val="000000"/>
      <w:kern w:val="0"/>
      <w:sz w:val="24"/>
      <w:szCs w:val="20"/>
    </w:rPr>
  </w:style>
  <w:style w:type="paragraph" w:styleId="10">
    <w:name w:val="heading 8"/>
    <w:basedOn w:val="1"/>
    <w:next w:val="4"/>
    <w:link w:val="70"/>
    <w:qFormat/>
    <w:uiPriority w:val="0"/>
    <w:pPr>
      <w:keepNext/>
      <w:tabs>
        <w:tab w:val="left" w:pos="1440"/>
      </w:tabs>
      <w:autoSpaceDE w:val="0"/>
      <w:autoSpaceDN w:val="0"/>
      <w:adjustRightInd w:val="0"/>
      <w:snapToGrid w:val="0"/>
      <w:spacing w:line="320" w:lineRule="auto"/>
      <w:ind w:left="1440" w:hanging="1440"/>
      <w:outlineLvl w:val="7"/>
    </w:pPr>
    <w:rPr>
      <w:rFonts w:ascii="Arial" w:hAnsi="Arial" w:eastAsia="黑体"/>
      <w:snapToGrid w:val="0"/>
      <w:color w:val="000000"/>
      <w:kern w:val="0"/>
      <w:sz w:val="24"/>
      <w:szCs w:val="20"/>
    </w:rPr>
  </w:style>
  <w:style w:type="paragraph" w:styleId="11">
    <w:name w:val="heading 9"/>
    <w:basedOn w:val="1"/>
    <w:next w:val="4"/>
    <w:link w:val="71"/>
    <w:qFormat/>
    <w:uiPriority w:val="0"/>
    <w:pPr>
      <w:keepNext/>
      <w:tabs>
        <w:tab w:val="left" w:pos="1584"/>
      </w:tabs>
      <w:autoSpaceDE w:val="0"/>
      <w:autoSpaceDN w:val="0"/>
      <w:adjustRightInd w:val="0"/>
      <w:snapToGrid w:val="0"/>
      <w:spacing w:line="320" w:lineRule="auto"/>
      <w:ind w:left="1584" w:hanging="1584"/>
      <w:outlineLvl w:val="8"/>
    </w:pPr>
    <w:rPr>
      <w:rFonts w:ascii="Arial" w:hAnsi="Arial" w:eastAsia="黑体"/>
      <w:snapToGrid w:val="0"/>
      <w:color w:val="000000"/>
      <w:kern w:val="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ind w:firstLine="420"/>
    </w:pPr>
    <w:rPr>
      <w:szCs w:val="20"/>
    </w:rPr>
  </w:style>
  <w:style w:type="paragraph" w:styleId="12">
    <w:name w:val="toc 7"/>
    <w:basedOn w:val="1"/>
    <w:next w:val="1"/>
    <w:qFormat/>
    <w:uiPriority w:val="0"/>
    <w:pPr>
      <w:ind w:left="1260"/>
      <w:jc w:val="left"/>
    </w:pPr>
    <w:rPr>
      <w:rFonts w:ascii="Calibri" w:hAnsi="Calibri"/>
      <w:sz w:val="18"/>
      <w:szCs w:val="18"/>
    </w:rPr>
  </w:style>
  <w:style w:type="paragraph" w:styleId="13">
    <w:name w:val="caption"/>
    <w:basedOn w:val="1"/>
    <w:next w:val="1"/>
    <w:qFormat/>
    <w:uiPriority w:val="0"/>
    <w:rPr>
      <w:rFonts w:ascii="Arial" w:hAnsi="Arial" w:eastAsia="黑体" w:cs="Arial"/>
      <w:sz w:val="20"/>
      <w:szCs w:val="20"/>
    </w:rPr>
  </w:style>
  <w:style w:type="paragraph" w:styleId="14">
    <w:name w:val="List Bullet"/>
    <w:basedOn w:val="1"/>
    <w:qFormat/>
    <w:uiPriority w:val="0"/>
    <w:pPr>
      <w:keepNext/>
    </w:pPr>
    <w:rPr>
      <w:sz w:val="18"/>
      <w:szCs w:val="18"/>
    </w:rPr>
  </w:style>
  <w:style w:type="paragraph" w:styleId="15">
    <w:name w:val="Document Map"/>
    <w:basedOn w:val="1"/>
    <w:qFormat/>
    <w:uiPriority w:val="0"/>
    <w:pPr>
      <w:widowControl/>
      <w:shd w:val="clear" w:color="auto" w:fill="000080"/>
      <w:jc w:val="left"/>
    </w:pPr>
    <w:rPr>
      <w:kern w:val="0"/>
      <w:szCs w:val="20"/>
    </w:rPr>
  </w:style>
  <w:style w:type="paragraph" w:styleId="16">
    <w:name w:val="toa heading"/>
    <w:basedOn w:val="1"/>
    <w:next w:val="1"/>
    <w:qFormat/>
    <w:uiPriority w:val="0"/>
    <w:pPr>
      <w:autoSpaceDE w:val="0"/>
      <w:autoSpaceDN w:val="0"/>
      <w:adjustRightInd w:val="0"/>
      <w:snapToGrid w:val="0"/>
      <w:spacing w:line="360" w:lineRule="auto"/>
    </w:pPr>
    <w:rPr>
      <w:rFonts w:ascii="Arial" w:hAnsi="Arial"/>
      <w:snapToGrid w:val="0"/>
      <w:color w:val="000000"/>
      <w:kern w:val="0"/>
      <w:szCs w:val="20"/>
    </w:rPr>
  </w:style>
  <w:style w:type="paragraph" w:styleId="17">
    <w:name w:val="annotation text"/>
    <w:basedOn w:val="1"/>
    <w:link w:val="72"/>
    <w:qFormat/>
    <w:uiPriority w:val="0"/>
    <w:pPr>
      <w:widowControl/>
      <w:jc w:val="left"/>
    </w:pPr>
    <w:rPr>
      <w:kern w:val="0"/>
      <w:szCs w:val="20"/>
    </w:rPr>
  </w:style>
  <w:style w:type="paragraph" w:styleId="18">
    <w:name w:val="Salutation"/>
    <w:basedOn w:val="1"/>
    <w:next w:val="1"/>
    <w:qFormat/>
    <w:uiPriority w:val="0"/>
  </w:style>
  <w:style w:type="paragraph" w:styleId="19">
    <w:name w:val="Body Text 3"/>
    <w:basedOn w:val="1"/>
    <w:qFormat/>
    <w:uiPriority w:val="0"/>
    <w:rPr>
      <w:sz w:val="16"/>
      <w:szCs w:val="16"/>
    </w:rPr>
  </w:style>
  <w:style w:type="paragraph" w:styleId="20">
    <w:name w:val="Body Text"/>
    <w:basedOn w:val="1"/>
    <w:next w:val="21"/>
    <w:qFormat/>
    <w:uiPriority w:val="0"/>
    <w:pPr>
      <w:spacing w:line="360" w:lineRule="auto"/>
    </w:pPr>
    <w:rPr>
      <w:szCs w:val="20"/>
    </w:rPr>
  </w:style>
  <w:style w:type="paragraph" w:styleId="21">
    <w:name w:val="toc 5"/>
    <w:basedOn w:val="1"/>
    <w:next w:val="1"/>
    <w:qFormat/>
    <w:uiPriority w:val="0"/>
    <w:pPr>
      <w:ind w:left="840"/>
      <w:jc w:val="left"/>
    </w:pPr>
    <w:rPr>
      <w:rFonts w:ascii="Calibri" w:hAnsi="Calibri"/>
      <w:sz w:val="18"/>
      <w:szCs w:val="18"/>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99"/>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Autospacing="1" w:afterAutospacing="1"/>
      <w:jc w:val="left"/>
    </w:pPr>
    <w:rPr>
      <w:rFonts w:ascii="宋体" w:hAnsi="宋体"/>
      <w:color w:val="000000"/>
      <w:kern w:val="0"/>
      <w:sz w:val="24"/>
    </w:rPr>
  </w:style>
  <w:style w:type="paragraph" w:styleId="47">
    <w:name w:val="Title"/>
    <w:basedOn w:val="1"/>
    <w:qFormat/>
    <w:uiPriority w:val="0"/>
    <w:pPr>
      <w:jc w:val="center"/>
      <w:outlineLvl w:val="0"/>
    </w:pPr>
    <w:rPr>
      <w:rFonts w:ascii="Arial" w:hAnsi="Arial" w:cs="Arial"/>
      <w:b/>
      <w:bCs/>
      <w:sz w:val="32"/>
      <w:szCs w:val="32"/>
    </w:rPr>
  </w:style>
  <w:style w:type="paragraph" w:styleId="48">
    <w:name w:val="annotation subject"/>
    <w:basedOn w:val="17"/>
    <w:next w:val="17"/>
    <w:link w:val="78"/>
    <w:qFormat/>
    <w:uiPriority w:val="0"/>
    <w:rPr>
      <w:b/>
      <w:bCs/>
    </w:rPr>
  </w:style>
  <w:style w:type="paragraph" w:styleId="49">
    <w:name w:val="Body Text First Indent"/>
    <w:basedOn w:val="20"/>
    <w:next w:val="1"/>
    <w:qFormat/>
    <w:uiPriority w:val="0"/>
    <w:pPr>
      <w:spacing w:line="240" w:lineRule="auto"/>
      <w:ind w:firstLine="420" w:firstLineChars="100"/>
    </w:pPr>
    <w:rPr>
      <w:szCs w:val="24"/>
    </w:rPr>
  </w:style>
  <w:style w:type="paragraph" w:styleId="50">
    <w:name w:val="Body Text First Indent 2"/>
    <w:basedOn w:val="22"/>
    <w:qFormat/>
    <w:uiPriority w:val="0"/>
    <w:pPr>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2"/>
    <w:qFormat/>
    <w:uiPriority w:val="0"/>
    <w:rPr>
      <w:rFonts w:eastAsia="宋体"/>
      <w:b/>
      <w:bCs/>
      <w:kern w:val="44"/>
      <w:sz w:val="44"/>
      <w:szCs w:val="44"/>
      <w:lang w:val="en-US" w:eastAsia="zh-CN" w:bidi="ar-SA"/>
    </w:rPr>
  </w:style>
  <w:style w:type="character" w:customStyle="1" w:styleId="63">
    <w:name w:val="标题 2 Char1"/>
    <w:link w:val="3"/>
    <w:qFormat/>
    <w:uiPriority w:val="0"/>
    <w:rPr>
      <w:rFonts w:ascii="Arial" w:hAnsi="Arial" w:eastAsia="黑体"/>
      <w:b/>
      <w:bCs/>
      <w:kern w:val="2"/>
      <w:sz w:val="32"/>
      <w:szCs w:val="32"/>
      <w:lang w:val="en-US" w:eastAsia="zh-CN" w:bidi="ar-SA"/>
    </w:rPr>
  </w:style>
  <w:style w:type="character" w:customStyle="1" w:styleId="64">
    <w:name w:val="正文缩进 Char"/>
    <w:link w:val="4"/>
    <w:qFormat/>
    <w:uiPriority w:val="0"/>
    <w:rPr>
      <w:rFonts w:eastAsia="宋体"/>
      <w:kern w:val="2"/>
      <w:sz w:val="21"/>
      <w:lang w:val="en-US" w:eastAsia="zh-CN" w:bidi="ar-SA"/>
    </w:rPr>
  </w:style>
  <w:style w:type="character" w:customStyle="1" w:styleId="65">
    <w:name w:val="标题 3 Char"/>
    <w:link w:val="5"/>
    <w:qFormat/>
    <w:uiPriority w:val="0"/>
    <w:rPr>
      <w:rFonts w:eastAsia="宋体"/>
      <w:b/>
      <w:bCs/>
      <w:kern w:val="2"/>
      <w:sz w:val="32"/>
      <w:szCs w:val="32"/>
      <w:lang w:val="en-US" w:eastAsia="zh-CN" w:bidi="ar-SA"/>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标题 5 Char"/>
    <w:link w:val="7"/>
    <w:qFormat/>
    <w:uiPriority w:val="0"/>
    <w:rPr>
      <w:rFonts w:ascii="宋体" w:eastAsia="宋体"/>
      <w:b/>
      <w:snapToGrid w:val="0"/>
      <w:color w:val="000000"/>
      <w:sz w:val="28"/>
      <w:lang w:val="en-US" w:eastAsia="zh-CN" w:bidi="ar-SA"/>
    </w:rPr>
  </w:style>
  <w:style w:type="character" w:customStyle="1" w:styleId="68">
    <w:name w:val="标题 6 Char"/>
    <w:link w:val="8"/>
    <w:qFormat/>
    <w:uiPriority w:val="0"/>
    <w:rPr>
      <w:rFonts w:ascii="Arial" w:hAnsi="Arial" w:eastAsia="黑体"/>
      <w:b/>
      <w:snapToGrid w:val="0"/>
      <w:color w:val="000000"/>
      <w:sz w:val="24"/>
      <w:lang w:val="en-US" w:eastAsia="zh-CN" w:bidi="ar-SA"/>
    </w:rPr>
  </w:style>
  <w:style w:type="character" w:customStyle="1" w:styleId="69">
    <w:name w:val="标题 7 Char"/>
    <w:link w:val="9"/>
    <w:qFormat/>
    <w:uiPriority w:val="0"/>
    <w:rPr>
      <w:rFonts w:ascii="宋体" w:eastAsia="宋体"/>
      <w:b/>
      <w:snapToGrid w:val="0"/>
      <w:color w:val="000000"/>
      <w:sz w:val="24"/>
      <w:lang w:val="en-US" w:eastAsia="zh-CN" w:bidi="ar-SA"/>
    </w:rPr>
  </w:style>
  <w:style w:type="character" w:customStyle="1" w:styleId="70">
    <w:name w:val="标题 8 Char"/>
    <w:link w:val="10"/>
    <w:qFormat/>
    <w:uiPriority w:val="0"/>
    <w:rPr>
      <w:rFonts w:ascii="Arial" w:hAnsi="Arial" w:eastAsia="黑体"/>
      <w:snapToGrid w:val="0"/>
      <w:color w:val="000000"/>
      <w:sz w:val="24"/>
      <w:lang w:val="en-US" w:eastAsia="zh-CN" w:bidi="ar-SA"/>
    </w:rPr>
  </w:style>
  <w:style w:type="character" w:customStyle="1" w:styleId="71">
    <w:name w:val="标题 9 Char"/>
    <w:link w:val="11"/>
    <w:qFormat/>
    <w:uiPriority w:val="0"/>
    <w:rPr>
      <w:rFonts w:ascii="Arial" w:hAnsi="Arial" w:eastAsia="黑体"/>
      <w:snapToGrid w:val="0"/>
      <w:color w:val="000000"/>
      <w:sz w:val="21"/>
      <w:lang w:val="en-US" w:eastAsia="zh-CN" w:bidi="ar-SA"/>
    </w:rPr>
  </w:style>
  <w:style w:type="character" w:customStyle="1" w:styleId="72">
    <w:name w:val="批注文字 Char"/>
    <w:link w:val="17"/>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Char Char7"/>
    <w:qFormat/>
    <w:uiPriority w:val="0"/>
    <w:rPr>
      <w:rFonts w:ascii="宋体" w:eastAsia="宋体"/>
      <w:b/>
      <w:snapToGrid w:val="0"/>
      <w:color w:val="000000"/>
      <w:sz w:val="24"/>
      <w:lang w:val="en-US" w:eastAsia="zh-CN" w:bidi="ar-SA"/>
    </w:rPr>
  </w:style>
  <w:style w:type="character" w:customStyle="1" w:styleId="96">
    <w:name w:val="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line="360" w:lineRule="auto"/>
      <w:ind w:firstLine="480" w:firstLineChars="200"/>
    </w:pPr>
    <w:rPr>
      <w:rFonts w:ascii="宋体"/>
      <w:kern w:val="0"/>
      <w:sz w:val="24"/>
      <w:szCs w:val="28"/>
    </w:rPr>
  </w:style>
  <w:style w:type="character" w:customStyle="1" w:styleId="133">
    <w:name w:val="列出段落 Char"/>
    <w:link w:val="61"/>
    <w:qFormat/>
    <w:locked/>
    <w:uiPriority w:val="34"/>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Autospacing="1"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4"/>
    <w:link w:val="161"/>
    <w:qFormat/>
    <w:uiPriority w:val="0"/>
    <w:pPr>
      <w:spacing w:line="360" w:lineRule="auto"/>
      <w:ind w:firstLine="480" w:firstLineChars="200"/>
    </w:pPr>
    <w:rPr>
      <w:sz w:val="24"/>
    </w:rPr>
  </w:style>
  <w:style w:type="character" w:customStyle="1" w:styleId="163">
    <w:name w:val="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2"/>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3"/>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Autospacing="1"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Autospacing="1"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0"/>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Autospacing="1"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Autospacing="1"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line="240" w:lineRule="exact"/>
      <w:jc w:val="left"/>
    </w:pPr>
    <w:rPr>
      <w:szCs w:val="20"/>
    </w:rPr>
  </w:style>
  <w:style w:type="paragraph" w:customStyle="1" w:styleId="186">
    <w:name w:val="四级条标题"/>
    <w:basedOn w:val="187"/>
    <w:next w:val="6"/>
    <w:qFormat/>
    <w:uiPriority w:val="0"/>
    <w:pPr>
      <w:outlineLvl w:val="5"/>
    </w:pPr>
  </w:style>
  <w:style w:type="paragraph" w:customStyle="1" w:styleId="187">
    <w:name w:val="三级条标题"/>
    <w:basedOn w:val="188"/>
    <w:next w:val="6"/>
    <w:qFormat/>
    <w:uiPriority w:val="0"/>
    <w:pPr>
      <w:ind w:left="0"/>
      <w:outlineLvl w:val="4"/>
    </w:pPr>
  </w:style>
  <w:style w:type="paragraph" w:customStyle="1" w:styleId="188">
    <w:name w:val="二级条标题"/>
    <w:basedOn w:val="189"/>
    <w:next w:val="6"/>
    <w:qFormat/>
    <w:uiPriority w:val="0"/>
    <w:pPr>
      <w:ind w:left="540"/>
      <w:outlineLvl w:val="3"/>
    </w:pPr>
  </w:style>
  <w:style w:type="paragraph" w:customStyle="1" w:styleId="189">
    <w:name w:val="一级条标题"/>
    <w:basedOn w:val="190"/>
    <w:next w:val="6"/>
    <w:qFormat/>
    <w:uiPriority w:val="0"/>
    <w:pPr>
      <w:spacing w:beforeLines="0" w:afterLines="0"/>
      <w:ind w:left="0"/>
      <w:outlineLvl w:val="2"/>
    </w:pPr>
  </w:style>
  <w:style w:type="paragraph" w:customStyle="1" w:styleId="190">
    <w:name w:val="章标题"/>
    <w:next w:val="6"/>
    <w:qFormat/>
    <w:uiPriority w:val="0"/>
    <w:pPr>
      <w:spacing w:beforeLines="50"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94">
    <w:name w:val="样式 标题 5 + 宋体"/>
    <w:basedOn w:val="7"/>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Autospacing="1"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Lines="100"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Lines="50"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Char1 Char Char Char1"/>
    <w:basedOn w:val="1"/>
    <w:qFormat/>
    <w:uiPriority w:val="0"/>
    <w:pPr>
      <w:widowControl/>
      <w:spacing w:line="240" w:lineRule="exact"/>
      <w:jc w:val="left"/>
    </w:pPr>
    <w:rPr>
      <w:kern w:val="0"/>
      <w:szCs w:val="20"/>
    </w:rPr>
  </w:style>
  <w:style w:type="paragraph" w:customStyle="1" w:styleId="211">
    <w:name w:val="xl32"/>
    <w:basedOn w:val="1"/>
    <w:qFormat/>
    <w:uiPriority w:val="0"/>
    <w:pPr>
      <w:widowControl/>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218">
    <w:name w:val="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20">
    <w:name w:val="Char Char Char Char Char Char Char Char Char Char"/>
    <w:basedOn w:val="15"/>
    <w:qFormat/>
    <w:uiPriority w:val="0"/>
    <w:pPr>
      <w:widowControl w:val="0"/>
      <w:jc w:val="both"/>
    </w:pPr>
    <w:rPr>
      <w:kern w:val="2"/>
      <w:szCs w:val="24"/>
    </w:rPr>
  </w:style>
  <w:style w:type="paragraph" w:customStyle="1" w:styleId="221">
    <w:name w:val="正文样式"/>
    <w:basedOn w:val="1"/>
    <w:qFormat/>
    <w:uiPriority w:val="0"/>
    <w:pPr>
      <w:tabs>
        <w:tab w:val="left" w:pos="630"/>
      </w:tabs>
      <w:spacing w:line="300" w:lineRule="auto"/>
      <w:ind w:left="630" w:hanging="630"/>
    </w:pPr>
    <w:rPr>
      <w:rFonts w:ascii="宋体"/>
      <w:sz w:val="24"/>
    </w:rPr>
  </w:style>
  <w:style w:type="paragraph" w:customStyle="1" w:styleId="222">
    <w:name w:val="xl62"/>
    <w:basedOn w:val="1"/>
    <w:qFormat/>
    <w:uiPriority w:val="0"/>
    <w:pPr>
      <w:widowControl/>
      <w:spacing w:beforeAutospacing="1"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Lines="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Autospacing="1" w:afterAutospacing="1"/>
      <w:jc w:val="left"/>
      <w:textAlignment w:val="center"/>
    </w:pPr>
    <w:rPr>
      <w:rFonts w:ascii="宋体" w:hAnsi="宋体" w:cs="宋体"/>
      <w:color w:val="000000"/>
      <w:kern w:val="0"/>
      <w:sz w:val="24"/>
    </w:rPr>
  </w:style>
  <w:style w:type="paragraph" w:customStyle="1" w:styleId="226">
    <w:name w:val="1.1 标题"/>
    <w:basedOn w:val="2"/>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5"/>
    <w:qFormat/>
    <w:uiPriority w:val="0"/>
    <w:pPr>
      <w:tabs>
        <w:tab w:val="left" w:pos="0"/>
        <w:tab w:val="left" w:pos="1080"/>
      </w:tabs>
      <w:spacing w:before="24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Autospacing="1" w:afterAutospacing="1"/>
      <w:jc w:val="center"/>
    </w:pPr>
    <w:rPr>
      <w:rFonts w:ascii="宋体" w:hAnsi="宋体" w:cs="宋体"/>
      <w:kern w:val="0"/>
      <w:sz w:val="24"/>
    </w:rPr>
  </w:style>
  <w:style w:type="paragraph" w:customStyle="1" w:styleId="232">
    <w:name w:val="正文1"/>
    <w:basedOn w:val="1"/>
    <w:qFormat/>
    <w:uiPriority w:val="0"/>
    <w:pPr>
      <w:spacing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39">
    <w:name w:val="Char Char2 Char Char Char Char"/>
    <w:basedOn w:val="1"/>
    <w:qFormat/>
    <w:uiPriority w:val="0"/>
    <w:pPr>
      <w:widowControl/>
      <w:spacing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Lines="50" w:afterLines="50" w:line="240" w:lineRule="atLeast"/>
      <w:ind w:firstLine="200" w:firstLineChars="200"/>
    </w:pPr>
    <w:rPr>
      <w:rFonts w:ascii="Arial" w:hAnsi="Arial"/>
      <w:sz w:val="24"/>
    </w:rPr>
  </w:style>
  <w:style w:type="paragraph" w:customStyle="1" w:styleId="245">
    <w:name w:val="表格文字"/>
    <w:basedOn w:val="1"/>
    <w:qFormat/>
    <w:uiPriority w:val="0"/>
    <w:pPr>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Autospacing="1"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Autospacing="1"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日期1"/>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5"/>
    <w:qFormat/>
    <w:uiPriority w:val="0"/>
    <w:pPr>
      <w:keepNext w:val="0"/>
      <w:keepLines w:val="0"/>
      <w:spacing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3"/>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5"/>
    <w:qFormat/>
    <w:uiPriority w:val="0"/>
    <w:pPr>
      <w:ind w:left="210" w:leftChars="100" w:right="210" w:rightChars="100"/>
      <w:jc w:val="left"/>
    </w:pPr>
    <w:rPr>
      <w:rFonts w:ascii="宋体" w:hAnsi="宋体"/>
      <w:kern w:val="0"/>
    </w:rPr>
  </w:style>
  <w:style w:type="paragraph" w:customStyle="1" w:styleId="262">
    <w:name w:val="QB表内文字"/>
    <w:basedOn w:val="6"/>
    <w:qFormat/>
    <w:uiPriority w:val="0"/>
    <w:pPr>
      <w:keepNext w:val="0"/>
      <w:keepLines w:val="0"/>
      <w:tabs>
        <w:tab w:val="left" w:pos="864"/>
      </w:tabs>
      <w:autoSpaceDE w:val="0"/>
      <w:autoSpaceDN w:val="0"/>
      <w:spacing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Autospacing="1"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Autospacing="1"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Autospacing="1"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Autospacing="1"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Autospacing="1"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Lines="50"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Autospacing="1"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Autospacing="1" w:afterAutospacing="1"/>
      <w:jc w:val="left"/>
    </w:pPr>
    <w:rPr>
      <w:rFonts w:hint="eastAsia" w:ascii="宋体" w:hAnsi="宋体" w:cs="Arial Unicode MS"/>
      <w:kern w:val="0"/>
      <w:sz w:val="24"/>
    </w:rPr>
  </w:style>
  <w:style w:type="paragraph" w:customStyle="1" w:styleId="286">
    <w:name w:val="Char11"/>
    <w:basedOn w:val="1"/>
    <w:qFormat/>
    <w:uiPriority w:val="0"/>
    <w:pPr>
      <w:widowControl/>
      <w:spacing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Autospacing="1" w:afterAutospacing="1"/>
      <w:jc w:val="left"/>
    </w:pPr>
    <w:rPr>
      <w:rFonts w:ascii="宋体" w:hAnsi="宋体" w:cs="宋体"/>
      <w:kern w:val="0"/>
      <w:sz w:val="24"/>
    </w:rPr>
  </w:style>
  <w:style w:type="paragraph" w:customStyle="1" w:styleId="289">
    <w:name w:val="Char Char Char Char Char Char"/>
    <w:basedOn w:val="1"/>
    <w:qFormat/>
    <w:uiPriority w:val="0"/>
    <w:rPr>
      <w:rFonts w:ascii="Tahoma" w:hAnsi="Tahoma"/>
      <w:sz w:val="24"/>
      <w:szCs w:val="20"/>
    </w:rPr>
  </w:style>
  <w:style w:type="paragraph" w:customStyle="1" w:styleId="290">
    <w:name w:val="Char Char Char Char Char Char Char Char Char Char Char Char Char Char Char Char1"/>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Autospacing="1"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pPr>
    <w:rPr>
      <w:rFonts w:ascii="宋体"/>
      <w:b/>
      <w:sz w:val="28"/>
    </w:rPr>
  </w:style>
  <w:style w:type="paragraph" w:customStyle="1" w:styleId="297">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Autospacing="1"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color w:val="000000"/>
      <w:kern w:val="0"/>
      <w:sz w:val="20"/>
      <w:szCs w:val="20"/>
    </w:rPr>
  </w:style>
  <w:style w:type="paragraph" w:customStyle="1" w:styleId="301">
    <w:name w:val="Char Char24 Char Char Char Char"/>
    <w:basedOn w:val="1"/>
    <w:qFormat/>
    <w:uiPriority w:val="0"/>
    <w:pPr>
      <w:widowControl/>
      <w:spacing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305">
    <w:name w:val="Char2"/>
    <w:basedOn w:val="1"/>
    <w:qFormat/>
    <w:uiPriority w:val="0"/>
    <w:pPr>
      <w:widowControl/>
      <w:spacing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12">
    <w:name w:val="样式2"/>
    <w:basedOn w:val="3"/>
    <w:qFormat/>
    <w:uiPriority w:val="0"/>
    <w:pPr>
      <w:jc w:val="center"/>
    </w:pPr>
    <w:rPr>
      <w:rFonts w:eastAsia="华文中宋"/>
      <w:sz w:val="36"/>
      <w:szCs w:val="36"/>
    </w:rPr>
  </w:style>
  <w:style w:type="paragraph" w:customStyle="1" w:styleId="313">
    <w:name w:val="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Autospacing="1"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3"/>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Autospacing="1"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Autospacing="1"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Autospacing="1"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Autospacing="1"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Autospacing="1" w:afterAutospacing="1"/>
      <w:jc w:val="left"/>
      <w:textAlignment w:val="center"/>
    </w:pPr>
    <w:rPr>
      <w:rFonts w:hint="eastAsia" w:ascii="宋体" w:hAnsi="宋体" w:cs="Arial Unicode MS"/>
      <w:b/>
      <w:bCs/>
      <w:kern w:val="0"/>
      <w:sz w:val="16"/>
      <w:szCs w:val="16"/>
    </w:rPr>
  </w:style>
  <w:style w:type="paragraph" w:customStyle="1" w:styleId="322">
    <w:name w:val="_Style 321"/>
    <w:basedOn w:val="2"/>
    <w:next w:val="1"/>
    <w:qFormat/>
    <w:uiPriority w:val="0"/>
    <w:pPr>
      <w:widowControl/>
      <w:spacing w:line="276" w:lineRule="auto"/>
      <w:jc w:val="left"/>
      <w:outlineLvl w:val="9"/>
    </w:pPr>
    <w:rPr>
      <w:rFonts w:ascii="Cambria" w:hAnsi="Cambria"/>
      <w:color w:val="365F91"/>
      <w:kern w:val="0"/>
      <w:sz w:val="28"/>
      <w:szCs w:val="28"/>
    </w:rPr>
  </w:style>
  <w:style w:type="paragraph" w:customStyle="1" w:styleId="323">
    <w:name w:val="正文2"/>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0"/>
      <w:szCs w:val="20"/>
    </w:rPr>
  </w:style>
  <w:style w:type="paragraph" w:customStyle="1" w:styleId="325">
    <w:name w:val="Char Char Char1 Char"/>
    <w:basedOn w:val="15"/>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Autospacing="1"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Lines="200" w:afterLines="200"/>
      <w:ind w:left="360" w:hanging="360"/>
      <w:jc w:val="center"/>
      <w:outlineLvl w:val="0"/>
    </w:pPr>
    <w:rPr>
      <w:rFonts w:eastAsia="黑体"/>
      <w:b/>
      <w:bCs/>
      <w:spacing w:val="20"/>
      <w:kern w:val="44"/>
      <w:sz w:val="44"/>
      <w:szCs w:val="20"/>
    </w:rPr>
  </w:style>
  <w:style w:type="paragraph" w:customStyle="1" w:styleId="330">
    <w:name w:val="Char1"/>
    <w:basedOn w:val="15"/>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line="300" w:lineRule="auto"/>
      <w:ind w:firstLine="527"/>
      <w:jc w:val="left"/>
    </w:pPr>
    <w:rPr>
      <w:w w:val="105"/>
      <w:kern w:val="0"/>
      <w:sz w:val="24"/>
      <w:szCs w:val="20"/>
    </w:rPr>
  </w:style>
  <w:style w:type="paragraph" w:customStyle="1" w:styleId="333">
    <w:name w:val="cnfont"/>
    <w:basedOn w:val="1"/>
    <w:qFormat/>
    <w:uiPriority w:val="0"/>
    <w:pPr>
      <w:widowControl/>
      <w:spacing w:beforeAutospacing="1"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5">
    <w:name w:val="Char Char"/>
    <w:basedOn w:val="1"/>
    <w:qFormat/>
    <w:uiPriority w:val="0"/>
    <w:rPr>
      <w:rFonts w:ascii="宋体" w:hAnsi="宋体"/>
      <w:b/>
      <w:sz w:val="28"/>
      <w:szCs w:val="28"/>
    </w:rPr>
  </w:style>
  <w:style w:type="paragraph" w:customStyle="1" w:styleId="336">
    <w:name w:val="xl57"/>
    <w:basedOn w:val="1"/>
    <w:qFormat/>
    <w:uiPriority w:val="0"/>
    <w:pPr>
      <w:widowControl/>
      <w:spacing w:beforeAutospacing="1"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Autospacing="1"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340">
    <w:name w:val="Char12"/>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line="240" w:lineRule="exact"/>
      <w:jc w:val="left"/>
    </w:pPr>
    <w:rPr>
      <w:kern w:val="0"/>
      <w:szCs w:val="20"/>
    </w:rPr>
  </w:style>
  <w:style w:type="paragraph" w:customStyle="1" w:styleId="343">
    <w:name w:val="保留正文"/>
    <w:basedOn w:val="20"/>
    <w:qFormat/>
    <w:uiPriority w:val="0"/>
    <w:pPr>
      <w:keepNext/>
      <w:spacing w:line="240" w:lineRule="auto"/>
    </w:pPr>
    <w:rPr>
      <w:szCs w:val="24"/>
    </w:rPr>
  </w:style>
  <w:style w:type="paragraph" w:customStyle="1" w:styleId="344">
    <w:name w:val="font9"/>
    <w:basedOn w:val="1"/>
    <w:qFormat/>
    <w:uiPriority w:val="0"/>
    <w:pPr>
      <w:widowControl/>
      <w:spacing w:beforeAutospacing="1"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Autospacing="1"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Autospacing="1"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Autospacing="1"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line="240" w:lineRule="exact"/>
      <w:jc w:val="left"/>
    </w:pPr>
  </w:style>
  <w:style w:type="paragraph" w:customStyle="1" w:styleId="353">
    <w:name w:val="Char Char8 Char Char"/>
    <w:basedOn w:val="1"/>
    <w:qFormat/>
    <w:uiPriority w:val="0"/>
    <w:pPr>
      <w:widowControl/>
      <w:spacing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99"/>
    <w:pPr>
      <w:widowControl/>
      <w:ind w:firstLine="420" w:firstLineChars="200"/>
      <w:jc w:val="left"/>
    </w:pPr>
    <w:rPr>
      <w:kern w:val="0"/>
      <w:szCs w:val="20"/>
    </w:rPr>
  </w:style>
  <w:style w:type="paragraph" w:customStyle="1" w:styleId="356">
    <w:name w:val="a03"/>
    <w:basedOn w:val="1"/>
    <w:qFormat/>
    <w:uiPriority w:val="0"/>
    <w:pPr>
      <w:widowControl/>
      <w:spacing w:beforeAutospacing="1"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Autospacing="1" w:afterAutospacing="1"/>
      <w:jc w:val="left"/>
    </w:pPr>
    <w:rPr>
      <w:rFonts w:ascii="宋体" w:hAnsi="宋体" w:cs="宋体"/>
      <w:color w:val="000000"/>
      <w:kern w:val="0"/>
      <w:sz w:val="20"/>
      <w:szCs w:val="20"/>
    </w:rPr>
  </w:style>
  <w:style w:type="paragraph" w:customStyle="1" w:styleId="358">
    <w:name w:val="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Autospacing="1"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cs="宋体"/>
      <w:kern w:val="0"/>
      <w:sz w:val="18"/>
      <w:szCs w:val="18"/>
    </w:rPr>
  </w:style>
  <w:style w:type="paragraph" w:customStyle="1" w:styleId="361">
    <w:name w:val="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Autospacing="1"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Autospacing="1"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78">
    <w:name w:val="Char Char2 Char"/>
    <w:basedOn w:val="1"/>
    <w:qFormat/>
    <w:uiPriority w:val="0"/>
    <w:rPr>
      <w:rFonts w:ascii="宋体" w:hAnsi="宋体"/>
      <w:b/>
      <w:sz w:val="28"/>
      <w:szCs w:val="28"/>
    </w:rPr>
  </w:style>
  <w:style w:type="paragraph" w:customStyle="1" w:styleId="379">
    <w:name w:val="text"/>
    <w:basedOn w:val="1"/>
    <w:qFormat/>
    <w:uiPriority w:val="0"/>
    <w:pPr>
      <w:widowControl/>
      <w:spacing w:beforeAutospacing="1"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Autospacing="1"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cs="宋体"/>
      <w:sz w:val="18"/>
      <w:szCs w:val="18"/>
      <w:lang w:val="zh-TW" w:eastAsia="zh-TW" w:bidi="zh-TW"/>
    </w:rPr>
  </w:style>
  <w:style w:type="paragraph" w:customStyle="1" w:styleId="388">
    <w:name w:val="Table Paragraph"/>
    <w:basedOn w:val="1"/>
    <w:qFormat/>
    <w:uiPriority w:val="1"/>
    <w:rPr>
      <w:rFonts w:ascii="宋体" w:hAnsi="宋体" w:cs="宋体"/>
      <w:lang w:val="zh-CN" w:bidi="zh-CN"/>
    </w:rPr>
  </w:style>
  <w:style w:type="paragraph" w:customStyle="1" w:styleId="389">
    <w:name w:val="WPSOffice手动目录 1"/>
    <w:qFormat/>
    <w:uiPriority w:val="0"/>
    <w:rPr>
      <w:rFonts w:ascii="Times New Roman" w:hAnsi="Times New Roman" w:eastAsia="宋体" w:cs="Times New Roman"/>
      <w:lang w:val="en-US" w:eastAsia="zh-CN" w:bidi="ar-SA"/>
    </w:rPr>
  </w:style>
  <w:style w:type="character" w:customStyle="1" w:styleId="390">
    <w:name w:val="fontstyle01"/>
    <w:basedOn w:val="53"/>
    <w:qFormat/>
    <w:uiPriority w:val="0"/>
    <w:rPr>
      <w:rFonts w:ascii="宋体" w:hAnsi="宋体" w:eastAsia="宋体" w:cs="宋体"/>
      <w:color w:val="000000"/>
      <w:sz w:val="18"/>
      <w:szCs w:val="18"/>
    </w:rPr>
  </w:style>
  <w:style w:type="paragraph" w:customStyle="1" w:styleId="391">
    <w:name w:val="正文 A"/>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30</Pages>
  <Words>7693</Words>
  <Characters>8018</Characters>
  <Lines>35</Lines>
  <Paragraphs>9</Paragraphs>
  <TotalTime>43</TotalTime>
  <ScaleCrop>false</ScaleCrop>
  <LinksUpToDate>false</LinksUpToDate>
  <CharactersWithSpaces>8320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WPS_1474984621</cp:lastModifiedBy>
  <cp:lastPrinted>2021-12-17T01:00:00Z</cp:lastPrinted>
  <dcterms:modified xsi:type="dcterms:W3CDTF">2023-08-23T09:02:52Z</dcterms:modified>
  <dc:title>公开招标文件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150C5466789C4D9DB00030E9C1EDA679_13</vt:lpwstr>
  </property>
</Properties>
</file>